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F9CA99" w14:textId="363BD2E6" w:rsidR="004674C1" w:rsidRPr="0097423F" w:rsidRDefault="00FD20C6" w:rsidP="00FD20C6">
      <w:pPr>
        <w:jc w:val="center"/>
        <w:rPr>
          <w:b/>
          <w:bCs/>
        </w:rPr>
      </w:pPr>
      <w:r w:rsidRPr="0097423F">
        <w:rPr>
          <w:rFonts w:hint="eastAsia"/>
          <w:b/>
          <w:bCs/>
        </w:rPr>
        <w:t>SUPPORTING INFORMATION</w:t>
      </w:r>
    </w:p>
    <w:p w14:paraId="744F5E1B" w14:textId="661900AB" w:rsidR="004630E7" w:rsidRPr="00DF1408" w:rsidRDefault="00D90E37" w:rsidP="004630E7">
      <w:pPr>
        <w:rPr>
          <w:color w:val="000000" w:themeColor="text1"/>
          <w:sz w:val="24"/>
        </w:rPr>
      </w:pPr>
      <w:bookmarkStart w:id="0" w:name="_top"/>
      <w:bookmarkEnd w:id="0"/>
      <w:r w:rsidRPr="00DF1408">
        <w:rPr>
          <w:rFonts w:eastAsiaTheme="majorEastAsia" w:cstheme="majorBidi"/>
          <w:color w:val="000000" w:themeColor="text1"/>
          <w:sz w:val="32"/>
          <w:szCs w:val="48"/>
        </w:rPr>
        <w:t>Dual-Axis Life-History Framework Explains Metabolite Exchange and Functional Differentiation in Nodule Microbiomes</w:t>
      </w:r>
    </w:p>
    <w:p w14:paraId="23DA33D0" w14:textId="77777777" w:rsidR="004630E7" w:rsidRPr="004630E7" w:rsidRDefault="004630E7" w:rsidP="004630E7">
      <w:pPr>
        <w:rPr>
          <w:sz w:val="24"/>
        </w:rPr>
      </w:pPr>
    </w:p>
    <w:p w14:paraId="05026BBD" w14:textId="77777777" w:rsidR="004630E7" w:rsidRPr="004630E7" w:rsidRDefault="004630E7" w:rsidP="004630E7">
      <w:pPr>
        <w:rPr>
          <w:sz w:val="24"/>
        </w:rPr>
      </w:pPr>
      <w:r w:rsidRPr="004630E7">
        <w:rPr>
          <w:sz w:val="24"/>
        </w:rPr>
        <w:t>Zining Guo</w:t>
      </w:r>
      <w:r w:rsidRPr="004630E7">
        <w:rPr>
          <w:rFonts w:hint="eastAsia"/>
          <w:sz w:val="24"/>
          <w:vertAlign w:val="superscript"/>
        </w:rPr>
        <w:t>1</w:t>
      </w:r>
      <w:r w:rsidRPr="004630E7">
        <w:rPr>
          <w:sz w:val="24"/>
        </w:rPr>
        <w:t>, Jianyang Li</w:t>
      </w:r>
      <w:r w:rsidRPr="004630E7">
        <w:rPr>
          <w:rFonts w:hint="eastAsia"/>
          <w:sz w:val="24"/>
          <w:vertAlign w:val="superscript"/>
        </w:rPr>
        <w:t>2</w:t>
      </w:r>
      <w:r w:rsidRPr="004630E7">
        <w:rPr>
          <w:sz w:val="24"/>
        </w:rPr>
        <w:t>, Xiaoyu Ji</w:t>
      </w:r>
      <w:r w:rsidRPr="004630E7">
        <w:rPr>
          <w:rFonts w:hint="eastAsia"/>
          <w:sz w:val="24"/>
          <w:vertAlign w:val="superscript"/>
        </w:rPr>
        <w:t>1</w:t>
      </w:r>
      <w:r w:rsidRPr="004630E7">
        <w:rPr>
          <w:sz w:val="24"/>
        </w:rPr>
        <w:t>, Zhengfei Yu</w:t>
      </w:r>
      <w:r w:rsidRPr="004630E7">
        <w:rPr>
          <w:rFonts w:hint="eastAsia"/>
          <w:sz w:val="24"/>
          <w:vertAlign w:val="superscript"/>
        </w:rPr>
        <w:t>1</w:t>
      </w:r>
      <w:r w:rsidRPr="004630E7">
        <w:rPr>
          <w:sz w:val="24"/>
        </w:rPr>
        <w:t xml:space="preserve">, </w:t>
      </w:r>
      <w:proofErr w:type="spellStart"/>
      <w:r w:rsidRPr="004630E7">
        <w:rPr>
          <w:sz w:val="24"/>
        </w:rPr>
        <w:t>Wanpeng</w:t>
      </w:r>
      <w:proofErr w:type="spellEnd"/>
      <w:r w:rsidRPr="004630E7">
        <w:rPr>
          <w:sz w:val="24"/>
        </w:rPr>
        <w:t xml:space="preserve"> Wang</w:t>
      </w:r>
      <w:r w:rsidRPr="004630E7">
        <w:rPr>
          <w:sz w:val="24"/>
          <w:vertAlign w:val="superscript"/>
        </w:rPr>
        <w:t>2, *</w:t>
      </w:r>
      <w:r w:rsidRPr="004630E7">
        <w:rPr>
          <w:sz w:val="24"/>
        </w:rPr>
        <w:t xml:space="preserve">, </w:t>
      </w:r>
      <w:proofErr w:type="spellStart"/>
      <w:r w:rsidRPr="004630E7">
        <w:rPr>
          <w:sz w:val="24"/>
        </w:rPr>
        <w:t>Xiangyu</w:t>
      </w:r>
      <w:proofErr w:type="spellEnd"/>
      <w:r w:rsidRPr="004630E7">
        <w:rPr>
          <w:sz w:val="24"/>
        </w:rPr>
        <w:t xml:space="preserve"> Guan</w:t>
      </w:r>
      <w:r w:rsidRPr="004630E7">
        <w:rPr>
          <w:rFonts w:hint="eastAsia"/>
          <w:sz w:val="24"/>
          <w:vertAlign w:val="superscript"/>
        </w:rPr>
        <w:t>1, *</w:t>
      </w:r>
    </w:p>
    <w:p w14:paraId="48EBD57A" w14:textId="77777777" w:rsidR="004630E7" w:rsidRPr="004630E7" w:rsidRDefault="004630E7" w:rsidP="004630E7">
      <w:pPr>
        <w:rPr>
          <w:sz w:val="24"/>
        </w:rPr>
      </w:pPr>
    </w:p>
    <w:p w14:paraId="1A697C6B" w14:textId="77777777" w:rsidR="004630E7" w:rsidRPr="004630E7" w:rsidRDefault="004630E7" w:rsidP="004630E7">
      <w:pPr>
        <w:rPr>
          <w:sz w:val="24"/>
        </w:rPr>
      </w:pPr>
    </w:p>
    <w:p w14:paraId="5BD6D934" w14:textId="77777777" w:rsidR="004630E7" w:rsidRPr="004630E7" w:rsidRDefault="004630E7" w:rsidP="004630E7">
      <w:pPr>
        <w:rPr>
          <w:rFonts w:cs="Times New Roman"/>
          <w:sz w:val="24"/>
        </w:rPr>
      </w:pPr>
      <w:r w:rsidRPr="004630E7">
        <w:rPr>
          <w:rFonts w:hint="eastAsia"/>
          <w:sz w:val="24"/>
          <w:vertAlign w:val="superscript"/>
        </w:rPr>
        <w:t>1</w:t>
      </w:r>
      <w:r w:rsidRPr="004630E7">
        <w:rPr>
          <w:rFonts w:cs="Times New Roman"/>
          <w:sz w:val="24"/>
          <w:vertAlign w:val="superscript"/>
        </w:rPr>
        <w:t xml:space="preserve"> </w:t>
      </w:r>
      <w:r w:rsidRPr="004630E7">
        <w:rPr>
          <w:rFonts w:cs="Times New Roman"/>
          <w:sz w:val="24"/>
        </w:rPr>
        <w:t>School of Ocean Sciences, China University of Geosciences, Beijing, 100083, China</w:t>
      </w:r>
    </w:p>
    <w:p w14:paraId="5C5792E7" w14:textId="77777777" w:rsidR="004630E7" w:rsidRPr="004630E7" w:rsidRDefault="004630E7" w:rsidP="004630E7">
      <w:pPr>
        <w:rPr>
          <w:rFonts w:cs="Times New Roman"/>
          <w:sz w:val="24"/>
        </w:rPr>
      </w:pPr>
      <w:r w:rsidRPr="004630E7">
        <w:rPr>
          <w:rFonts w:cs="Times New Roman" w:hint="eastAsia"/>
          <w:sz w:val="24"/>
          <w:vertAlign w:val="superscript"/>
        </w:rPr>
        <w:t>2</w:t>
      </w:r>
      <w:r w:rsidRPr="004630E7">
        <w:rPr>
          <w:sz w:val="24"/>
          <w:vertAlign w:val="superscript"/>
        </w:rPr>
        <w:t xml:space="preserve"> </w:t>
      </w:r>
      <w:r w:rsidRPr="004630E7">
        <w:rPr>
          <w:rFonts w:cs="Times New Roman"/>
          <w:sz w:val="24"/>
        </w:rPr>
        <w:t xml:space="preserve">Third Institute </w:t>
      </w:r>
      <w:r w:rsidRPr="004630E7">
        <w:rPr>
          <w:rFonts w:cs="Times New Roman" w:hint="eastAsia"/>
          <w:sz w:val="24"/>
        </w:rPr>
        <w:t>o</w:t>
      </w:r>
      <w:r w:rsidRPr="004630E7">
        <w:rPr>
          <w:rFonts w:cs="Times New Roman"/>
          <w:sz w:val="24"/>
        </w:rPr>
        <w:t>f Oceanography</w:t>
      </w:r>
      <w:r w:rsidRPr="004630E7">
        <w:rPr>
          <w:rFonts w:cs="Times New Roman" w:hint="eastAsia"/>
          <w:sz w:val="24"/>
        </w:rPr>
        <w:t xml:space="preserve">, </w:t>
      </w:r>
      <w:r w:rsidRPr="004630E7">
        <w:rPr>
          <w:rFonts w:cs="Times New Roman"/>
          <w:sz w:val="24"/>
        </w:rPr>
        <w:t>Ministry of Natural Resources‌</w:t>
      </w:r>
      <w:r w:rsidRPr="004630E7">
        <w:rPr>
          <w:rFonts w:cs="Times New Roman" w:hint="eastAsia"/>
          <w:sz w:val="24"/>
        </w:rPr>
        <w:t>, Xiamen, 361000, China</w:t>
      </w:r>
    </w:p>
    <w:p w14:paraId="26ABA127" w14:textId="77777777" w:rsidR="004630E7" w:rsidRPr="004630E7" w:rsidRDefault="004630E7" w:rsidP="004630E7">
      <w:pPr>
        <w:rPr>
          <w:rFonts w:cs="Times New Roman"/>
          <w:sz w:val="24"/>
        </w:rPr>
      </w:pPr>
    </w:p>
    <w:p w14:paraId="21522AF7" w14:textId="77777777" w:rsidR="004630E7" w:rsidRPr="004630E7" w:rsidRDefault="004630E7" w:rsidP="004630E7">
      <w:pPr>
        <w:rPr>
          <w:rFonts w:cs="Times New Roman"/>
          <w:sz w:val="24"/>
        </w:rPr>
      </w:pPr>
    </w:p>
    <w:p w14:paraId="6846F861" w14:textId="77777777" w:rsidR="004630E7" w:rsidRPr="004630E7" w:rsidRDefault="004630E7" w:rsidP="004630E7">
      <w:pPr>
        <w:rPr>
          <w:rFonts w:cs="Times New Roman"/>
          <w:sz w:val="24"/>
        </w:rPr>
      </w:pPr>
    </w:p>
    <w:p w14:paraId="05B3995A" w14:textId="77777777" w:rsidR="004630E7" w:rsidRPr="004630E7" w:rsidRDefault="004630E7" w:rsidP="004630E7">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eastAsia="DengXian" w:cs="Times New Roman"/>
          <w:kern w:val="0"/>
          <w:sz w:val="24"/>
        </w:rPr>
      </w:pPr>
      <w:r w:rsidRPr="004630E7">
        <w:rPr>
          <w:rFonts w:eastAsia="DengXian" w:cs="Times New Roman"/>
          <w:kern w:val="0"/>
          <w:sz w:val="24"/>
        </w:rPr>
        <w:t>*</w:t>
      </w:r>
      <w:r w:rsidRPr="004630E7">
        <w:rPr>
          <w:rFonts w:eastAsia="等线 Light" w:cs="Times New Roman"/>
          <w:kern w:val="0"/>
          <w:sz w:val="24"/>
          <w:szCs w:val="20"/>
        </w:rPr>
        <w:t xml:space="preserve"> </w:t>
      </w:r>
      <w:bookmarkStart w:id="1" w:name="OLE_LINK20"/>
      <w:r w:rsidRPr="004630E7">
        <w:rPr>
          <w:rFonts w:eastAsia="DengXian" w:cs="Times New Roman"/>
          <w:kern w:val="0"/>
          <w:sz w:val="24"/>
        </w:rPr>
        <w:t>Corresponding authors</w:t>
      </w:r>
      <w:bookmarkEnd w:id="1"/>
      <w:r w:rsidRPr="004630E7">
        <w:rPr>
          <w:rFonts w:eastAsia="DengXian" w:cs="Times New Roman"/>
          <w:kern w:val="0"/>
          <w:sz w:val="24"/>
        </w:rPr>
        <w:t>:</w:t>
      </w:r>
    </w:p>
    <w:p w14:paraId="560ECBB0" w14:textId="77777777" w:rsidR="004630E7" w:rsidRPr="004630E7" w:rsidRDefault="004630E7" w:rsidP="004630E7">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eastAsia="DengXian" w:cs="Times New Roman"/>
          <w:kern w:val="0"/>
          <w:sz w:val="24"/>
        </w:rPr>
      </w:pPr>
      <w:r w:rsidRPr="004630E7">
        <w:rPr>
          <w:rFonts w:eastAsia="DengXian" w:cs="Times New Roman"/>
          <w:kern w:val="0"/>
          <w:sz w:val="24"/>
        </w:rPr>
        <w:t xml:space="preserve">E-mail address: </w:t>
      </w:r>
      <w:r w:rsidRPr="004630E7">
        <w:rPr>
          <w:rFonts w:eastAsia="DengXian" w:cs="Times New Roman"/>
          <w:color w:val="000000"/>
          <w:kern w:val="0"/>
          <w:sz w:val="24"/>
        </w:rPr>
        <w:t>guanxy@cugb.edu.cn</w:t>
      </w:r>
      <w:r w:rsidRPr="004630E7">
        <w:rPr>
          <w:rFonts w:eastAsia="DengXian" w:cs="Times New Roman"/>
          <w:kern w:val="0"/>
          <w:sz w:val="24"/>
        </w:rPr>
        <w:t xml:space="preserve"> (X.Y. Guan); wangwanpeng@tio.org.cn (</w:t>
      </w:r>
      <w:r w:rsidRPr="004630E7">
        <w:rPr>
          <w:rFonts w:eastAsia="DengXian" w:cs="Times New Roman" w:hint="eastAsia"/>
          <w:kern w:val="0"/>
          <w:sz w:val="24"/>
        </w:rPr>
        <w:t>W</w:t>
      </w:r>
      <w:r w:rsidRPr="004630E7">
        <w:rPr>
          <w:rFonts w:eastAsia="DengXian" w:cs="Times New Roman"/>
          <w:kern w:val="0"/>
          <w:sz w:val="24"/>
        </w:rPr>
        <w:t>.</w:t>
      </w:r>
      <w:r w:rsidRPr="004630E7">
        <w:rPr>
          <w:rFonts w:eastAsia="DengXian" w:cs="Times New Roman" w:hint="eastAsia"/>
          <w:kern w:val="0"/>
          <w:sz w:val="24"/>
        </w:rPr>
        <w:t>P</w:t>
      </w:r>
      <w:r w:rsidRPr="004630E7">
        <w:rPr>
          <w:rFonts w:eastAsia="DengXian" w:cs="Times New Roman"/>
          <w:kern w:val="0"/>
          <w:sz w:val="24"/>
        </w:rPr>
        <w:t xml:space="preserve">. </w:t>
      </w:r>
      <w:r w:rsidRPr="004630E7">
        <w:rPr>
          <w:rFonts w:eastAsia="DengXian" w:cs="Times New Roman" w:hint="eastAsia"/>
          <w:kern w:val="0"/>
          <w:sz w:val="24"/>
        </w:rPr>
        <w:t>Wang</w:t>
      </w:r>
      <w:r w:rsidRPr="004630E7">
        <w:rPr>
          <w:rFonts w:eastAsia="DengXian" w:cs="Times New Roman"/>
          <w:kern w:val="0"/>
          <w:sz w:val="24"/>
        </w:rPr>
        <w:t>)</w:t>
      </w:r>
    </w:p>
    <w:p w14:paraId="4FFD8B7D" w14:textId="0F3C0361" w:rsidR="00C2231E" w:rsidRPr="000B19A3" w:rsidRDefault="00A62E02" w:rsidP="00A62E02">
      <w:pPr>
        <w:widowControl/>
        <w:spacing w:line="240" w:lineRule="auto"/>
        <w:jc w:val="left"/>
        <w:rPr>
          <w:sz w:val="28"/>
          <w:szCs w:val="28"/>
        </w:rPr>
      </w:pPr>
      <w:r>
        <w:rPr>
          <w:sz w:val="24"/>
        </w:rPr>
        <w:br w:type="page"/>
      </w:r>
    </w:p>
    <w:p w14:paraId="0B77965F" w14:textId="6FE12CB8" w:rsidR="004043FA" w:rsidRPr="00056CE7" w:rsidRDefault="004630E7" w:rsidP="00056CE7">
      <w:pPr>
        <w:pStyle w:val="2"/>
      </w:pPr>
      <w:r w:rsidRPr="00056CE7">
        <w:lastRenderedPageBreak/>
        <w:t>Supplementary Materials and Methods</w:t>
      </w:r>
    </w:p>
    <w:p w14:paraId="033BC43C" w14:textId="7EE52E5C" w:rsidR="00DA20E0" w:rsidRDefault="00056CE7" w:rsidP="00056CE7">
      <w:pPr>
        <w:pStyle w:val="3"/>
      </w:pPr>
      <w:r w:rsidRPr="00056CE7">
        <w:t xml:space="preserve">Supplementary Method </w:t>
      </w:r>
      <w:r>
        <w:rPr>
          <w:rFonts w:hint="eastAsia"/>
        </w:rPr>
        <w:t xml:space="preserve">1: </w:t>
      </w:r>
      <w:r w:rsidRPr="00056CE7">
        <w:t>Sediment and nodule sampling</w:t>
      </w:r>
    </w:p>
    <w:p w14:paraId="135AFD5C" w14:textId="4393F687" w:rsidR="00056CE7" w:rsidRDefault="00056CE7" w:rsidP="00056CE7">
      <w:r w:rsidRPr="00056CE7">
        <w:t>Sediment and polymetallic nodule samples were collected during the DY135-E2 cruise (October 2023) from seven sites in the Clarion–</w:t>
      </w:r>
      <w:proofErr w:type="spellStart"/>
      <w:r w:rsidRPr="00056CE7">
        <w:t>Clipperton</w:t>
      </w:r>
      <w:proofErr w:type="spellEnd"/>
      <w:r w:rsidRPr="00056CE7">
        <w:t xml:space="preserve"> Fracture Zone (CCFZ) at water depths of 4,983–5,211 m. A total of 17 sediment stations were established across the survey area. Using a customized deep-sea sampler, 17 sediment samples and 3 nodule samples were obtained. Two replicate sediment subsamples (500 g each) were collected per site</w:t>
      </w:r>
      <w:r>
        <w:rPr>
          <w:rFonts w:hint="eastAsia"/>
        </w:rPr>
        <w:t xml:space="preserve"> (Figure S1, Table S1)</w:t>
      </w:r>
      <w:r w:rsidRPr="00056CE7">
        <w:t>. All samples were stored on dry ice and transferred to the laboratory. Nodule surfaces (3–5 mm) were scraped and ground using a sterile mortar and pestle, while sediment samples were centrifuged to remove excess water before DNA extraction.</w:t>
      </w:r>
    </w:p>
    <w:p w14:paraId="7997C7A0" w14:textId="0C53BBF1" w:rsidR="00056CE7" w:rsidRDefault="00056CE7" w:rsidP="00056CE7">
      <w:pPr>
        <w:pStyle w:val="3"/>
      </w:pPr>
      <w:r w:rsidRPr="00056CE7">
        <w:t>Supplementary Method 2</w:t>
      </w:r>
      <w:r>
        <w:rPr>
          <w:rFonts w:hint="eastAsia"/>
        </w:rPr>
        <w:t xml:space="preserve">: </w:t>
      </w:r>
      <w:r w:rsidRPr="00056CE7">
        <w:t>DNA extraction and library preparation</w:t>
      </w:r>
    </w:p>
    <w:p w14:paraId="4062C9C8" w14:textId="171EF788" w:rsidR="00056CE7" w:rsidRDefault="00056CE7" w:rsidP="00056CE7">
      <w:r w:rsidRPr="00056CE7">
        <w:t xml:space="preserve">Microbial DNA from 0.5 g sediment was extracted using the E.Z.N.A. Soil DNA Kit (Omega Bio-Tek, USA), and DNA from nodule powder was extracted using the </w:t>
      </w:r>
      <w:proofErr w:type="spellStart"/>
      <w:r w:rsidRPr="00056CE7">
        <w:t>PowerSoil</w:t>
      </w:r>
      <w:proofErr w:type="spellEnd"/>
      <w:r w:rsidRPr="00056CE7">
        <w:t xml:space="preserve"> Kit (Qiagen, Germany). All samples were extracted in duplicate. DNA integrity and purity were checked by gel electrophoresis and </w:t>
      </w:r>
      <w:proofErr w:type="spellStart"/>
      <w:r w:rsidRPr="00056CE7">
        <w:t>NanoDrop</w:t>
      </w:r>
      <w:proofErr w:type="spellEnd"/>
      <w:r w:rsidRPr="00056CE7">
        <w:t xml:space="preserve"> spectrophotometry. DNA was fragmented with a Covaris M220 </w:t>
      </w:r>
      <w:proofErr w:type="spellStart"/>
      <w:r w:rsidRPr="00056CE7">
        <w:t>ultrasonicator</w:t>
      </w:r>
      <w:proofErr w:type="spellEnd"/>
      <w:r w:rsidRPr="00056CE7">
        <w:t xml:space="preserve"> (~400 bp). Libraries were prepared using the NEXTFLEX® Rapid DNA-Seq Kit and sequenced on an Illumina </w:t>
      </w:r>
      <w:proofErr w:type="spellStart"/>
      <w:r w:rsidRPr="00056CE7">
        <w:t>HiSeq</w:t>
      </w:r>
      <w:proofErr w:type="spellEnd"/>
      <w:r w:rsidRPr="00056CE7">
        <w:t xml:space="preserve"> 2500 platform (2 × 150 bp).</w:t>
      </w:r>
    </w:p>
    <w:p w14:paraId="2EA48271" w14:textId="11A2FDEE" w:rsidR="00056CE7" w:rsidRPr="00056CE7" w:rsidRDefault="00056CE7" w:rsidP="00056CE7">
      <w:pPr>
        <w:pStyle w:val="3"/>
      </w:pPr>
      <w:r w:rsidRPr="00056CE7">
        <w:t>Supplementary Method 3</w:t>
      </w:r>
      <w:r>
        <w:rPr>
          <w:rFonts w:hint="eastAsia"/>
        </w:rPr>
        <w:t xml:space="preserve">: </w:t>
      </w:r>
      <w:r w:rsidRPr="00056CE7">
        <w:t>Quality control and metagenomic assembly</w:t>
      </w:r>
    </w:p>
    <w:p w14:paraId="0D4A5DDA" w14:textId="07B9F877" w:rsidR="00DA20E0" w:rsidRDefault="00056CE7" w:rsidP="00DA20E0">
      <w:r w:rsidRPr="00056CE7">
        <w:t xml:space="preserve">Raw reads were processed using </w:t>
      </w:r>
      <w:proofErr w:type="spellStart"/>
      <w:r w:rsidRPr="00056CE7">
        <w:rPr>
          <w:i/>
          <w:iCs/>
        </w:rPr>
        <w:t>Trimmomatic</w:t>
      </w:r>
      <w:proofErr w:type="spellEnd"/>
      <w:r w:rsidRPr="00056CE7">
        <w:t xml:space="preserve"> (Bolger et al., 2014) with adapter removal and quality trimming parameters (ILLUMINACLIP:2:30:10; SLIDINGWINDOW:4:15; MINLEN:36). Clean reads were assembled using </w:t>
      </w:r>
      <w:r w:rsidRPr="00056CE7">
        <w:rPr>
          <w:i/>
          <w:iCs/>
        </w:rPr>
        <w:t>MEGAHIT</w:t>
      </w:r>
      <w:r w:rsidRPr="00056CE7">
        <w:t xml:space="preserve"> (Li et al., 2015), which applies a de Bruijn graph–based iterative k-</w:t>
      </w:r>
      <w:proofErr w:type="spellStart"/>
      <w:r w:rsidRPr="00056CE7">
        <w:t>mer</w:t>
      </w:r>
      <w:proofErr w:type="spellEnd"/>
      <w:r w:rsidRPr="00056CE7">
        <w:t xml:space="preserve"> approach. Only contigs ≥1,000 bp were retained.</w:t>
      </w:r>
    </w:p>
    <w:p w14:paraId="7320352D" w14:textId="50696D9B" w:rsidR="00056CE7" w:rsidRDefault="00056CE7" w:rsidP="00056CE7">
      <w:pPr>
        <w:pStyle w:val="3"/>
      </w:pPr>
      <w:r w:rsidRPr="00056CE7">
        <w:t xml:space="preserve">Supplementary Method </w:t>
      </w:r>
      <w:r w:rsidR="0068028A" w:rsidRPr="00056CE7">
        <w:t>4:</w:t>
      </w:r>
      <w:r>
        <w:rPr>
          <w:rFonts w:hint="eastAsia"/>
        </w:rPr>
        <w:t xml:space="preserve"> </w:t>
      </w:r>
      <w:r w:rsidRPr="00056CE7">
        <w:t>Genome binning, dereplication and quality evaluation</w:t>
      </w:r>
    </w:p>
    <w:p w14:paraId="7153CFA0" w14:textId="4B9FD3E0" w:rsidR="00DA20E0" w:rsidRDefault="00056CE7" w:rsidP="00DA20E0">
      <w:r w:rsidRPr="00056CE7">
        <w:t xml:space="preserve">Genome binning was conducted using </w:t>
      </w:r>
      <w:r w:rsidRPr="00056CE7">
        <w:rPr>
          <w:i/>
          <w:iCs/>
        </w:rPr>
        <w:t>MetaBAT2</w:t>
      </w:r>
      <w:r w:rsidRPr="00056CE7">
        <w:t xml:space="preserve"> and </w:t>
      </w:r>
      <w:r w:rsidRPr="00056CE7">
        <w:rPr>
          <w:i/>
          <w:iCs/>
        </w:rPr>
        <w:t>MaxBin2</w:t>
      </w:r>
      <w:r w:rsidRPr="00056CE7">
        <w:t xml:space="preserve"> (Wu et al., 2016) integrated through </w:t>
      </w:r>
      <w:proofErr w:type="spellStart"/>
      <w:r w:rsidRPr="00056CE7">
        <w:rPr>
          <w:i/>
          <w:iCs/>
        </w:rPr>
        <w:t>MetaWRAP</w:t>
      </w:r>
      <w:proofErr w:type="spellEnd"/>
      <w:r w:rsidRPr="00056CE7">
        <w:t xml:space="preserve"> (</w:t>
      </w:r>
      <w:proofErr w:type="spellStart"/>
      <w:r w:rsidRPr="00056CE7">
        <w:t>Uritskiy</w:t>
      </w:r>
      <w:proofErr w:type="spellEnd"/>
      <w:r w:rsidRPr="00056CE7">
        <w:t xml:space="preserve"> et al., 2018). MAG completeness and contamination were assessed using </w:t>
      </w:r>
      <w:proofErr w:type="spellStart"/>
      <w:r w:rsidRPr="00056CE7">
        <w:rPr>
          <w:i/>
          <w:iCs/>
        </w:rPr>
        <w:t>CheckM</w:t>
      </w:r>
      <w:proofErr w:type="spellEnd"/>
      <w:r w:rsidRPr="00056CE7">
        <w:t xml:space="preserve"> (Parks et al., 2015), and genomes with completeness &gt;70% and contamination &lt;10% were retained. Dereplication was performed with </w:t>
      </w:r>
      <w:proofErr w:type="spellStart"/>
      <w:r w:rsidRPr="00056CE7">
        <w:rPr>
          <w:i/>
          <w:iCs/>
        </w:rPr>
        <w:t>dRep</w:t>
      </w:r>
      <w:proofErr w:type="spellEnd"/>
      <w:r w:rsidRPr="00056CE7">
        <w:t xml:space="preserve"> (Olm et al., 2017) at 99% ANI. Pairwise ANI </w:t>
      </w:r>
      <w:r w:rsidRPr="00056CE7">
        <w:lastRenderedPageBreak/>
        <w:t xml:space="preserve">values were computed using </w:t>
      </w:r>
      <w:proofErr w:type="spellStart"/>
      <w:r w:rsidRPr="00056CE7">
        <w:rPr>
          <w:i/>
          <w:iCs/>
        </w:rPr>
        <w:t>FastANI</w:t>
      </w:r>
      <w:proofErr w:type="spellEnd"/>
      <w:r w:rsidRPr="00056CE7">
        <w:t xml:space="preserve"> (Jain et al., 2018). Final taxonomic assignments followed the GTDB-Tk framework (</w:t>
      </w:r>
      <w:proofErr w:type="spellStart"/>
      <w:r w:rsidRPr="00056CE7">
        <w:t>Chaumeil</w:t>
      </w:r>
      <w:proofErr w:type="spellEnd"/>
      <w:r w:rsidRPr="00056CE7">
        <w:t xml:space="preserve"> et al., 2020).</w:t>
      </w:r>
    </w:p>
    <w:p w14:paraId="01B9D6F8" w14:textId="23C665CF" w:rsidR="00056CE7" w:rsidRDefault="00056CE7" w:rsidP="00056CE7">
      <w:pPr>
        <w:pStyle w:val="3"/>
      </w:pPr>
      <w:r w:rsidRPr="00056CE7">
        <w:t>Supplementary Method 5</w:t>
      </w:r>
      <w:r>
        <w:rPr>
          <w:rFonts w:hint="eastAsia"/>
        </w:rPr>
        <w:t xml:space="preserve">: </w:t>
      </w:r>
      <w:r w:rsidRPr="00056CE7">
        <w:t>Gene prediction and functional annotation</w:t>
      </w:r>
    </w:p>
    <w:p w14:paraId="2B6FA3F5" w14:textId="77777777" w:rsidR="00056CE7" w:rsidRPr="00056CE7" w:rsidRDefault="00056CE7" w:rsidP="00056CE7">
      <w:r w:rsidRPr="00056CE7">
        <w:t xml:space="preserve">Protein-coding genes were predicted using </w:t>
      </w:r>
      <w:r w:rsidRPr="00056CE7">
        <w:rPr>
          <w:i/>
          <w:iCs/>
        </w:rPr>
        <w:t>Prodigal</w:t>
      </w:r>
      <w:r w:rsidRPr="00056CE7">
        <w:t xml:space="preserve"> (Hyatt et al., 2010). tRNAs were annotated using </w:t>
      </w:r>
      <w:proofErr w:type="spellStart"/>
      <w:r w:rsidRPr="00056CE7">
        <w:rPr>
          <w:i/>
          <w:iCs/>
        </w:rPr>
        <w:t>tRNAscan</w:t>
      </w:r>
      <w:proofErr w:type="spellEnd"/>
      <w:r w:rsidRPr="00056CE7">
        <w:rPr>
          <w:i/>
          <w:iCs/>
        </w:rPr>
        <w:t>-SE</w:t>
      </w:r>
      <w:r w:rsidRPr="00056CE7">
        <w:t xml:space="preserve"> (Chan &amp; Lowe, 2019).</w:t>
      </w:r>
    </w:p>
    <w:p w14:paraId="74F1C07F" w14:textId="77777777" w:rsidR="00056CE7" w:rsidRPr="00056CE7" w:rsidRDefault="00056CE7" w:rsidP="00056CE7">
      <w:r w:rsidRPr="00056CE7">
        <w:t>Functional annotation included:</w:t>
      </w:r>
    </w:p>
    <w:p w14:paraId="7972C7D0" w14:textId="77777777" w:rsidR="00056CE7" w:rsidRPr="00056CE7" w:rsidRDefault="00056CE7" w:rsidP="00056CE7">
      <w:pPr>
        <w:numPr>
          <w:ilvl w:val="0"/>
          <w:numId w:val="1"/>
        </w:numPr>
      </w:pPr>
      <w:r w:rsidRPr="00056CE7">
        <w:t xml:space="preserve">Metal transporter proteins identified via </w:t>
      </w:r>
      <w:r w:rsidRPr="00056CE7">
        <w:rPr>
          <w:i/>
          <w:iCs/>
        </w:rPr>
        <w:t>BLASTP</w:t>
      </w:r>
      <w:r w:rsidRPr="00056CE7">
        <w:t xml:space="preserve"> against TCDB (</w:t>
      </w:r>
      <w:proofErr w:type="spellStart"/>
      <w:r w:rsidRPr="00056CE7">
        <w:t>Saier</w:t>
      </w:r>
      <w:proofErr w:type="spellEnd"/>
      <w:r w:rsidRPr="00056CE7">
        <w:t xml:space="preserve"> et al., 2014)</w:t>
      </w:r>
    </w:p>
    <w:p w14:paraId="4368642F" w14:textId="77777777" w:rsidR="00056CE7" w:rsidRPr="00056CE7" w:rsidRDefault="00056CE7" w:rsidP="00056CE7">
      <w:pPr>
        <w:numPr>
          <w:ilvl w:val="0"/>
          <w:numId w:val="1"/>
        </w:numPr>
      </w:pPr>
      <w:r w:rsidRPr="00056CE7">
        <w:t xml:space="preserve">Iron-related genes identified using </w:t>
      </w:r>
      <w:proofErr w:type="spellStart"/>
      <w:r w:rsidRPr="00056CE7">
        <w:rPr>
          <w:i/>
          <w:iCs/>
        </w:rPr>
        <w:t>FeGenie</w:t>
      </w:r>
      <w:proofErr w:type="spellEnd"/>
      <w:r w:rsidRPr="00056CE7">
        <w:t xml:space="preserve"> (Garber et al., 2020)</w:t>
      </w:r>
    </w:p>
    <w:p w14:paraId="16D82F07" w14:textId="77777777" w:rsidR="00056CE7" w:rsidRPr="00056CE7" w:rsidRDefault="00056CE7" w:rsidP="00056CE7">
      <w:pPr>
        <w:numPr>
          <w:ilvl w:val="0"/>
          <w:numId w:val="1"/>
        </w:numPr>
      </w:pPr>
      <w:r w:rsidRPr="00056CE7">
        <w:t xml:space="preserve">Other metal redox genes annotated by </w:t>
      </w:r>
      <w:r w:rsidRPr="00056CE7">
        <w:rPr>
          <w:i/>
          <w:iCs/>
        </w:rPr>
        <w:t>BLASTP</w:t>
      </w:r>
      <w:r w:rsidRPr="00056CE7">
        <w:t xml:space="preserve"> against a curated reference and validated using the NCBI NR database</w:t>
      </w:r>
    </w:p>
    <w:p w14:paraId="7E90CBBF" w14:textId="77777777" w:rsidR="00056CE7" w:rsidRPr="00056CE7" w:rsidRDefault="00056CE7" w:rsidP="00056CE7">
      <w:pPr>
        <w:numPr>
          <w:ilvl w:val="0"/>
          <w:numId w:val="1"/>
        </w:numPr>
      </w:pPr>
      <w:r w:rsidRPr="00056CE7">
        <w:t xml:space="preserve">Nitrogen-cycling genes annotated using </w:t>
      </w:r>
      <w:proofErr w:type="spellStart"/>
      <w:r w:rsidRPr="00056CE7">
        <w:t>NCycDB</w:t>
      </w:r>
      <w:proofErr w:type="spellEnd"/>
      <w:r w:rsidRPr="00056CE7">
        <w:t xml:space="preserve"> (Dang et al., 2019)</w:t>
      </w:r>
    </w:p>
    <w:p w14:paraId="13E56509" w14:textId="77777777" w:rsidR="00056CE7" w:rsidRPr="00056CE7" w:rsidRDefault="00056CE7" w:rsidP="00056CE7">
      <w:pPr>
        <w:numPr>
          <w:ilvl w:val="0"/>
          <w:numId w:val="1"/>
        </w:numPr>
      </w:pPr>
      <w:r w:rsidRPr="00056CE7">
        <w:t xml:space="preserve">Sulfur-cycling genes annotated using </w:t>
      </w:r>
      <w:proofErr w:type="spellStart"/>
      <w:r w:rsidRPr="00056CE7">
        <w:t>SCycDB</w:t>
      </w:r>
      <w:proofErr w:type="spellEnd"/>
    </w:p>
    <w:p w14:paraId="6261CD7A" w14:textId="77777777" w:rsidR="00056CE7" w:rsidRPr="00056CE7" w:rsidRDefault="00056CE7" w:rsidP="00056CE7">
      <w:pPr>
        <w:numPr>
          <w:ilvl w:val="0"/>
          <w:numId w:val="1"/>
        </w:numPr>
      </w:pPr>
      <w:r w:rsidRPr="00056CE7">
        <w:t xml:space="preserve">All metabolism-related domain predictions validated using </w:t>
      </w:r>
      <w:proofErr w:type="spellStart"/>
      <w:r w:rsidRPr="00056CE7">
        <w:rPr>
          <w:i/>
          <w:iCs/>
        </w:rPr>
        <w:t>eggNOG</w:t>
      </w:r>
      <w:proofErr w:type="spellEnd"/>
      <w:r w:rsidRPr="00056CE7">
        <w:rPr>
          <w:i/>
          <w:iCs/>
        </w:rPr>
        <w:t>-mapper</w:t>
      </w:r>
      <w:r w:rsidRPr="00056CE7">
        <w:t xml:space="preserve"> v2.1.2 (Huerta-</w:t>
      </w:r>
      <w:proofErr w:type="spellStart"/>
      <w:r w:rsidRPr="00056CE7">
        <w:t>Cepas</w:t>
      </w:r>
      <w:proofErr w:type="spellEnd"/>
      <w:r w:rsidRPr="00056CE7">
        <w:t xml:space="preserve"> et al., 2019)</w:t>
      </w:r>
    </w:p>
    <w:p w14:paraId="5D14BEE6" w14:textId="77777777" w:rsidR="00056CE7" w:rsidRPr="00056CE7" w:rsidRDefault="00056CE7" w:rsidP="00056CE7">
      <w:pPr>
        <w:numPr>
          <w:ilvl w:val="0"/>
          <w:numId w:val="1"/>
        </w:numPr>
      </w:pPr>
      <w:proofErr w:type="spellStart"/>
      <w:r w:rsidRPr="00056CE7">
        <w:t>CAZymes</w:t>
      </w:r>
      <w:proofErr w:type="spellEnd"/>
      <w:r w:rsidRPr="00056CE7">
        <w:t xml:space="preserve"> annotated using </w:t>
      </w:r>
      <w:r w:rsidRPr="00056CE7">
        <w:rPr>
          <w:i/>
          <w:iCs/>
        </w:rPr>
        <w:t>HMMER3</w:t>
      </w:r>
      <w:r w:rsidRPr="00056CE7">
        <w:t xml:space="preserve"> against dbCAN2 (Zhang et al., 2018)</w:t>
      </w:r>
    </w:p>
    <w:p w14:paraId="7FEC67E0" w14:textId="77777777" w:rsidR="00056CE7" w:rsidRDefault="00056CE7" w:rsidP="00056CE7">
      <w:pPr>
        <w:numPr>
          <w:ilvl w:val="0"/>
          <w:numId w:val="1"/>
        </w:numPr>
      </w:pPr>
      <w:r w:rsidRPr="00056CE7">
        <w:t xml:space="preserve">Small-carbon metabolism annotated using KEGG KO assignments derived from </w:t>
      </w:r>
      <w:proofErr w:type="spellStart"/>
      <w:r w:rsidRPr="00056CE7">
        <w:rPr>
          <w:i/>
          <w:iCs/>
        </w:rPr>
        <w:t>eggNOG</w:t>
      </w:r>
      <w:proofErr w:type="spellEnd"/>
      <w:r w:rsidRPr="00056CE7">
        <w:rPr>
          <w:i/>
          <w:iCs/>
        </w:rPr>
        <w:t>-mapper</w:t>
      </w:r>
      <w:r w:rsidRPr="00056CE7">
        <w:t xml:space="preserve"> (Huerta-</w:t>
      </w:r>
      <w:proofErr w:type="spellStart"/>
      <w:r w:rsidRPr="00056CE7">
        <w:t>Cepas</w:t>
      </w:r>
      <w:proofErr w:type="spellEnd"/>
      <w:r w:rsidRPr="00056CE7">
        <w:t xml:space="preserve"> et al., 2019)</w:t>
      </w:r>
    </w:p>
    <w:p w14:paraId="7F4EF1DB" w14:textId="13A30183" w:rsidR="009D2533" w:rsidRDefault="009D2533" w:rsidP="009D2533">
      <w:pPr>
        <w:pStyle w:val="3"/>
      </w:pPr>
      <w:r w:rsidRPr="00056CE7">
        <w:t>Supplementary Method 6</w:t>
      </w:r>
      <w:r>
        <w:rPr>
          <w:rFonts w:hint="eastAsia"/>
        </w:rPr>
        <w:t xml:space="preserve">: </w:t>
      </w:r>
      <w:r w:rsidRPr="009D2533">
        <w:t>Tracking of HGT</w:t>
      </w:r>
      <w:r>
        <w:rPr>
          <w:rFonts w:hint="eastAsia"/>
        </w:rPr>
        <w:t xml:space="preserve"> in all MAGs</w:t>
      </w:r>
    </w:p>
    <w:p w14:paraId="034961A4" w14:textId="69DC3206" w:rsidR="009D2533" w:rsidRPr="00056CE7" w:rsidRDefault="009D2533" w:rsidP="009D2533">
      <w:r w:rsidRPr="009D2533">
        <w:t xml:space="preserve">We used </w:t>
      </w:r>
      <w:proofErr w:type="spellStart"/>
      <w:r w:rsidRPr="009D2533">
        <w:rPr>
          <w:i/>
          <w:iCs/>
        </w:rPr>
        <w:t>MetaCHIP</w:t>
      </w:r>
      <w:proofErr w:type="spellEnd"/>
      <w:r w:rsidRPr="009D2533">
        <w:rPr>
          <w:i/>
          <w:iCs/>
        </w:rPr>
        <w:t xml:space="preserve"> </w:t>
      </w:r>
      <w:r w:rsidRPr="009D2533">
        <w:t>(v.1.9.0) to detect all HGT events between MAGs in the bacterial community</w:t>
      </w:r>
      <w:r w:rsidR="00D90E37">
        <w:rPr>
          <w:rFonts w:hint="eastAsia"/>
        </w:rPr>
        <w:t xml:space="preserve"> (Song et al., 2019)</w:t>
      </w:r>
      <w:r w:rsidRPr="009D2533">
        <w:t>. Each predicted gene was compared between different taxonomic groups using the best match method. Based on the defined phylogenetic tree, if the best match was found in a non-self-group, the gene was identified as an HGT candidate gene. Then, potential HGTs were refined using phylogenetic methods to determine the direction of gene flow. Sankey diagrams</w:t>
      </w:r>
      <w:r>
        <w:rPr>
          <w:rFonts w:hint="eastAsia"/>
        </w:rPr>
        <w:t xml:space="preserve"> (Figure 1C)</w:t>
      </w:r>
      <w:r w:rsidRPr="009D2533">
        <w:t xml:space="preserve"> were used to visualize gene flow within the bacterial community at the genus level, to identify recent and non-recent gene horizontal transfer events and the transferred genes. Finally, these transferred genes were annotated as ARGs using the same method described above.</w:t>
      </w:r>
    </w:p>
    <w:p w14:paraId="623E9D0D" w14:textId="21E1AE75" w:rsidR="00056CE7" w:rsidRDefault="00056CE7" w:rsidP="000B19A3">
      <w:pPr>
        <w:pStyle w:val="3"/>
      </w:pPr>
      <w:r w:rsidRPr="00056CE7">
        <w:t xml:space="preserve">Supplementary Method </w:t>
      </w:r>
      <w:r w:rsidR="009D2533">
        <w:rPr>
          <w:rFonts w:hint="eastAsia"/>
        </w:rPr>
        <w:t>7</w:t>
      </w:r>
      <w:r>
        <w:rPr>
          <w:rFonts w:hint="eastAsia"/>
        </w:rPr>
        <w:t xml:space="preserve">: </w:t>
      </w:r>
      <w:r w:rsidRPr="00056CE7">
        <w:t>MAG abundance calculation</w:t>
      </w:r>
    </w:p>
    <w:p w14:paraId="77FA7CD2" w14:textId="40DF8BF3" w:rsidR="000B19A3" w:rsidRDefault="000B19A3" w:rsidP="000B19A3">
      <w:r w:rsidRPr="000B19A3">
        <w:t xml:space="preserve">Clean reads were mapped to the MAGs using </w:t>
      </w:r>
      <w:r w:rsidRPr="000B19A3">
        <w:rPr>
          <w:i/>
          <w:iCs/>
        </w:rPr>
        <w:t>BWA</w:t>
      </w:r>
      <w:r w:rsidRPr="000B19A3">
        <w:t xml:space="preserve"> (Li &amp; Durbin, 2009). Alignments were sorted </w:t>
      </w:r>
      <w:r w:rsidRPr="000B19A3">
        <w:lastRenderedPageBreak/>
        <w:t xml:space="preserve">using </w:t>
      </w:r>
      <w:proofErr w:type="spellStart"/>
      <w:r w:rsidRPr="000B19A3">
        <w:rPr>
          <w:i/>
          <w:iCs/>
        </w:rPr>
        <w:t>SAMtools</w:t>
      </w:r>
      <w:proofErr w:type="spellEnd"/>
      <w:r w:rsidRPr="000B19A3">
        <w:t xml:space="preserve"> (Li et al., 2009), and duplicates were removed using the Picard Toolkit (Broad Institute). Low-quality alignments were filtered using </w:t>
      </w:r>
      <w:proofErr w:type="spellStart"/>
      <w:r w:rsidRPr="000B19A3">
        <w:rPr>
          <w:i/>
          <w:iCs/>
        </w:rPr>
        <w:t>CoverM</w:t>
      </w:r>
      <w:proofErr w:type="spellEnd"/>
      <w:r w:rsidRPr="000B19A3">
        <w:t xml:space="preserve"> v0.6.1. Relative abundance was calculated using the “genome” and “</w:t>
      </w:r>
      <w:proofErr w:type="spellStart"/>
      <w:r w:rsidRPr="000B19A3">
        <w:t>relative_abundance</w:t>
      </w:r>
      <w:proofErr w:type="spellEnd"/>
      <w:r w:rsidRPr="000B19A3">
        <w:t>” modes.</w:t>
      </w:r>
    </w:p>
    <w:p w14:paraId="672FEADF" w14:textId="000CA884" w:rsidR="000B19A3" w:rsidRDefault="000B19A3" w:rsidP="000B19A3">
      <w:pPr>
        <w:pStyle w:val="3"/>
      </w:pPr>
      <w:r w:rsidRPr="000B19A3">
        <w:t xml:space="preserve">Supplementary Method </w:t>
      </w:r>
      <w:r w:rsidR="009D2533">
        <w:rPr>
          <w:rFonts w:hint="eastAsia"/>
        </w:rPr>
        <w:t>8</w:t>
      </w:r>
      <w:r>
        <w:rPr>
          <w:rFonts w:hint="eastAsia"/>
        </w:rPr>
        <w:t xml:space="preserve">: </w:t>
      </w:r>
      <w:r w:rsidRPr="000B19A3">
        <w:t>Co-occurrence network construction</w:t>
      </w:r>
    </w:p>
    <w:p w14:paraId="4413C8E7" w14:textId="7E8231EE" w:rsidR="000B19A3" w:rsidRDefault="000B19A3" w:rsidP="000B19A3">
      <w:r w:rsidRPr="000B19A3">
        <w:t xml:space="preserve">Pairwise Spearman correlations were calculated using MAG relative abundances. MAGs with zero abundance in more than half of the samples were removed using the majority-selection filter. The filtered matrix was used for Random Matrix Theory (RMT)–based network analysis on the </w:t>
      </w:r>
      <w:proofErr w:type="spellStart"/>
      <w:r w:rsidRPr="000B19A3">
        <w:t>iNAP</w:t>
      </w:r>
      <w:proofErr w:type="spellEnd"/>
      <w:r w:rsidRPr="000B19A3">
        <w:t xml:space="preserve"> platform (Deng et al., 2012). The resulting network includes robust co-occurrence relationships among abundant MAGs.</w:t>
      </w:r>
    </w:p>
    <w:p w14:paraId="583BBE66" w14:textId="041AEE02" w:rsidR="000B19A3" w:rsidRDefault="000B19A3" w:rsidP="000B19A3">
      <w:pPr>
        <w:pStyle w:val="3"/>
      </w:pPr>
      <w:r w:rsidRPr="000B19A3">
        <w:t xml:space="preserve">Supplementary Method </w:t>
      </w:r>
      <w:r w:rsidR="009D2533">
        <w:rPr>
          <w:rFonts w:hint="eastAsia"/>
        </w:rPr>
        <w:t>9</w:t>
      </w:r>
      <w:r w:rsidRPr="000B19A3">
        <w:rPr>
          <w:rFonts w:hint="eastAsia"/>
        </w:rPr>
        <w:t xml:space="preserve">: </w:t>
      </w:r>
      <w:r w:rsidRPr="000B19A3">
        <w:t>Metabolic complementarity and metabolite exchange</w:t>
      </w:r>
    </w:p>
    <w:p w14:paraId="11C6B452" w14:textId="23476C04" w:rsidR="000B19A3" w:rsidRDefault="000B19A3" w:rsidP="000B19A3">
      <w:r w:rsidRPr="000B19A3">
        <w:t xml:space="preserve">Metabolic complementarity between MAGs was inferred using the </w:t>
      </w:r>
      <w:proofErr w:type="spellStart"/>
      <w:r w:rsidRPr="000B19A3">
        <w:rPr>
          <w:i/>
          <w:iCs/>
        </w:rPr>
        <w:t>PhyloMint</w:t>
      </w:r>
      <w:proofErr w:type="spellEnd"/>
      <w:r w:rsidRPr="000B19A3">
        <w:t xml:space="preserve"> framework (Zhao et al., 2022). Genome-scale metabolic models were reconstructed using </w:t>
      </w:r>
      <w:proofErr w:type="spellStart"/>
      <w:r w:rsidRPr="000B19A3">
        <w:rPr>
          <w:i/>
          <w:iCs/>
        </w:rPr>
        <w:t>CarveMe</w:t>
      </w:r>
      <w:proofErr w:type="spellEnd"/>
      <w:r w:rsidRPr="000B19A3">
        <w:t xml:space="preserve"> (Machado et al., 2018) with the </w:t>
      </w:r>
      <w:proofErr w:type="spellStart"/>
      <w:r w:rsidRPr="000B19A3">
        <w:t>BiGG</w:t>
      </w:r>
      <w:proofErr w:type="spellEnd"/>
      <w:r w:rsidRPr="000B19A3">
        <w:t xml:space="preserve"> Models reference database (King et al., 2016).Metabolites were categorized according to </w:t>
      </w:r>
      <w:r>
        <w:rPr>
          <w:rFonts w:hint="eastAsia"/>
        </w:rPr>
        <w:t xml:space="preserve">Peng' s study: </w:t>
      </w:r>
      <w:r>
        <w:t>(</w:t>
      </w:r>
      <w:proofErr w:type="spellStart"/>
      <w:r>
        <w:t>i</w:t>
      </w:r>
      <w:proofErr w:type="spellEnd"/>
      <w:r>
        <w:t>) fatty acyl-</w:t>
      </w:r>
      <w:proofErr w:type="spellStart"/>
      <w:r>
        <w:t>CoAs</w:t>
      </w:r>
      <w:proofErr w:type="spellEnd"/>
      <w:r>
        <w:t xml:space="preserve"> were separated from “lipids and lipid-like molecules” and grouped with other CoA derivatives into a new class termed “CoA derivatives”;</w:t>
      </w:r>
      <w:r>
        <w:rPr>
          <w:rFonts w:hint="eastAsia"/>
        </w:rPr>
        <w:t xml:space="preserve"> </w:t>
      </w:r>
      <w:r>
        <w:t>(ii) compounds identified as amino acids, peptides, and analogues were separated from “organic acids and derivatives” into a distinct class;</w:t>
      </w:r>
      <w:r>
        <w:rPr>
          <w:rFonts w:hint="eastAsia"/>
        </w:rPr>
        <w:t xml:space="preserve"> </w:t>
      </w:r>
      <w:r>
        <w:t>(iii) carbohydrates and carbohydrate conjugates were merged with inorganic compounds into a single category termed “inorganics,” which includes both metallic and non-metallic homogeneous compounds;</w:t>
      </w:r>
      <w:r>
        <w:rPr>
          <w:rFonts w:hint="eastAsia"/>
        </w:rPr>
        <w:t xml:space="preserve"> </w:t>
      </w:r>
      <w:r>
        <w:t>(iv) organic nitrogen compounds, organic oxygen compounds, organic heterocyclic compounds, benzimidazoles, and organic sulfur compounds were merged into one category termed “organic compounds with specific atoms or structural motifs”; and</w:t>
      </w:r>
      <w:r>
        <w:rPr>
          <w:rFonts w:hint="eastAsia"/>
        </w:rPr>
        <w:t xml:space="preserve"> </w:t>
      </w:r>
      <w:r>
        <w:t xml:space="preserve">(v) oxidized and reduced ferredoxins, heme, </w:t>
      </w:r>
      <w:proofErr w:type="spellStart"/>
      <w:r>
        <w:t>staphyloferrin</w:t>
      </w:r>
      <w:proofErr w:type="spellEnd"/>
      <w:r>
        <w:t xml:space="preserve"> B, and pyoverdine were grouped under “other metabolites”</w:t>
      </w:r>
      <w:r>
        <w:rPr>
          <w:rFonts w:hint="eastAsia"/>
        </w:rPr>
        <w:t xml:space="preserve"> (Peng et al., 2024).</w:t>
      </w:r>
    </w:p>
    <w:p w14:paraId="109572A9" w14:textId="5C118990" w:rsidR="009D2533" w:rsidRDefault="009D2533" w:rsidP="009D2533">
      <w:pPr>
        <w:pStyle w:val="3"/>
      </w:pPr>
      <w:r w:rsidRPr="009D2533">
        <w:t xml:space="preserve">Supplementary Method </w:t>
      </w:r>
      <w:r>
        <w:rPr>
          <w:rFonts w:hint="eastAsia"/>
        </w:rPr>
        <w:t xml:space="preserve">10: </w:t>
      </w:r>
      <w:r w:rsidRPr="009D2533">
        <w:t>Life-history strategies of MAGs</w:t>
      </w:r>
    </w:p>
    <w:p w14:paraId="185E50FF" w14:textId="76B603D8" w:rsidR="009D2533" w:rsidRDefault="009D2533" w:rsidP="009D2533">
      <w:pPr>
        <w:rPr>
          <w:rFonts w:ascii="宋体" w:eastAsia="宋体" w:hAnsi="宋体" w:cs="宋体"/>
          <w:kern w:val="0"/>
          <w:sz w:val="24"/>
        </w:rPr>
      </w:pPr>
      <w:r w:rsidRPr="009D2533">
        <w:t xml:space="preserve">We constructed a classification and regression framework based on the Y–A–S life-history strategy model using an </w:t>
      </w:r>
      <w:proofErr w:type="spellStart"/>
      <w:r w:rsidRPr="009D2533">
        <w:t>XGBoost</w:t>
      </w:r>
      <w:proofErr w:type="spellEnd"/>
      <w:r w:rsidRPr="009D2533">
        <w:t xml:space="preserve"> decision-tree algorithm. First, we screened genes involved in carbon metabolism, nitrogen cycling, and sulfur metabolism from all sediment- and nodule-derived MAGs to represent resource acquisition capacity (A). Genes related to metal resistance were selected as </w:t>
      </w:r>
      <w:r w:rsidRPr="009D2533">
        <w:lastRenderedPageBreak/>
        <w:t>indicators of environmental stress tolerance (S), and tRNA gene counts were used as proxies for intrinsic growth capacity (Y</w:t>
      </w:r>
      <w:proofErr w:type="gramStart"/>
      <w:r w:rsidRPr="009D2533">
        <w:t>)</w:t>
      </w:r>
      <w:r w:rsidR="001B60CE">
        <w:rPr>
          <w:rFonts w:hint="eastAsia"/>
        </w:rPr>
        <w:t>(</w:t>
      </w:r>
      <w:proofErr w:type="gramEnd"/>
      <w:r w:rsidR="001B60CE">
        <w:rPr>
          <w:rFonts w:hint="eastAsia"/>
        </w:rPr>
        <w:t>Figure S7, Table S10)</w:t>
      </w:r>
      <w:r w:rsidRPr="009D2533">
        <w:t>. The relative abundance proportions of these gene categories were then calculated for each MAG. We defined the dominant life-history strategy as follows:</w:t>
      </w:r>
      <w:r w:rsidRPr="009D2533">
        <w:br/>
        <w:t>(1) If one capacity category exceeded 50%, or exceeded 40% while the other two categories were each below 30%, the MAG was assigned to the strategy dominated by that single capacity.</w:t>
      </w:r>
      <w:r w:rsidRPr="009D2533">
        <w:br/>
        <w:t>(2) If two capacity categories were both above 30% and the third was below 30%, the MAG was assigned to a mixed strategy dominated by those two capacities.</w:t>
      </w:r>
      <w:r w:rsidRPr="009D2533">
        <w:br/>
        <w:t xml:space="preserve">(3) If all three capacities were below 40%, the MAG was classified as </w:t>
      </w:r>
      <w:r w:rsidRPr="0068028A">
        <w:t>AVERAGE</w:t>
      </w:r>
      <w:r w:rsidRPr="009D2533">
        <w:t>, representing a balanced strategy without clear specialization toward resource acquisition, intrinsic growth, or stress tolerance.</w:t>
      </w:r>
      <w:r w:rsidRPr="009D2533">
        <w:rPr>
          <w:rFonts w:ascii="宋体" w:eastAsia="宋体" w:hAnsi="宋体" w:cs="宋体"/>
          <w:kern w:val="0"/>
          <w:sz w:val="24"/>
        </w:rPr>
        <w:t xml:space="preserve"> </w:t>
      </w:r>
    </w:p>
    <w:p w14:paraId="783384C2" w14:textId="73E7A2D2" w:rsidR="009D2533" w:rsidRPr="009D2533" w:rsidRDefault="009D2533" w:rsidP="009D2533">
      <w:r w:rsidRPr="009D2533">
        <w:t>Based on these criteria, seven life-history strategy groups were obtained:</w:t>
      </w:r>
      <w:r w:rsidRPr="009D2533">
        <w:br/>
        <w:t xml:space="preserve">• </w:t>
      </w:r>
      <w:r w:rsidRPr="009D2533">
        <w:rPr>
          <w:b/>
          <w:bCs/>
        </w:rPr>
        <w:t>Y-type</w:t>
      </w:r>
      <w:r w:rsidRPr="009D2533">
        <w:t>: microbes allocating most resources toward growth and biomass production;</w:t>
      </w:r>
      <w:r w:rsidRPr="009D2533">
        <w:br/>
        <w:t xml:space="preserve">• </w:t>
      </w:r>
      <w:r w:rsidRPr="009D2533">
        <w:rPr>
          <w:b/>
          <w:bCs/>
        </w:rPr>
        <w:t>A-type</w:t>
      </w:r>
      <w:r w:rsidRPr="009D2533">
        <w:t>: microbes prioritizing resource acquisition;</w:t>
      </w:r>
      <w:r w:rsidRPr="009D2533">
        <w:br/>
        <w:t xml:space="preserve">• </w:t>
      </w:r>
      <w:r w:rsidRPr="009D2533">
        <w:rPr>
          <w:b/>
          <w:bCs/>
        </w:rPr>
        <w:t>S-type</w:t>
      </w:r>
      <w:r w:rsidRPr="009D2533">
        <w:t>: microbes emphasizing adaptation to environmental stress;</w:t>
      </w:r>
      <w:r w:rsidRPr="009D2533">
        <w:br/>
        <w:t xml:space="preserve">• </w:t>
      </w:r>
      <w:r w:rsidRPr="009D2533">
        <w:rPr>
          <w:b/>
          <w:bCs/>
        </w:rPr>
        <w:t>AS-type</w:t>
      </w:r>
      <w:r w:rsidRPr="009D2533">
        <w:t>: microbes co-investing in resource acquisition and stress tolerance;</w:t>
      </w:r>
      <w:r w:rsidRPr="009D2533">
        <w:br/>
        <w:t xml:space="preserve">• </w:t>
      </w:r>
      <w:r w:rsidRPr="009D2533">
        <w:rPr>
          <w:b/>
          <w:bCs/>
        </w:rPr>
        <w:t>AY-type</w:t>
      </w:r>
      <w:r w:rsidRPr="009D2533">
        <w:t>: microbes co-investing in resource acquisition and growth;</w:t>
      </w:r>
      <w:r w:rsidRPr="009D2533">
        <w:br/>
        <w:t xml:space="preserve">• </w:t>
      </w:r>
      <w:r w:rsidRPr="009D2533">
        <w:rPr>
          <w:b/>
          <w:bCs/>
        </w:rPr>
        <w:t>SY-type</w:t>
      </w:r>
      <w:r w:rsidRPr="009D2533">
        <w:t>: microbes co-investing in growth and stress tolerance;</w:t>
      </w:r>
      <w:r w:rsidRPr="009D2533">
        <w:br/>
        <w:t xml:space="preserve">• </w:t>
      </w:r>
      <w:r w:rsidRPr="009D2533">
        <w:rPr>
          <w:b/>
          <w:bCs/>
        </w:rPr>
        <w:t>AVER-type</w:t>
      </w:r>
      <w:r w:rsidRPr="009D2533">
        <w:t>: microbes without a distinct allocation bias across the three capacities.</w:t>
      </w:r>
    </w:p>
    <w:p w14:paraId="6B78F5E5" w14:textId="77777777" w:rsidR="009D2533" w:rsidRPr="009D2533" w:rsidRDefault="009D2533" w:rsidP="009D2533">
      <w:bookmarkStart w:id="2" w:name="OLE_LINK246"/>
      <w:bookmarkStart w:id="3" w:name="OLE_LINK247"/>
      <w:r w:rsidRPr="009D2533">
        <w:t>We subsequently performed regression analyses between these life-history categories and the classes of exchanged metabolites to quantify the influence of each life-history strategy on different metabolite categories.</w:t>
      </w:r>
      <w:bookmarkEnd w:id="2"/>
      <w:bookmarkEnd w:id="3"/>
    </w:p>
    <w:p w14:paraId="78B6C562" w14:textId="6BDAB652" w:rsidR="009D2533" w:rsidRPr="009D2533" w:rsidRDefault="00D90E37" w:rsidP="00D90E37">
      <w:pPr>
        <w:pStyle w:val="2"/>
      </w:pPr>
      <w:r w:rsidRPr="00D90E37">
        <w:t>Supplementary References</w:t>
      </w:r>
    </w:p>
    <w:p w14:paraId="7DDE0C2C" w14:textId="5D84C48A" w:rsidR="00D90E37" w:rsidRPr="00D90E37" w:rsidRDefault="00D90E37" w:rsidP="00D90E37">
      <w:pPr>
        <w:ind w:firstLineChars="200" w:firstLine="420"/>
      </w:pPr>
      <w:r w:rsidRPr="00D90E37">
        <w:t xml:space="preserve">Bolger AM, Lohse M, </w:t>
      </w:r>
      <w:proofErr w:type="spellStart"/>
      <w:r w:rsidRPr="00D90E37">
        <w:t>Usadel</w:t>
      </w:r>
      <w:proofErr w:type="spellEnd"/>
      <w:r w:rsidRPr="00D90E37">
        <w:t xml:space="preserve"> B (2014). </w:t>
      </w:r>
      <w:proofErr w:type="spellStart"/>
      <w:r w:rsidRPr="00D90E37">
        <w:t>Trimmomatic</w:t>
      </w:r>
      <w:proofErr w:type="spellEnd"/>
      <w:r w:rsidRPr="00D90E37">
        <w:t xml:space="preserve">: a flexible trimmer for Illumina sequence data. </w:t>
      </w:r>
      <w:r w:rsidRPr="00D90E37">
        <w:rPr>
          <w:i/>
          <w:iCs/>
        </w:rPr>
        <w:t>Bioinformatics</w:t>
      </w:r>
      <w:r w:rsidRPr="00D90E37">
        <w:t xml:space="preserve"> </w:t>
      </w:r>
      <w:r w:rsidRPr="00D90E37">
        <w:rPr>
          <w:b/>
          <w:bCs/>
        </w:rPr>
        <w:t>30</w:t>
      </w:r>
      <w:r w:rsidRPr="00D90E37">
        <w:t>: 2114–2120.</w:t>
      </w:r>
    </w:p>
    <w:p w14:paraId="4A85DF0E" w14:textId="23C87D89" w:rsidR="00D90E37" w:rsidRPr="00D90E37" w:rsidRDefault="00D90E37" w:rsidP="00D90E37">
      <w:pPr>
        <w:ind w:firstLineChars="200" w:firstLine="420"/>
      </w:pPr>
      <w:proofErr w:type="spellStart"/>
      <w:r w:rsidRPr="00D90E37">
        <w:t>Chaumeil</w:t>
      </w:r>
      <w:proofErr w:type="spellEnd"/>
      <w:r w:rsidRPr="00D90E37">
        <w:t xml:space="preserve"> PA, </w:t>
      </w:r>
      <w:proofErr w:type="spellStart"/>
      <w:r w:rsidRPr="00D90E37">
        <w:t>Mussig</w:t>
      </w:r>
      <w:proofErr w:type="spellEnd"/>
      <w:r w:rsidRPr="00D90E37">
        <w:t xml:space="preserve"> AJ, </w:t>
      </w:r>
      <w:proofErr w:type="spellStart"/>
      <w:r w:rsidRPr="00D90E37">
        <w:t>Hugenholtz</w:t>
      </w:r>
      <w:proofErr w:type="spellEnd"/>
      <w:r w:rsidRPr="00D90E37">
        <w:t xml:space="preserve"> P, Parks DH (2020). </w:t>
      </w:r>
      <w:bookmarkStart w:id="4" w:name="OLE_LINK226"/>
      <w:bookmarkStart w:id="5" w:name="OLE_LINK227"/>
      <w:r w:rsidRPr="00D90E37">
        <w:t>GTDB-Tk: a toolkit to classify genomes with the Genome Taxonomy Database</w:t>
      </w:r>
      <w:bookmarkEnd w:id="4"/>
      <w:bookmarkEnd w:id="5"/>
      <w:r w:rsidRPr="00D90E37">
        <w:t xml:space="preserve">. </w:t>
      </w:r>
      <w:r w:rsidRPr="00D90E37">
        <w:rPr>
          <w:i/>
          <w:iCs/>
        </w:rPr>
        <w:t>Bioinformatics</w:t>
      </w:r>
      <w:r w:rsidRPr="00D90E37">
        <w:t xml:space="preserve"> </w:t>
      </w:r>
      <w:r w:rsidRPr="00D90E37">
        <w:rPr>
          <w:b/>
          <w:bCs/>
        </w:rPr>
        <w:t>36</w:t>
      </w:r>
      <w:r w:rsidRPr="00D90E37">
        <w:t>: 1925–1927.</w:t>
      </w:r>
    </w:p>
    <w:p w14:paraId="0CCB0BA8" w14:textId="45ECAD7D" w:rsidR="00D90E37" w:rsidRPr="00D90E37" w:rsidRDefault="00D90E37" w:rsidP="00D90E37">
      <w:pPr>
        <w:ind w:firstLineChars="200" w:firstLine="420"/>
      </w:pPr>
      <w:r w:rsidRPr="00D90E37">
        <w:t xml:space="preserve">Chan PP, Lowe TM (2019). </w:t>
      </w:r>
      <w:proofErr w:type="spellStart"/>
      <w:r w:rsidRPr="00D90E37">
        <w:t>tRNAscan</w:t>
      </w:r>
      <w:proofErr w:type="spellEnd"/>
      <w:r w:rsidRPr="00D90E37">
        <w:t xml:space="preserve">-SE: searching for tRNA genes in genomic sequences. </w:t>
      </w:r>
      <w:r w:rsidRPr="00D90E37">
        <w:rPr>
          <w:i/>
          <w:iCs/>
        </w:rPr>
        <w:t>Methods Mol Biol</w:t>
      </w:r>
      <w:r w:rsidRPr="00D90E37">
        <w:t xml:space="preserve"> </w:t>
      </w:r>
      <w:r w:rsidRPr="00D90E37">
        <w:rPr>
          <w:b/>
          <w:bCs/>
        </w:rPr>
        <w:t>1962</w:t>
      </w:r>
      <w:r w:rsidRPr="00D90E37">
        <w:t>: 1–14.</w:t>
      </w:r>
    </w:p>
    <w:p w14:paraId="41569140" w14:textId="2FA1F98E" w:rsidR="00D90E37" w:rsidRPr="00D90E37" w:rsidRDefault="00D90E37" w:rsidP="00D90E37">
      <w:pPr>
        <w:ind w:firstLineChars="200" w:firstLine="420"/>
      </w:pPr>
      <w:r w:rsidRPr="00D90E37">
        <w:lastRenderedPageBreak/>
        <w:t xml:space="preserve">Dang H, Chen R, Wang L, Shao S, Dai L, Ye Y et al. (2019). </w:t>
      </w:r>
      <w:proofErr w:type="spellStart"/>
      <w:r w:rsidRPr="00D90E37">
        <w:t>NCycDB</w:t>
      </w:r>
      <w:proofErr w:type="spellEnd"/>
      <w:r w:rsidRPr="00D90E37">
        <w:t xml:space="preserve">: a curated integrative database for fast and accurate metagenomic profiling of nitrogen cycling genes. </w:t>
      </w:r>
      <w:r w:rsidRPr="00D90E37">
        <w:rPr>
          <w:i/>
          <w:iCs/>
        </w:rPr>
        <w:t>Bioinformatics</w:t>
      </w:r>
      <w:r w:rsidRPr="00D90E37">
        <w:t xml:space="preserve"> </w:t>
      </w:r>
      <w:r w:rsidRPr="00D90E37">
        <w:rPr>
          <w:b/>
          <w:bCs/>
        </w:rPr>
        <w:t>35</w:t>
      </w:r>
      <w:r w:rsidRPr="00D90E37">
        <w:t>: 1040–1048.</w:t>
      </w:r>
    </w:p>
    <w:p w14:paraId="310F0C08" w14:textId="398B49FB" w:rsidR="00D90E37" w:rsidRPr="00D90E37" w:rsidRDefault="00D90E37" w:rsidP="00D90E37">
      <w:pPr>
        <w:ind w:firstLineChars="200" w:firstLine="420"/>
      </w:pPr>
      <w:r w:rsidRPr="00D90E37">
        <w:t xml:space="preserve">Deng Y, Jiang YH, Yang Y, He Z, Luo F, Zhou J (2012). Molecular ecological network analyses. </w:t>
      </w:r>
      <w:r w:rsidRPr="00D90E37">
        <w:rPr>
          <w:i/>
          <w:iCs/>
        </w:rPr>
        <w:t>BMC Bioinformatics</w:t>
      </w:r>
      <w:r w:rsidRPr="00D90E37">
        <w:t xml:space="preserve"> </w:t>
      </w:r>
      <w:r w:rsidRPr="00D90E37">
        <w:rPr>
          <w:b/>
          <w:bCs/>
        </w:rPr>
        <w:t>13</w:t>
      </w:r>
      <w:r w:rsidRPr="00D90E37">
        <w:t>: 113.</w:t>
      </w:r>
    </w:p>
    <w:p w14:paraId="294D6932" w14:textId="01E7ED67" w:rsidR="00D90E37" w:rsidRPr="00D90E37" w:rsidRDefault="00D90E37" w:rsidP="00D90E37">
      <w:pPr>
        <w:ind w:firstLineChars="200" w:firstLine="420"/>
      </w:pPr>
      <w:r w:rsidRPr="00D90E37">
        <w:t xml:space="preserve">Garber AI, </w:t>
      </w:r>
      <w:proofErr w:type="spellStart"/>
      <w:r w:rsidRPr="00D90E37">
        <w:t>Nealson</w:t>
      </w:r>
      <w:proofErr w:type="spellEnd"/>
      <w:r w:rsidRPr="00D90E37">
        <w:t xml:space="preserve"> KH, Okamoto A, McAllister SM, Chan CS, Barco RA et al. (2020). </w:t>
      </w:r>
      <w:proofErr w:type="spellStart"/>
      <w:r w:rsidRPr="00D90E37">
        <w:t>FeGenie</w:t>
      </w:r>
      <w:proofErr w:type="spellEnd"/>
      <w:r w:rsidRPr="00D90E37">
        <w:t xml:space="preserve">: a comprehensive tool for the identification of iron genes and gene neighborhoods in genome assemblies. </w:t>
      </w:r>
      <w:proofErr w:type="spellStart"/>
      <w:r w:rsidRPr="00D90E37">
        <w:rPr>
          <w:i/>
          <w:iCs/>
        </w:rPr>
        <w:t>mSystems</w:t>
      </w:r>
      <w:proofErr w:type="spellEnd"/>
      <w:r w:rsidRPr="00D90E37">
        <w:t xml:space="preserve"> </w:t>
      </w:r>
      <w:r w:rsidRPr="00D90E37">
        <w:rPr>
          <w:b/>
          <w:bCs/>
        </w:rPr>
        <w:t>5</w:t>
      </w:r>
      <w:r w:rsidRPr="00D90E37">
        <w:t>: e00327-19.</w:t>
      </w:r>
    </w:p>
    <w:p w14:paraId="19C97849" w14:textId="68E3B01B" w:rsidR="00D90E37" w:rsidRPr="00D90E37" w:rsidRDefault="00D90E37" w:rsidP="00D90E37">
      <w:pPr>
        <w:ind w:firstLineChars="200" w:firstLine="420"/>
      </w:pPr>
      <w:r w:rsidRPr="00D90E37">
        <w:t>Huerta-</w:t>
      </w:r>
      <w:proofErr w:type="spellStart"/>
      <w:r w:rsidRPr="00D90E37">
        <w:t>Cepas</w:t>
      </w:r>
      <w:proofErr w:type="spellEnd"/>
      <w:r w:rsidRPr="00D90E37">
        <w:t xml:space="preserve"> J, </w:t>
      </w:r>
      <w:proofErr w:type="spellStart"/>
      <w:r w:rsidRPr="00D90E37">
        <w:t>Szklarczyk</w:t>
      </w:r>
      <w:proofErr w:type="spellEnd"/>
      <w:r w:rsidRPr="00D90E37">
        <w:t xml:space="preserve"> D, Heller D, Hernández-Plaza A, Forslund SK, Cook H et al. (2019). </w:t>
      </w:r>
      <w:proofErr w:type="spellStart"/>
      <w:r w:rsidRPr="00D90E37">
        <w:t>eggNOG</w:t>
      </w:r>
      <w:proofErr w:type="spellEnd"/>
      <w:r w:rsidRPr="00D90E37">
        <w:t xml:space="preserve"> 5.0: a hierarchical, functionally and phylogenetically annotated </w:t>
      </w:r>
      <w:proofErr w:type="spellStart"/>
      <w:r w:rsidRPr="00D90E37">
        <w:t>orthology</w:t>
      </w:r>
      <w:proofErr w:type="spellEnd"/>
      <w:r w:rsidRPr="00D90E37">
        <w:t xml:space="preserve"> resource. </w:t>
      </w:r>
      <w:r w:rsidRPr="00D90E37">
        <w:rPr>
          <w:i/>
          <w:iCs/>
        </w:rPr>
        <w:t>Nucleic Acids Res</w:t>
      </w:r>
      <w:r w:rsidRPr="00D90E37">
        <w:t xml:space="preserve"> </w:t>
      </w:r>
      <w:r w:rsidRPr="00D90E37">
        <w:rPr>
          <w:b/>
          <w:bCs/>
        </w:rPr>
        <w:t>47</w:t>
      </w:r>
      <w:r w:rsidRPr="00D90E37">
        <w:t>: D309–D314.</w:t>
      </w:r>
    </w:p>
    <w:p w14:paraId="6118492E" w14:textId="5722B0C1" w:rsidR="00D90E37" w:rsidRPr="00D90E37" w:rsidRDefault="00D90E37" w:rsidP="00D90E37">
      <w:pPr>
        <w:ind w:firstLineChars="200" w:firstLine="420"/>
      </w:pPr>
      <w:r w:rsidRPr="00D90E37">
        <w:t xml:space="preserve">Hyatt D, Chen GL, </w:t>
      </w:r>
      <w:proofErr w:type="spellStart"/>
      <w:r w:rsidRPr="00D90E37">
        <w:t>LoCascio</w:t>
      </w:r>
      <w:proofErr w:type="spellEnd"/>
      <w:r w:rsidRPr="00D90E37">
        <w:t xml:space="preserve"> PF, Land ML, Larimer FW, Hauser LJ (2010). Prodigal: prokaryotic gene recognition and translation initiation site identification. </w:t>
      </w:r>
      <w:r w:rsidRPr="00D90E37">
        <w:rPr>
          <w:i/>
          <w:iCs/>
        </w:rPr>
        <w:t>BMC Bioinformatics</w:t>
      </w:r>
      <w:r w:rsidRPr="00D90E37">
        <w:t xml:space="preserve"> </w:t>
      </w:r>
      <w:r w:rsidRPr="00D90E37">
        <w:rPr>
          <w:b/>
          <w:bCs/>
        </w:rPr>
        <w:t>11</w:t>
      </w:r>
      <w:r w:rsidRPr="00D90E37">
        <w:t>: 119.</w:t>
      </w:r>
    </w:p>
    <w:p w14:paraId="7BBC608B" w14:textId="5F2CDCE2" w:rsidR="00D90E37" w:rsidRPr="00D90E37" w:rsidRDefault="00D90E37" w:rsidP="00D90E37">
      <w:pPr>
        <w:ind w:firstLineChars="200" w:firstLine="420"/>
      </w:pPr>
      <w:r w:rsidRPr="00D90E37">
        <w:t xml:space="preserve">Jain C, Rodriguez-R LM, </w:t>
      </w:r>
      <w:proofErr w:type="spellStart"/>
      <w:r w:rsidRPr="00D90E37">
        <w:t>Phillippy</w:t>
      </w:r>
      <w:proofErr w:type="spellEnd"/>
      <w:r w:rsidRPr="00D90E37">
        <w:t xml:space="preserve"> AM, Konstantinidis KT, </w:t>
      </w:r>
      <w:proofErr w:type="spellStart"/>
      <w:r w:rsidRPr="00D90E37">
        <w:t>Aluru</w:t>
      </w:r>
      <w:proofErr w:type="spellEnd"/>
      <w:r w:rsidRPr="00D90E37">
        <w:t xml:space="preserve"> S (2018). High-throughput ANI analysis using </w:t>
      </w:r>
      <w:proofErr w:type="spellStart"/>
      <w:r w:rsidRPr="00D90E37">
        <w:t>FastANI</w:t>
      </w:r>
      <w:proofErr w:type="spellEnd"/>
      <w:r w:rsidRPr="00D90E37">
        <w:t xml:space="preserve">. </w:t>
      </w:r>
      <w:r w:rsidRPr="00D90E37">
        <w:rPr>
          <w:i/>
          <w:iCs/>
        </w:rPr>
        <w:t>Nat Commun</w:t>
      </w:r>
      <w:r w:rsidRPr="00D90E37">
        <w:t xml:space="preserve"> </w:t>
      </w:r>
      <w:r w:rsidRPr="00D90E37">
        <w:rPr>
          <w:b/>
          <w:bCs/>
        </w:rPr>
        <w:t>9</w:t>
      </w:r>
      <w:r w:rsidRPr="00D90E37">
        <w:t>: 5114.</w:t>
      </w:r>
    </w:p>
    <w:p w14:paraId="04D0B7D9" w14:textId="08CDEDEA" w:rsidR="00D90E37" w:rsidRPr="00D90E37" w:rsidRDefault="00D90E37" w:rsidP="00D90E37">
      <w:pPr>
        <w:ind w:firstLineChars="200" w:firstLine="420"/>
      </w:pPr>
      <w:r w:rsidRPr="00D90E37">
        <w:t xml:space="preserve">King ZA, Lu J, Dräger A, Miller P, Federowicz S, Lerman JA et al. (2016). </w:t>
      </w:r>
      <w:proofErr w:type="spellStart"/>
      <w:r w:rsidRPr="00D90E37">
        <w:t>BiGG</w:t>
      </w:r>
      <w:proofErr w:type="spellEnd"/>
      <w:r w:rsidRPr="00D90E37">
        <w:t xml:space="preserve"> Models: a platform for integrating, standardizing and sharing genome-scale models. </w:t>
      </w:r>
      <w:r w:rsidRPr="00D90E37">
        <w:rPr>
          <w:i/>
          <w:iCs/>
        </w:rPr>
        <w:t>Nucleic Acids Res</w:t>
      </w:r>
      <w:r w:rsidRPr="00D90E37">
        <w:t xml:space="preserve"> </w:t>
      </w:r>
      <w:r w:rsidRPr="00D90E37">
        <w:rPr>
          <w:b/>
          <w:bCs/>
        </w:rPr>
        <w:t>44</w:t>
      </w:r>
      <w:r w:rsidRPr="00D90E37">
        <w:t>: D515–D522.</w:t>
      </w:r>
    </w:p>
    <w:p w14:paraId="5629C357" w14:textId="1179CD84" w:rsidR="00D90E37" w:rsidRPr="00D90E37" w:rsidRDefault="00D90E37" w:rsidP="00D90E37">
      <w:pPr>
        <w:ind w:firstLineChars="200" w:firstLine="420"/>
      </w:pPr>
      <w:r w:rsidRPr="00D90E37">
        <w:t xml:space="preserve">Li D, Liu CM, Luo R, </w:t>
      </w:r>
      <w:proofErr w:type="spellStart"/>
      <w:r w:rsidRPr="00D90E37">
        <w:t>Sadakane</w:t>
      </w:r>
      <w:proofErr w:type="spellEnd"/>
      <w:r w:rsidRPr="00D90E37">
        <w:t xml:space="preserve"> K, Lam TW (2015). MEGAHIT: an ultra-fast single-node solution for large and complex metagenomics assembly. </w:t>
      </w:r>
      <w:r w:rsidRPr="00D90E37">
        <w:rPr>
          <w:i/>
          <w:iCs/>
        </w:rPr>
        <w:t>Bioinformatics</w:t>
      </w:r>
      <w:r w:rsidRPr="00D90E37">
        <w:t xml:space="preserve"> </w:t>
      </w:r>
      <w:r w:rsidRPr="00D90E37">
        <w:rPr>
          <w:b/>
          <w:bCs/>
        </w:rPr>
        <w:t>31</w:t>
      </w:r>
      <w:r w:rsidRPr="00D90E37">
        <w:t>: 1674–1676.</w:t>
      </w:r>
    </w:p>
    <w:p w14:paraId="1B37D3B3" w14:textId="58676425" w:rsidR="00D90E37" w:rsidRPr="00D90E37" w:rsidRDefault="00D90E37" w:rsidP="00D90E37">
      <w:pPr>
        <w:ind w:firstLineChars="200" w:firstLine="420"/>
      </w:pPr>
      <w:r w:rsidRPr="00D90E37">
        <w:t xml:space="preserve">Li H, Durbin R (2009). Fast and accurate short read alignment with Burrows–Wheeler transform. </w:t>
      </w:r>
      <w:r w:rsidRPr="00D90E37">
        <w:rPr>
          <w:i/>
          <w:iCs/>
        </w:rPr>
        <w:t>Bioinformatics</w:t>
      </w:r>
      <w:r w:rsidRPr="00D90E37">
        <w:t xml:space="preserve"> </w:t>
      </w:r>
      <w:r w:rsidRPr="00D90E37">
        <w:rPr>
          <w:b/>
          <w:bCs/>
        </w:rPr>
        <w:t>25</w:t>
      </w:r>
      <w:r w:rsidRPr="00D90E37">
        <w:t>: 1754–1760.</w:t>
      </w:r>
    </w:p>
    <w:p w14:paraId="47C12D81" w14:textId="48B16473" w:rsidR="00D90E37" w:rsidRPr="00D90E37" w:rsidRDefault="00D90E37" w:rsidP="00D90E37">
      <w:pPr>
        <w:ind w:firstLineChars="200" w:firstLine="420"/>
      </w:pPr>
      <w:r w:rsidRPr="00D90E37">
        <w:t xml:space="preserve">Li H, </w:t>
      </w:r>
      <w:proofErr w:type="spellStart"/>
      <w:r w:rsidRPr="00D90E37">
        <w:t>Handsaker</w:t>
      </w:r>
      <w:proofErr w:type="spellEnd"/>
      <w:r w:rsidRPr="00D90E37">
        <w:t xml:space="preserve"> B, </w:t>
      </w:r>
      <w:proofErr w:type="spellStart"/>
      <w:r w:rsidRPr="00D90E37">
        <w:t>Wysoker</w:t>
      </w:r>
      <w:proofErr w:type="spellEnd"/>
      <w:r w:rsidRPr="00D90E37">
        <w:t xml:space="preserve"> A, Fennell T, Ruan J, Homer N et al. (2009). The Sequence Alignment/Map format and </w:t>
      </w:r>
      <w:proofErr w:type="spellStart"/>
      <w:r w:rsidRPr="00D90E37">
        <w:t>SAMtools</w:t>
      </w:r>
      <w:proofErr w:type="spellEnd"/>
      <w:r w:rsidRPr="00D90E37">
        <w:t xml:space="preserve">. </w:t>
      </w:r>
      <w:r w:rsidRPr="00D90E37">
        <w:rPr>
          <w:i/>
          <w:iCs/>
        </w:rPr>
        <w:t>Bioinformatics</w:t>
      </w:r>
      <w:r w:rsidRPr="00D90E37">
        <w:t xml:space="preserve"> </w:t>
      </w:r>
      <w:r w:rsidRPr="00D90E37">
        <w:rPr>
          <w:b/>
          <w:bCs/>
        </w:rPr>
        <w:t>25</w:t>
      </w:r>
      <w:r w:rsidRPr="00D90E37">
        <w:t>: 2078–2079.</w:t>
      </w:r>
    </w:p>
    <w:p w14:paraId="58FB7F89" w14:textId="132334E8" w:rsidR="00D90E37" w:rsidRPr="00D90E37" w:rsidRDefault="00D90E37" w:rsidP="00D90E37">
      <w:pPr>
        <w:ind w:firstLineChars="200" w:firstLine="420"/>
      </w:pPr>
      <w:r w:rsidRPr="00D90E37">
        <w:t xml:space="preserve">Machado D, </w:t>
      </w:r>
      <w:proofErr w:type="spellStart"/>
      <w:r w:rsidRPr="00D90E37">
        <w:t>Andrejev</w:t>
      </w:r>
      <w:proofErr w:type="spellEnd"/>
      <w:r w:rsidRPr="00D90E37">
        <w:t xml:space="preserve"> S, </w:t>
      </w:r>
      <w:proofErr w:type="spellStart"/>
      <w:r w:rsidRPr="00D90E37">
        <w:t>Tramontano</w:t>
      </w:r>
      <w:proofErr w:type="spellEnd"/>
      <w:r w:rsidRPr="00D90E37">
        <w:t xml:space="preserve"> M, Patil KR (2018). Fast automated reconstruction of genome-scale metabolic models using </w:t>
      </w:r>
      <w:proofErr w:type="spellStart"/>
      <w:r w:rsidRPr="00D90E37">
        <w:t>CarveMe</w:t>
      </w:r>
      <w:proofErr w:type="spellEnd"/>
      <w:r w:rsidRPr="00D90E37">
        <w:t xml:space="preserve">. </w:t>
      </w:r>
      <w:r w:rsidRPr="00D90E37">
        <w:rPr>
          <w:i/>
          <w:iCs/>
        </w:rPr>
        <w:t>Nat Commun</w:t>
      </w:r>
      <w:r w:rsidRPr="00D90E37">
        <w:t xml:space="preserve"> </w:t>
      </w:r>
      <w:r w:rsidRPr="00D90E37">
        <w:rPr>
          <w:b/>
          <w:bCs/>
        </w:rPr>
        <w:t>9</w:t>
      </w:r>
      <w:r w:rsidRPr="00D90E37">
        <w:t>: 5442.</w:t>
      </w:r>
    </w:p>
    <w:p w14:paraId="43588429" w14:textId="5AEEB85A" w:rsidR="00D90E37" w:rsidRPr="00D90E37" w:rsidRDefault="00D90E37" w:rsidP="00D90E37">
      <w:pPr>
        <w:ind w:firstLineChars="200" w:firstLine="420"/>
      </w:pPr>
      <w:r w:rsidRPr="00D90E37">
        <w:t xml:space="preserve">Olm MR, Brown CT, Brooks B, Banfield JF (2017). </w:t>
      </w:r>
      <w:proofErr w:type="spellStart"/>
      <w:r w:rsidRPr="00D90E37">
        <w:t>dRep</w:t>
      </w:r>
      <w:proofErr w:type="spellEnd"/>
      <w:r w:rsidRPr="00D90E37">
        <w:t xml:space="preserve">: a tool for fast and accurate genomic comparisons enabling improved genome recovery. </w:t>
      </w:r>
      <w:r w:rsidRPr="00D90E37">
        <w:rPr>
          <w:i/>
          <w:iCs/>
        </w:rPr>
        <w:t>ISME J</w:t>
      </w:r>
      <w:r w:rsidRPr="00D90E37">
        <w:t xml:space="preserve"> </w:t>
      </w:r>
      <w:r w:rsidRPr="00D90E37">
        <w:rPr>
          <w:b/>
          <w:bCs/>
        </w:rPr>
        <w:t>11</w:t>
      </w:r>
      <w:r w:rsidRPr="00D90E37">
        <w:t>: 2864–2868.</w:t>
      </w:r>
    </w:p>
    <w:p w14:paraId="35D2E71F" w14:textId="502C9F79" w:rsidR="00D90E37" w:rsidRPr="00D90E37" w:rsidRDefault="00D90E37" w:rsidP="00D90E37">
      <w:pPr>
        <w:ind w:firstLineChars="200" w:firstLine="420"/>
      </w:pPr>
      <w:r w:rsidRPr="00D90E37">
        <w:t xml:space="preserve">Parks DH, </w:t>
      </w:r>
      <w:proofErr w:type="spellStart"/>
      <w:r w:rsidRPr="00D90E37">
        <w:t>Imelfort</w:t>
      </w:r>
      <w:proofErr w:type="spellEnd"/>
      <w:r w:rsidRPr="00D90E37">
        <w:t xml:space="preserve"> M, </w:t>
      </w:r>
      <w:proofErr w:type="spellStart"/>
      <w:r w:rsidRPr="00D90E37">
        <w:t>Skennerton</w:t>
      </w:r>
      <w:proofErr w:type="spellEnd"/>
      <w:r w:rsidRPr="00D90E37">
        <w:t xml:space="preserve"> CT, </w:t>
      </w:r>
      <w:proofErr w:type="spellStart"/>
      <w:r w:rsidRPr="00D90E37">
        <w:t>Hugenholtz</w:t>
      </w:r>
      <w:proofErr w:type="spellEnd"/>
      <w:r w:rsidRPr="00D90E37">
        <w:t xml:space="preserve"> P, Tyson GW (2015). </w:t>
      </w:r>
      <w:proofErr w:type="spellStart"/>
      <w:r w:rsidRPr="00D90E37">
        <w:t>CheckM</w:t>
      </w:r>
      <w:proofErr w:type="spellEnd"/>
      <w:r w:rsidRPr="00D90E37">
        <w:t xml:space="preserve">: assessing </w:t>
      </w:r>
      <w:r w:rsidRPr="00D90E37">
        <w:lastRenderedPageBreak/>
        <w:t xml:space="preserve">the quality of microbial genomes. </w:t>
      </w:r>
      <w:r w:rsidRPr="00D90E37">
        <w:rPr>
          <w:i/>
          <w:iCs/>
        </w:rPr>
        <w:t>Genome Res</w:t>
      </w:r>
      <w:r w:rsidRPr="00D90E37">
        <w:t xml:space="preserve"> </w:t>
      </w:r>
      <w:r w:rsidRPr="00D90E37">
        <w:rPr>
          <w:b/>
          <w:bCs/>
        </w:rPr>
        <w:t>25</w:t>
      </w:r>
      <w:r w:rsidRPr="00D90E37">
        <w:t>: 1043–1055.</w:t>
      </w:r>
    </w:p>
    <w:p w14:paraId="574BD16E" w14:textId="6A24F72F" w:rsidR="00D90E37" w:rsidRDefault="00D90E37" w:rsidP="00D90E37">
      <w:pPr>
        <w:ind w:firstLineChars="200" w:firstLine="420"/>
      </w:pPr>
      <w:proofErr w:type="spellStart"/>
      <w:r w:rsidRPr="00D90E37">
        <w:t>Saier</w:t>
      </w:r>
      <w:proofErr w:type="spellEnd"/>
      <w:r w:rsidRPr="00D90E37">
        <w:t xml:space="preserve"> MH Jr, Reddy VS, Tamang DG, </w:t>
      </w:r>
      <w:proofErr w:type="spellStart"/>
      <w:r w:rsidRPr="00D90E37">
        <w:t>Västermark</w:t>
      </w:r>
      <w:proofErr w:type="spellEnd"/>
      <w:r w:rsidRPr="00D90E37">
        <w:t xml:space="preserve"> Å (2014). The Transporter Classification Database (TCDB): recent advances. </w:t>
      </w:r>
      <w:r w:rsidRPr="00D90E37">
        <w:rPr>
          <w:i/>
          <w:iCs/>
        </w:rPr>
        <w:t>Nucleic Acids Res</w:t>
      </w:r>
      <w:r w:rsidRPr="00D90E37">
        <w:t xml:space="preserve"> </w:t>
      </w:r>
      <w:r w:rsidRPr="00D90E37">
        <w:rPr>
          <w:b/>
          <w:bCs/>
        </w:rPr>
        <w:t>42</w:t>
      </w:r>
      <w:r w:rsidRPr="00D90E37">
        <w:t>: D251–D258.</w:t>
      </w:r>
    </w:p>
    <w:p w14:paraId="7B989B06" w14:textId="71290961" w:rsidR="00D90E37" w:rsidRPr="00D90E37" w:rsidRDefault="00D90E37" w:rsidP="00D90E37">
      <w:pPr>
        <w:ind w:firstLineChars="200" w:firstLine="420"/>
      </w:pPr>
      <w:r w:rsidRPr="00D90E37">
        <w:t xml:space="preserve">Song, W., </w:t>
      </w:r>
      <w:proofErr w:type="spellStart"/>
      <w:r w:rsidRPr="00D90E37">
        <w:t>Wemheuer</w:t>
      </w:r>
      <w:proofErr w:type="spellEnd"/>
      <w:r w:rsidRPr="00D90E37">
        <w:t xml:space="preserve">, B., Zhang, S., Steensen, K., &amp; Thomas, T. (2019). </w:t>
      </w:r>
      <w:proofErr w:type="spellStart"/>
      <w:r w:rsidRPr="00D90E37">
        <w:t>MetaCHIP</w:t>
      </w:r>
      <w:proofErr w:type="spellEnd"/>
      <w:r w:rsidRPr="00D90E37">
        <w:t>: community-level horizontal gene transfer identification through the combination of best-match and phylogenetic approaches. </w:t>
      </w:r>
      <w:r w:rsidRPr="00D90E37">
        <w:rPr>
          <w:i/>
          <w:iCs/>
        </w:rPr>
        <w:t>Microbiome</w:t>
      </w:r>
      <w:r w:rsidRPr="00D90E37">
        <w:t>, </w:t>
      </w:r>
      <w:r w:rsidRPr="00D90E37">
        <w:rPr>
          <w:i/>
          <w:iCs/>
        </w:rPr>
        <w:t>7</w:t>
      </w:r>
      <w:r w:rsidRPr="00D90E37">
        <w:t>(1), 36.</w:t>
      </w:r>
    </w:p>
    <w:p w14:paraId="12AE49D9" w14:textId="6679CFC7" w:rsidR="00D90E37" w:rsidRPr="00D90E37" w:rsidRDefault="00D90E37" w:rsidP="00D90E37">
      <w:pPr>
        <w:ind w:firstLineChars="200" w:firstLine="420"/>
      </w:pPr>
      <w:proofErr w:type="spellStart"/>
      <w:r w:rsidRPr="00D90E37">
        <w:t>Uritskiy</w:t>
      </w:r>
      <w:proofErr w:type="spellEnd"/>
      <w:r w:rsidRPr="00D90E37">
        <w:t xml:space="preserve"> GV, </w:t>
      </w:r>
      <w:proofErr w:type="spellStart"/>
      <w:r w:rsidRPr="00D90E37">
        <w:t>DiRuggiero</w:t>
      </w:r>
      <w:proofErr w:type="spellEnd"/>
      <w:r w:rsidRPr="00D90E37">
        <w:t xml:space="preserve"> J, Taylor J (2018). </w:t>
      </w:r>
      <w:proofErr w:type="spellStart"/>
      <w:r w:rsidRPr="00D90E37">
        <w:t>MetaWRAP</w:t>
      </w:r>
      <w:proofErr w:type="spellEnd"/>
      <w:r w:rsidRPr="00D90E37">
        <w:t xml:space="preserve">: a flexible pipeline for genome-resolved metagenomic analysis. </w:t>
      </w:r>
      <w:r w:rsidRPr="00D90E37">
        <w:rPr>
          <w:i/>
          <w:iCs/>
        </w:rPr>
        <w:t>Microbiome</w:t>
      </w:r>
      <w:r w:rsidRPr="00D90E37">
        <w:t xml:space="preserve"> </w:t>
      </w:r>
      <w:r w:rsidRPr="00D90E37">
        <w:rPr>
          <w:b/>
          <w:bCs/>
        </w:rPr>
        <w:t>6</w:t>
      </w:r>
      <w:r w:rsidRPr="00D90E37">
        <w:t>: 158.</w:t>
      </w:r>
    </w:p>
    <w:p w14:paraId="7DC63A8D" w14:textId="6D5A9B07" w:rsidR="00D90E37" w:rsidRPr="00D90E37" w:rsidRDefault="00D90E37" w:rsidP="00D90E37">
      <w:pPr>
        <w:ind w:firstLineChars="200" w:firstLine="420"/>
      </w:pPr>
      <w:r w:rsidRPr="00D90E37">
        <w:t xml:space="preserve">Wu YW, Simmons BA, Singer SW (2016). </w:t>
      </w:r>
      <w:bookmarkStart w:id="6" w:name="OLE_LINK228"/>
      <w:bookmarkStart w:id="7" w:name="OLE_LINK229"/>
      <w:proofErr w:type="spellStart"/>
      <w:r w:rsidRPr="00D90E37">
        <w:t>MaxBin</w:t>
      </w:r>
      <w:proofErr w:type="spellEnd"/>
      <w:r w:rsidRPr="00D90E37">
        <w:t xml:space="preserve"> 2.0: an automated binning algorithm.</w:t>
      </w:r>
      <w:bookmarkEnd w:id="6"/>
      <w:bookmarkEnd w:id="7"/>
      <w:r w:rsidRPr="00D90E37">
        <w:t xml:space="preserve"> </w:t>
      </w:r>
      <w:r w:rsidRPr="00D90E37">
        <w:rPr>
          <w:i/>
          <w:iCs/>
        </w:rPr>
        <w:t>Bioinformatics</w:t>
      </w:r>
      <w:r w:rsidRPr="00D90E37">
        <w:t xml:space="preserve"> </w:t>
      </w:r>
      <w:r w:rsidRPr="00D90E37">
        <w:rPr>
          <w:b/>
          <w:bCs/>
        </w:rPr>
        <w:t>32</w:t>
      </w:r>
      <w:r w:rsidRPr="00D90E37">
        <w:t>: 605–607.</w:t>
      </w:r>
    </w:p>
    <w:p w14:paraId="64A867BF" w14:textId="58415011" w:rsidR="00D90E37" w:rsidRPr="00D90E37" w:rsidRDefault="00D90E37" w:rsidP="00D90E37">
      <w:pPr>
        <w:ind w:firstLineChars="200" w:firstLine="420"/>
      </w:pPr>
      <w:r w:rsidRPr="00D90E37">
        <w:t xml:space="preserve">Zhao M, Zhang X, Li X, Sun X (2022). </w:t>
      </w:r>
      <w:proofErr w:type="spellStart"/>
      <w:r w:rsidRPr="00D90E37">
        <w:t>PhyloMint</w:t>
      </w:r>
      <w:proofErr w:type="spellEnd"/>
      <w:r w:rsidRPr="00D90E37">
        <w:t xml:space="preserve">: phylogeny-informed metabolite complementarity for microbial interaction inference. </w:t>
      </w:r>
      <w:r w:rsidRPr="00D90E37">
        <w:rPr>
          <w:i/>
          <w:iCs/>
        </w:rPr>
        <w:t>ISME Commun</w:t>
      </w:r>
      <w:r w:rsidRPr="00D90E37">
        <w:t xml:space="preserve"> </w:t>
      </w:r>
      <w:r w:rsidRPr="00D90E37">
        <w:rPr>
          <w:b/>
          <w:bCs/>
        </w:rPr>
        <w:t>2</w:t>
      </w:r>
      <w:r w:rsidRPr="00D90E37">
        <w:t>: 64.</w:t>
      </w:r>
    </w:p>
    <w:p w14:paraId="29D1E022" w14:textId="77777777" w:rsidR="000B19A3" w:rsidRPr="000B19A3" w:rsidRDefault="000B19A3" w:rsidP="000B19A3"/>
    <w:p w14:paraId="3EF19086" w14:textId="77777777" w:rsidR="00DA20E0" w:rsidRDefault="00DA20E0" w:rsidP="00DA20E0"/>
    <w:p w14:paraId="0B823035" w14:textId="77777777" w:rsidR="00DA20E0" w:rsidRDefault="00DA20E0" w:rsidP="00DA20E0"/>
    <w:p w14:paraId="7B629C2D" w14:textId="77777777" w:rsidR="00DA20E0" w:rsidRDefault="00DA20E0" w:rsidP="00DA20E0"/>
    <w:p w14:paraId="7070DC86" w14:textId="77777777" w:rsidR="00DA20E0" w:rsidRDefault="00DA20E0" w:rsidP="00DA20E0"/>
    <w:p w14:paraId="1A53FC65" w14:textId="77777777" w:rsidR="00DA20E0" w:rsidRDefault="00DA20E0" w:rsidP="00DA20E0"/>
    <w:p w14:paraId="4738BA0F" w14:textId="77777777" w:rsidR="00DA20E0" w:rsidRDefault="00DA20E0" w:rsidP="00DA20E0"/>
    <w:p w14:paraId="41E39382" w14:textId="77777777" w:rsidR="00DA20E0" w:rsidRDefault="00DA20E0" w:rsidP="00DA20E0"/>
    <w:p w14:paraId="3092F37A" w14:textId="77777777" w:rsidR="00DA20E0" w:rsidRDefault="00DA20E0" w:rsidP="00DA20E0"/>
    <w:p w14:paraId="7EC96302" w14:textId="77777777" w:rsidR="00DA20E0" w:rsidRDefault="00DA20E0" w:rsidP="00DA20E0"/>
    <w:p w14:paraId="7E15C38E" w14:textId="77777777" w:rsidR="00DA20E0" w:rsidRDefault="00DA20E0" w:rsidP="00DA20E0"/>
    <w:p w14:paraId="1816B580" w14:textId="77777777" w:rsidR="00DA20E0" w:rsidRDefault="00DA20E0" w:rsidP="00DA20E0"/>
    <w:p w14:paraId="6B4E6F38" w14:textId="77777777" w:rsidR="00DA20E0" w:rsidRDefault="00DA20E0" w:rsidP="00DA20E0"/>
    <w:p w14:paraId="182D68B3" w14:textId="77777777" w:rsidR="00DA20E0" w:rsidRPr="00DA20E0" w:rsidRDefault="00DA20E0" w:rsidP="00DA20E0"/>
    <w:p w14:paraId="1C2CF920" w14:textId="045DEF89" w:rsidR="007F0336" w:rsidRDefault="007F0336">
      <w:pPr>
        <w:widowControl/>
        <w:spacing w:line="240" w:lineRule="auto"/>
        <w:jc w:val="left"/>
      </w:pPr>
      <w:r>
        <w:br w:type="page"/>
      </w:r>
    </w:p>
    <w:p w14:paraId="2BC3116C" w14:textId="796B9A23" w:rsidR="0068028A" w:rsidRDefault="0068028A" w:rsidP="0068028A">
      <w:pPr>
        <w:pStyle w:val="2"/>
      </w:pPr>
      <w:r w:rsidRPr="00056CE7">
        <w:lastRenderedPageBreak/>
        <w:t xml:space="preserve">Supplementary </w:t>
      </w:r>
      <w:r>
        <w:rPr>
          <w:rFonts w:hint="eastAsia"/>
        </w:rPr>
        <w:t>Figures</w:t>
      </w:r>
    </w:p>
    <w:p w14:paraId="22BB0302" w14:textId="01E43B49" w:rsidR="007F0336" w:rsidRDefault="007F0336" w:rsidP="00DA20E0">
      <w:r>
        <w:rPr>
          <w:rFonts w:hint="eastAsia"/>
          <w:noProof/>
        </w:rPr>
        <w:drawing>
          <wp:inline distT="0" distB="0" distL="0" distR="0" wp14:anchorId="6A2BBC7D" wp14:editId="25E7645A">
            <wp:extent cx="5274310" cy="3733165"/>
            <wp:effectExtent l="0" t="0" r="1270" b="635"/>
            <wp:docPr id="1051256994" name="图片 1" descr="图形用户界面, 网站&#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56994" name="图片 1" descr="图形用户界面, 网站&#10;&#10;AI 生成的内容可能不正确。"/>
                    <pic:cNvPicPr/>
                  </pic:nvPicPr>
                  <pic:blipFill>
                    <a:blip r:embed="rId7">
                      <a:extLst>
                        <a:ext uri="{28A0092B-C50C-407E-A947-70E740481C1C}">
                          <a14:useLocalDpi xmlns:a14="http://schemas.microsoft.com/office/drawing/2010/main" val="0"/>
                        </a:ext>
                      </a:extLst>
                    </a:blip>
                    <a:stretch>
                      <a:fillRect/>
                    </a:stretch>
                  </pic:blipFill>
                  <pic:spPr>
                    <a:xfrm>
                      <a:off x="0" y="0"/>
                      <a:ext cx="5274310" cy="3733165"/>
                    </a:xfrm>
                    <a:prstGeom prst="rect">
                      <a:avLst/>
                    </a:prstGeom>
                  </pic:spPr>
                </pic:pic>
              </a:graphicData>
            </a:graphic>
          </wp:inline>
        </w:drawing>
      </w:r>
    </w:p>
    <w:p w14:paraId="25B315FC" w14:textId="6FE65084" w:rsidR="007F0336" w:rsidRDefault="007F0336" w:rsidP="007F0336">
      <w:r w:rsidRPr="007F0336">
        <w:rPr>
          <w:b/>
          <w:bCs/>
        </w:rPr>
        <w:t xml:space="preserve">Figure S1. Location of </w:t>
      </w:r>
      <w:r w:rsidRPr="007F0336">
        <w:rPr>
          <w:rFonts w:hint="eastAsia"/>
          <w:b/>
          <w:bCs/>
        </w:rPr>
        <w:t>sediment-inhabiting</w:t>
      </w:r>
      <w:r w:rsidRPr="007F0336">
        <w:rPr>
          <w:b/>
          <w:bCs/>
        </w:rPr>
        <w:t xml:space="preserve"> sampling sites in the study area.</w:t>
      </w:r>
      <w:r w:rsidRPr="007F0336">
        <w:t xml:space="preserve"> Specific sampling sites were given in the SUPPORTING INFORMATION Table S1.</w:t>
      </w:r>
    </w:p>
    <w:p w14:paraId="71ABD156" w14:textId="77777777" w:rsidR="007F0336" w:rsidRDefault="007F0336">
      <w:pPr>
        <w:widowControl/>
        <w:spacing w:line="240" w:lineRule="auto"/>
        <w:jc w:val="left"/>
      </w:pPr>
      <w:r>
        <w:br w:type="page"/>
      </w:r>
    </w:p>
    <w:p w14:paraId="2173BB54" w14:textId="3417345B" w:rsidR="007F0336" w:rsidRDefault="00DA20E0" w:rsidP="00A82737">
      <w:pPr>
        <w:jc w:val="center"/>
      </w:pPr>
      <w:r>
        <w:rPr>
          <w:rFonts w:hint="eastAsia"/>
          <w:noProof/>
        </w:rPr>
        <w:lastRenderedPageBreak/>
        <w:drawing>
          <wp:inline distT="0" distB="0" distL="0" distR="0" wp14:anchorId="794062D8" wp14:editId="20A34CBD">
            <wp:extent cx="5458111" cy="2594344"/>
            <wp:effectExtent l="0" t="0" r="3175" b="0"/>
            <wp:docPr id="380539982" name="图片 3"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39982" name="图片 3" descr="图表&#10;&#10;AI 生成的内容可能不正确。"/>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6881" cy="2598513"/>
                    </a:xfrm>
                    <a:prstGeom prst="rect">
                      <a:avLst/>
                    </a:prstGeom>
                  </pic:spPr>
                </pic:pic>
              </a:graphicData>
            </a:graphic>
          </wp:inline>
        </w:drawing>
      </w:r>
    </w:p>
    <w:p w14:paraId="5E35EDBB" w14:textId="5192992A" w:rsidR="0068028A" w:rsidRPr="00BF2A6C" w:rsidRDefault="00DA20E0" w:rsidP="0068028A">
      <w:r w:rsidRPr="007F0336">
        <w:rPr>
          <w:b/>
          <w:bCs/>
        </w:rPr>
        <w:t>Figure S</w:t>
      </w:r>
      <w:r>
        <w:rPr>
          <w:rFonts w:hint="eastAsia"/>
          <w:b/>
          <w:bCs/>
        </w:rPr>
        <w:t>2</w:t>
      </w:r>
      <w:r w:rsidRPr="007F0336">
        <w:rPr>
          <w:b/>
          <w:bCs/>
        </w:rPr>
        <w:t xml:space="preserve">. </w:t>
      </w:r>
      <w:r w:rsidRPr="00DA20E0">
        <w:rPr>
          <w:b/>
          <w:bCs/>
        </w:rPr>
        <w:t xml:space="preserve">The hierarchical classification of MAG species annotated from sediments and nodule surfaces in the deep-sea nodule area. </w:t>
      </w:r>
      <w:r w:rsidRPr="00DA20E0">
        <w:t>Those annotated at the species level are labeled as classified, while those that cannot be annotated to the species level are labeled as unclassified</w:t>
      </w:r>
      <w:r>
        <w:rPr>
          <w:rFonts w:hint="eastAsia"/>
        </w:rPr>
        <w:t>.</w:t>
      </w:r>
      <w:r w:rsidR="0068028A" w:rsidRPr="0068028A">
        <w:t xml:space="preserve"> </w:t>
      </w:r>
      <w:r w:rsidR="0068028A" w:rsidRPr="00A53E03">
        <w:t xml:space="preserve">Detailed information </w:t>
      </w:r>
      <w:r w:rsidR="0068028A">
        <w:rPr>
          <w:rFonts w:hint="eastAsia"/>
        </w:rPr>
        <w:t>was</w:t>
      </w:r>
      <w:r w:rsidR="0068028A" w:rsidRPr="00A53E03">
        <w:t xml:space="preserve"> provided in Table S</w:t>
      </w:r>
      <w:r w:rsidR="0068028A">
        <w:rPr>
          <w:rFonts w:hint="eastAsia"/>
        </w:rPr>
        <w:t>2 and S3.</w:t>
      </w:r>
    </w:p>
    <w:p w14:paraId="3789B6DC" w14:textId="55EE02BD" w:rsidR="00DA20E0" w:rsidRDefault="00DA20E0" w:rsidP="00DA20E0"/>
    <w:p w14:paraId="60CDEC86" w14:textId="77777777" w:rsidR="00DA20E0" w:rsidRDefault="00DA20E0">
      <w:pPr>
        <w:widowControl/>
        <w:spacing w:line="240" w:lineRule="auto"/>
        <w:jc w:val="left"/>
      </w:pPr>
      <w:r>
        <w:br w:type="page"/>
      </w:r>
    </w:p>
    <w:p w14:paraId="082D68E0" w14:textId="5A123277" w:rsidR="00DA20E0" w:rsidRDefault="00A82737" w:rsidP="00A82737">
      <w:pPr>
        <w:jc w:val="center"/>
      </w:pPr>
      <w:r>
        <w:rPr>
          <w:noProof/>
        </w:rPr>
        <w:lastRenderedPageBreak/>
        <w:drawing>
          <wp:inline distT="0" distB="0" distL="0" distR="0" wp14:anchorId="0726E3A3" wp14:editId="3AE4403E">
            <wp:extent cx="5625687" cy="3040912"/>
            <wp:effectExtent l="0" t="0" r="635" b="0"/>
            <wp:docPr id="11718551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55132" name="图片 1171855132"/>
                    <pic:cNvPicPr/>
                  </pic:nvPicPr>
                  <pic:blipFill>
                    <a:blip r:embed="rId9">
                      <a:extLst>
                        <a:ext uri="{28A0092B-C50C-407E-A947-70E740481C1C}">
                          <a14:useLocalDpi xmlns:a14="http://schemas.microsoft.com/office/drawing/2010/main" val="0"/>
                        </a:ext>
                      </a:extLst>
                    </a:blip>
                    <a:stretch>
                      <a:fillRect/>
                    </a:stretch>
                  </pic:blipFill>
                  <pic:spPr>
                    <a:xfrm>
                      <a:off x="0" y="0"/>
                      <a:ext cx="5820543" cy="3146239"/>
                    </a:xfrm>
                    <a:prstGeom prst="rect">
                      <a:avLst/>
                    </a:prstGeom>
                  </pic:spPr>
                </pic:pic>
              </a:graphicData>
            </a:graphic>
          </wp:inline>
        </w:drawing>
      </w:r>
    </w:p>
    <w:p w14:paraId="46CA2C9C" w14:textId="38E638A2" w:rsidR="00A82737" w:rsidRDefault="00A82737" w:rsidP="00A82737">
      <w:r w:rsidRPr="007F0336">
        <w:rPr>
          <w:b/>
          <w:bCs/>
        </w:rPr>
        <w:t>Figure S</w:t>
      </w:r>
      <w:r>
        <w:rPr>
          <w:rFonts w:hint="eastAsia"/>
          <w:b/>
          <w:bCs/>
        </w:rPr>
        <w:t>3</w:t>
      </w:r>
      <w:r w:rsidRPr="007F0336">
        <w:rPr>
          <w:b/>
          <w:bCs/>
        </w:rPr>
        <w:t xml:space="preserve">. </w:t>
      </w:r>
      <w:r w:rsidRPr="00A82737">
        <w:rPr>
          <w:b/>
          <w:bCs/>
        </w:rPr>
        <w:t xml:space="preserve">Stacked bar chart of MAG species annotation from sediments and nodule surfaces in the deep-sea nodule area. </w:t>
      </w:r>
      <w:r w:rsidRPr="00A82737">
        <w:t>The top 15 phyla in relative abundance are selected, and all remaining phyla are grouped as ‘Others’.</w:t>
      </w:r>
    </w:p>
    <w:p w14:paraId="4BE2DC6A" w14:textId="77777777" w:rsidR="00A82737" w:rsidRDefault="00A82737">
      <w:pPr>
        <w:widowControl/>
        <w:spacing w:line="240" w:lineRule="auto"/>
        <w:jc w:val="left"/>
      </w:pPr>
      <w:r>
        <w:br w:type="page"/>
      </w:r>
    </w:p>
    <w:p w14:paraId="3060D294" w14:textId="3392235E" w:rsidR="00A82737" w:rsidRDefault="00BF2A6C" w:rsidP="00BF2A6C">
      <w:pPr>
        <w:jc w:val="center"/>
      </w:pPr>
      <w:r>
        <w:rPr>
          <w:rFonts w:hint="eastAsia"/>
          <w:noProof/>
        </w:rPr>
        <w:lastRenderedPageBreak/>
        <w:drawing>
          <wp:inline distT="0" distB="0" distL="0" distR="0" wp14:anchorId="0863AA23" wp14:editId="4AAF6A93">
            <wp:extent cx="5284382" cy="2224836"/>
            <wp:effectExtent l="0" t="0" r="0" b="0"/>
            <wp:docPr id="20731413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41314" name="图片 2073141314"/>
                    <pic:cNvPicPr/>
                  </pic:nvPicPr>
                  <pic:blipFill>
                    <a:blip r:embed="rId10">
                      <a:extLst>
                        <a:ext uri="{28A0092B-C50C-407E-A947-70E740481C1C}">
                          <a14:useLocalDpi xmlns:a14="http://schemas.microsoft.com/office/drawing/2010/main" val="0"/>
                        </a:ext>
                      </a:extLst>
                    </a:blip>
                    <a:stretch>
                      <a:fillRect/>
                    </a:stretch>
                  </pic:blipFill>
                  <pic:spPr>
                    <a:xfrm>
                      <a:off x="0" y="0"/>
                      <a:ext cx="5328514" cy="2243417"/>
                    </a:xfrm>
                    <a:prstGeom prst="rect">
                      <a:avLst/>
                    </a:prstGeom>
                  </pic:spPr>
                </pic:pic>
              </a:graphicData>
            </a:graphic>
          </wp:inline>
        </w:drawing>
      </w:r>
    </w:p>
    <w:p w14:paraId="715E7FE3" w14:textId="53C14DBC" w:rsidR="00BF2A6C" w:rsidRPr="009503BE" w:rsidRDefault="00BF2A6C" w:rsidP="009503BE">
      <w:r w:rsidRPr="007F0336">
        <w:rPr>
          <w:b/>
          <w:bCs/>
        </w:rPr>
        <w:t>Figure S</w:t>
      </w:r>
      <w:r>
        <w:rPr>
          <w:rFonts w:hint="eastAsia"/>
          <w:b/>
          <w:bCs/>
        </w:rPr>
        <w:t>4</w:t>
      </w:r>
      <w:r w:rsidRPr="007F0336">
        <w:rPr>
          <w:b/>
          <w:bCs/>
        </w:rPr>
        <w:t xml:space="preserve">. </w:t>
      </w:r>
      <w:r w:rsidR="009503BE" w:rsidRPr="009503BE">
        <w:rPr>
          <w:b/>
          <w:bCs/>
        </w:rPr>
        <w:t>Abundance ranking of dominant MAG from sediments and nodule surfaces in the deep-sea nodule area.</w:t>
      </w:r>
      <w:r w:rsidR="009503BE">
        <w:rPr>
          <w:rFonts w:hint="eastAsia"/>
          <w:b/>
          <w:bCs/>
        </w:rPr>
        <w:t xml:space="preserve"> </w:t>
      </w:r>
      <w:r w:rsidR="009503BE" w:rsidRPr="009503BE">
        <w:t>The sum of the relative abundance of dominant MAGs accounted</w:t>
      </w:r>
      <w:r w:rsidR="009503BE" w:rsidRPr="009503BE">
        <w:rPr>
          <w:rFonts w:hint="eastAsia"/>
        </w:rPr>
        <w:t xml:space="preserve"> </w:t>
      </w:r>
      <w:r w:rsidR="009503BE" w:rsidRPr="009503BE">
        <w:t>for at least 50% of the total abundance; these MAGs are marked with asterisks on the x-axis</w:t>
      </w:r>
      <w:r w:rsidR="009503BE" w:rsidRPr="009503BE">
        <w:rPr>
          <w:rFonts w:hint="eastAsia"/>
        </w:rPr>
        <w:t>.</w:t>
      </w:r>
    </w:p>
    <w:p w14:paraId="39F46F4C" w14:textId="39D009C7" w:rsidR="009503BE" w:rsidRDefault="009503BE">
      <w:pPr>
        <w:widowControl/>
        <w:spacing w:line="240" w:lineRule="auto"/>
        <w:jc w:val="left"/>
      </w:pPr>
      <w:r>
        <w:br w:type="page"/>
      </w:r>
    </w:p>
    <w:p w14:paraId="7D13E105" w14:textId="0BD95302" w:rsidR="00BF2A6C" w:rsidRDefault="009503BE" w:rsidP="00BF2A6C">
      <w:r>
        <w:rPr>
          <w:rFonts w:hint="eastAsia"/>
          <w:noProof/>
        </w:rPr>
        <w:lastRenderedPageBreak/>
        <w:drawing>
          <wp:inline distT="0" distB="0" distL="0" distR="0" wp14:anchorId="2B521F56" wp14:editId="617BD109">
            <wp:extent cx="5274310" cy="3646170"/>
            <wp:effectExtent l="0" t="0" r="0" b="0"/>
            <wp:docPr id="3084598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59843" name="图片 3084598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646170"/>
                    </a:xfrm>
                    <a:prstGeom prst="rect">
                      <a:avLst/>
                    </a:prstGeom>
                  </pic:spPr>
                </pic:pic>
              </a:graphicData>
            </a:graphic>
          </wp:inline>
        </w:drawing>
      </w:r>
    </w:p>
    <w:p w14:paraId="40842C0D" w14:textId="43FA70EB" w:rsidR="00A53E03" w:rsidRDefault="009503BE" w:rsidP="00BF2A6C">
      <w:r w:rsidRPr="00485A44">
        <w:rPr>
          <w:b/>
          <w:bCs/>
        </w:rPr>
        <w:t>Figure S</w:t>
      </w:r>
      <w:r w:rsidRPr="00485A44">
        <w:rPr>
          <w:rFonts w:hint="eastAsia"/>
          <w:b/>
          <w:bCs/>
        </w:rPr>
        <w:t>5</w:t>
      </w:r>
      <w:r w:rsidRPr="00485A44">
        <w:rPr>
          <w:b/>
          <w:bCs/>
        </w:rPr>
        <w:t xml:space="preserve">. </w:t>
      </w:r>
      <w:r w:rsidR="00485A44" w:rsidRPr="00485A44">
        <w:rPr>
          <w:b/>
          <w:bCs/>
        </w:rPr>
        <w:t xml:space="preserve">MAG iron carrier uptake, absorption, and transport capabilities from sediments and nodule surfaces in the deep-sea nodule area. </w:t>
      </w:r>
      <w:r w:rsidR="00485A44">
        <w:t>The pie chart summarizes the percentage of genes encoding enzymes related to Iron gene regulation, Iron acquisition siderophore transport potential, Iron acquisition siderophore transport, and Iron acquisition iron transport in the two samples. The numbers represent the total number of genes for each enzyme category in the genome</w:t>
      </w:r>
      <w:r w:rsidR="00A53E03">
        <w:rPr>
          <w:rFonts w:hint="eastAsia"/>
        </w:rPr>
        <w:t>.</w:t>
      </w:r>
    </w:p>
    <w:p w14:paraId="79CACF25" w14:textId="77777777" w:rsidR="00A53E03" w:rsidRDefault="00A53E03">
      <w:pPr>
        <w:widowControl/>
        <w:spacing w:line="240" w:lineRule="auto"/>
        <w:jc w:val="left"/>
      </w:pPr>
      <w:r>
        <w:br w:type="page"/>
      </w:r>
    </w:p>
    <w:p w14:paraId="10B67D87" w14:textId="50D71FA9" w:rsidR="00A53E03" w:rsidRDefault="00A53E03" w:rsidP="00A53E03">
      <w:pPr>
        <w:jc w:val="center"/>
      </w:pPr>
      <w:r>
        <w:rPr>
          <w:rFonts w:hint="eastAsia"/>
          <w:noProof/>
        </w:rPr>
        <w:lastRenderedPageBreak/>
        <w:drawing>
          <wp:inline distT="0" distB="0" distL="0" distR="0" wp14:anchorId="67E66DAF" wp14:editId="47F05863">
            <wp:extent cx="5274310" cy="5236845"/>
            <wp:effectExtent l="0" t="0" r="0" b="0"/>
            <wp:docPr id="3888027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02768" name="图片 3888027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236845"/>
                    </a:xfrm>
                    <a:prstGeom prst="rect">
                      <a:avLst/>
                    </a:prstGeom>
                  </pic:spPr>
                </pic:pic>
              </a:graphicData>
            </a:graphic>
          </wp:inline>
        </w:drawing>
      </w:r>
    </w:p>
    <w:p w14:paraId="2F5109BC" w14:textId="5C70EE8D" w:rsidR="00A53E03" w:rsidRDefault="00A53E03" w:rsidP="00BF2A6C">
      <w:r w:rsidRPr="00485A44">
        <w:rPr>
          <w:b/>
          <w:bCs/>
        </w:rPr>
        <w:t>Figure S</w:t>
      </w:r>
      <w:r>
        <w:rPr>
          <w:rFonts w:hint="eastAsia"/>
          <w:b/>
          <w:bCs/>
        </w:rPr>
        <w:t>6</w:t>
      </w:r>
      <w:r w:rsidRPr="00485A44">
        <w:rPr>
          <w:b/>
          <w:bCs/>
        </w:rPr>
        <w:t xml:space="preserve">. </w:t>
      </w:r>
      <w:r w:rsidRPr="00A53E03">
        <w:rPr>
          <w:b/>
          <w:bCs/>
        </w:rPr>
        <w:t>Carbohydrate-active enzymes (</w:t>
      </w:r>
      <w:proofErr w:type="spellStart"/>
      <w:r w:rsidRPr="00A53E03">
        <w:rPr>
          <w:b/>
          <w:bCs/>
        </w:rPr>
        <w:t>CAZymes</w:t>
      </w:r>
      <w:proofErr w:type="spellEnd"/>
      <w:r w:rsidRPr="00A53E03">
        <w:rPr>
          <w:b/>
          <w:bCs/>
        </w:rPr>
        <w:t xml:space="preserve">) detected in MAGs, and the number of MAGs containing genes encoding </w:t>
      </w:r>
      <w:proofErr w:type="spellStart"/>
      <w:r w:rsidRPr="00A53E03">
        <w:rPr>
          <w:b/>
          <w:bCs/>
        </w:rPr>
        <w:t>CAZymes</w:t>
      </w:r>
      <w:proofErr w:type="spellEnd"/>
      <w:r w:rsidRPr="00A53E03">
        <w:rPr>
          <w:b/>
          <w:bCs/>
        </w:rPr>
        <w:t xml:space="preserve">. </w:t>
      </w:r>
      <w:r w:rsidRPr="00A53E03">
        <w:t>The heatmap summarizes the number of genomes within each phylum that contain genes encoding GTs (glycosyltransferases), GHs (glycoside hydrolases), and CEs (carbohydrate esterases).</w:t>
      </w:r>
    </w:p>
    <w:p w14:paraId="737C7E9F" w14:textId="77777777" w:rsidR="00A53E03" w:rsidRDefault="00A53E03">
      <w:pPr>
        <w:widowControl/>
        <w:spacing w:line="240" w:lineRule="auto"/>
        <w:jc w:val="left"/>
      </w:pPr>
      <w:r>
        <w:br w:type="page"/>
      </w:r>
    </w:p>
    <w:p w14:paraId="0621DEE7" w14:textId="24D0A7E9" w:rsidR="00A53E03" w:rsidRDefault="00A53E03" w:rsidP="00BF2A6C">
      <w:r>
        <w:rPr>
          <w:rFonts w:hint="eastAsia"/>
          <w:noProof/>
        </w:rPr>
        <w:lastRenderedPageBreak/>
        <w:drawing>
          <wp:inline distT="0" distB="0" distL="0" distR="0" wp14:anchorId="73C661D8" wp14:editId="134C4ADC">
            <wp:extent cx="5291527" cy="1355261"/>
            <wp:effectExtent l="0" t="0" r="4445" b="3810"/>
            <wp:docPr id="1091817317" name="图片 6"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17317" name="图片 6" descr="图表, 条形图&#10;&#10;AI 生成的内容可能不正确。"/>
                    <pic:cNvPicPr/>
                  </pic:nvPicPr>
                  <pic:blipFill>
                    <a:blip r:embed="rId13">
                      <a:extLst>
                        <a:ext uri="{28A0092B-C50C-407E-A947-70E740481C1C}">
                          <a14:useLocalDpi xmlns:a14="http://schemas.microsoft.com/office/drawing/2010/main" val="0"/>
                        </a:ext>
                      </a:extLst>
                    </a:blip>
                    <a:stretch>
                      <a:fillRect/>
                    </a:stretch>
                  </pic:blipFill>
                  <pic:spPr>
                    <a:xfrm>
                      <a:off x="0" y="0"/>
                      <a:ext cx="5340026" cy="1367683"/>
                    </a:xfrm>
                    <a:prstGeom prst="rect">
                      <a:avLst/>
                    </a:prstGeom>
                  </pic:spPr>
                </pic:pic>
              </a:graphicData>
            </a:graphic>
          </wp:inline>
        </w:drawing>
      </w:r>
    </w:p>
    <w:p w14:paraId="50D48738" w14:textId="1831509F" w:rsidR="00A53E03" w:rsidRPr="00BF2A6C" w:rsidRDefault="00A53E03" w:rsidP="00BF2A6C">
      <w:r w:rsidRPr="003B4630">
        <w:rPr>
          <w:b/>
          <w:bCs/>
        </w:rPr>
        <w:t>Figure S</w:t>
      </w:r>
      <w:r w:rsidR="003B4630" w:rsidRPr="003B4630">
        <w:rPr>
          <w:rFonts w:hint="eastAsia"/>
          <w:b/>
          <w:bCs/>
        </w:rPr>
        <w:t>7</w:t>
      </w:r>
      <w:r w:rsidRPr="003B4630">
        <w:rPr>
          <w:b/>
          <w:bCs/>
        </w:rPr>
        <w:t xml:space="preserve">. tRNAs detected in MAGs from sediments and nodule surfaces in the deep-sea nodule area. </w:t>
      </w:r>
      <w:r w:rsidRPr="00A53E03">
        <w:t xml:space="preserve">They are classified into ‘Yield’ (used for synthesizing substances required for their own growth and reproduction) and ‘Not Yield’ (not used for their own growth). The tRNAs used for self-growth are subsequently regarded as the growth life-history strategy (Y). Detailed information </w:t>
      </w:r>
      <w:r w:rsidR="0068028A">
        <w:rPr>
          <w:rFonts w:hint="eastAsia"/>
        </w:rPr>
        <w:t>was</w:t>
      </w:r>
      <w:r w:rsidRPr="00A53E03">
        <w:t xml:space="preserve"> provided in Table S</w:t>
      </w:r>
      <w:r w:rsidR="00E255C8">
        <w:rPr>
          <w:rFonts w:hint="eastAsia"/>
        </w:rPr>
        <w:t>10</w:t>
      </w:r>
      <w:r w:rsidRPr="00A53E03">
        <w:t>.</w:t>
      </w:r>
    </w:p>
    <w:sectPr w:rsidR="00A53E03" w:rsidRPr="00BF2A6C" w:rsidSect="004630E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E3520" w14:textId="77777777" w:rsidR="000B4F9F" w:rsidRDefault="000B4F9F" w:rsidP="00D237A0">
      <w:pPr>
        <w:spacing w:line="240" w:lineRule="auto"/>
      </w:pPr>
      <w:r>
        <w:separator/>
      </w:r>
    </w:p>
  </w:endnote>
  <w:endnote w:type="continuationSeparator" w:id="0">
    <w:p w14:paraId="52F37844" w14:textId="77777777" w:rsidR="000B4F9F" w:rsidRDefault="000B4F9F" w:rsidP="00D23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Times New Roman Regular">
    <w:altName w:val="Times New Roman"/>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849DEB" w14:textId="77777777" w:rsidR="000B4F9F" w:rsidRDefault="000B4F9F" w:rsidP="00D237A0">
      <w:pPr>
        <w:spacing w:line="240" w:lineRule="auto"/>
      </w:pPr>
      <w:r>
        <w:separator/>
      </w:r>
    </w:p>
  </w:footnote>
  <w:footnote w:type="continuationSeparator" w:id="0">
    <w:p w14:paraId="7292415D" w14:textId="77777777" w:rsidR="000B4F9F" w:rsidRDefault="000B4F9F" w:rsidP="00D237A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7313C0"/>
    <w:multiLevelType w:val="multilevel"/>
    <w:tmpl w:val="D40A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504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725"/>
    <w:rsid w:val="0001022B"/>
    <w:rsid w:val="00011D22"/>
    <w:rsid w:val="00027053"/>
    <w:rsid w:val="0004352E"/>
    <w:rsid w:val="00056CE7"/>
    <w:rsid w:val="00065A7A"/>
    <w:rsid w:val="0006742E"/>
    <w:rsid w:val="00096CB6"/>
    <w:rsid w:val="000B19A3"/>
    <w:rsid w:val="000B345E"/>
    <w:rsid w:val="000B4F9F"/>
    <w:rsid w:val="000E1F54"/>
    <w:rsid w:val="00122B86"/>
    <w:rsid w:val="001B60CE"/>
    <w:rsid w:val="001B7D6C"/>
    <w:rsid w:val="001D1849"/>
    <w:rsid w:val="001E1973"/>
    <w:rsid w:val="00206732"/>
    <w:rsid w:val="00210161"/>
    <w:rsid w:val="002275AD"/>
    <w:rsid w:val="00264895"/>
    <w:rsid w:val="002760AE"/>
    <w:rsid w:val="002A5163"/>
    <w:rsid w:val="00347CCD"/>
    <w:rsid w:val="003533D9"/>
    <w:rsid w:val="003570C6"/>
    <w:rsid w:val="00362962"/>
    <w:rsid w:val="003843C9"/>
    <w:rsid w:val="003868D3"/>
    <w:rsid w:val="00393BEF"/>
    <w:rsid w:val="003B3DA3"/>
    <w:rsid w:val="003B4630"/>
    <w:rsid w:val="003B6C8A"/>
    <w:rsid w:val="003F600D"/>
    <w:rsid w:val="004043FA"/>
    <w:rsid w:val="00405160"/>
    <w:rsid w:val="00453256"/>
    <w:rsid w:val="004630E7"/>
    <w:rsid w:val="004674C1"/>
    <w:rsid w:val="00485A44"/>
    <w:rsid w:val="00531D94"/>
    <w:rsid w:val="005346E3"/>
    <w:rsid w:val="005C1791"/>
    <w:rsid w:val="0068028A"/>
    <w:rsid w:val="006B3CA8"/>
    <w:rsid w:val="00707725"/>
    <w:rsid w:val="00713BD8"/>
    <w:rsid w:val="0071766A"/>
    <w:rsid w:val="007C3AB8"/>
    <w:rsid w:val="007E0E20"/>
    <w:rsid w:val="007F0336"/>
    <w:rsid w:val="00880A76"/>
    <w:rsid w:val="008C4A42"/>
    <w:rsid w:val="008E4533"/>
    <w:rsid w:val="008F29A6"/>
    <w:rsid w:val="008F71C3"/>
    <w:rsid w:val="00943DA3"/>
    <w:rsid w:val="009503BE"/>
    <w:rsid w:val="0097423F"/>
    <w:rsid w:val="00992490"/>
    <w:rsid w:val="009A1391"/>
    <w:rsid w:val="009A74E5"/>
    <w:rsid w:val="009D2533"/>
    <w:rsid w:val="00A53E03"/>
    <w:rsid w:val="00A62E02"/>
    <w:rsid w:val="00A82737"/>
    <w:rsid w:val="00AC0965"/>
    <w:rsid w:val="00AC0E07"/>
    <w:rsid w:val="00AD729D"/>
    <w:rsid w:val="00B530E0"/>
    <w:rsid w:val="00BB1662"/>
    <w:rsid w:val="00BF2A6C"/>
    <w:rsid w:val="00C2231E"/>
    <w:rsid w:val="00C73587"/>
    <w:rsid w:val="00C840F4"/>
    <w:rsid w:val="00CC734D"/>
    <w:rsid w:val="00CD2254"/>
    <w:rsid w:val="00CE0A96"/>
    <w:rsid w:val="00D237A0"/>
    <w:rsid w:val="00D84E9C"/>
    <w:rsid w:val="00D90E37"/>
    <w:rsid w:val="00D9597A"/>
    <w:rsid w:val="00DA20E0"/>
    <w:rsid w:val="00DA680E"/>
    <w:rsid w:val="00DF1408"/>
    <w:rsid w:val="00E255C8"/>
    <w:rsid w:val="00EB46FC"/>
    <w:rsid w:val="00ED4C77"/>
    <w:rsid w:val="00F02519"/>
    <w:rsid w:val="00F14415"/>
    <w:rsid w:val="00F91EC5"/>
    <w:rsid w:val="00FD20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C63A9"/>
  <w15:chartTrackingRefBased/>
  <w15:docId w15:val="{A35CB1A7-32A2-6542-91EA-033C58A35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6CE7"/>
    <w:pPr>
      <w:widowControl w:val="0"/>
      <w:spacing w:line="360" w:lineRule="auto"/>
      <w:jc w:val="both"/>
    </w:pPr>
    <w:rPr>
      <w:rFonts w:ascii="Times New Roman" w:hAnsi="Times New Roman"/>
    </w:rPr>
  </w:style>
  <w:style w:type="paragraph" w:styleId="1">
    <w:name w:val="heading 1"/>
    <w:basedOn w:val="a"/>
    <w:next w:val="a"/>
    <w:link w:val="10"/>
    <w:uiPriority w:val="9"/>
    <w:qFormat/>
    <w:rsid w:val="00056CE7"/>
    <w:pPr>
      <w:keepNext/>
      <w:keepLines/>
      <w:spacing w:before="480" w:after="80"/>
      <w:outlineLvl w:val="0"/>
    </w:pPr>
    <w:rPr>
      <w:rFonts w:eastAsiaTheme="majorEastAsia" w:cstheme="majorBidi"/>
      <w:color w:val="2F5496" w:themeColor="accent1" w:themeShade="BF"/>
      <w:sz w:val="32"/>
      <w:szCs w:val="48"/>
    </w:rPr>
  </w:style>
  <w:style w:type="paragraph" w:styleId="2">
    <w:name w:val="heading 2"/>
    <w:basedOn w:val="a"/>
    <w:next w:val="a"/>
    <w:link w:val="20"/>
    <w:uiPriority w:val="9"/>
    <w:unhideWhenUsed/>
    <w:qFormat/>
    <w:rsid w:val="00056CE7"/>
    <w:pPr>
      <w:keepNext/>
      <w:keepLines/>
      <w:spacing w:before="160" w:after="80"/>
      <w:outlineLvl w:val="1"/>
    </w:pPr>
    <w:rPr>
      <w:rFonts w:eastAsiaTheme="majorEastAsia" w:cstheme="majorBidi"/>
      <w:color w:val="2F5496" w:themeColor="accent1" w:themeShade="BF"/>
      <w:sz w:val="28"/>
      <w:szCs w:val="40"/>
    </w:rPr>
  </w:style>
  <w:style w:type="paragraph" w:styleId="3">
    <w:name w:val="heading 3"/>
    <w:basedOn w:val="a"/>
    <w:next w:val="a"/>
    <w:link w:val="30"/>
    <w:uiPriority w:val="9"/>
    <w:unhideWhenUsed/>
    <w:qFormat/>
    <w:rsid w:val="00056CE7"/>
    <w:pPr>
      <w:keepNext/>
      <w:keepLines/>
      <w:spacing w:before="160" w:after="80"/>
      <w:outlineLvl w:val="2"/>
    </w:pPr>
    <w:rPr>
      <w:rFonts w:eastAsiaTheme="majorEastAsia" w:cstheme="majorBidi"/>
      <w:color w:val="2F5496" w:themeColor="accent1" w:themeShade="BF"/>
      <w:szCs w:val="32"/>
    </w:rPr>
  </w:style>
  <w:style w:type="paragraph" w:styleId="4">
    <w:name w:val="heading 4"/>
    <w:basedOn w:val="a"/>
    <w:next w:val="a"/>
    <w:link w:val="40"/>
    <w:uiPriority w:val="9"/>
    <w:semiHidden/>
    <w:unhideWhenUsed/>
    <w:qFormat/>
    <w:rsid w:val="00707725"/>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707725"/>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707725"/>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707725"/>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07725"/>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07725"/>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56CE7"/>
    <w:rPr>
      <w:rFonts w:ascii="Times New Roman" w:eastAsiaTheme="majorEastAsia" w:hAnsi="Times New Roman" w:cstheme="majorBidi"/>
      <w:color w:val="2F5496" w:themeColor="accent1" w:themeShade="BF"/>
      <w:sz w:val="32"/>
      <w:szCs w:val="48"/>
    </w:rPr>
  </w:style>
  <w:style w:type="character" w:customStyle="1" w:styleId="20">
    <w:name w:val="标题 2 字符"/>
    <w:basedOn w:val="a0"/>
    <w:link w:val="2"/>
    <w:uiPriority w:val="9"/>
    <w:rsid w:val="00056CE7"/>
    <w:rPr>
      <w:rFonts w:ascii="Times New Roman" w:eastAsiaTheme="majorEastAsia" w:hAnsi="Times New Roman" w:cstheme="majorBidi"/>
      <w:color w:val="2F5496" w:themeColor="accent1" w:themeShade="BF"/>
      <w:sz w:val="28"/>
      <w:szCs w:val="40"/>
    </w:rPr>
  </w:style>
  <w:style w:type="character" w:customStyle="1" w:styleId="30">
    <w:name w:val="标题 3 字符"/>
    <w:basedOn w:val="a0"/>
    <w:link w:val="3"/>
    <w:uiPriority w:val="9"/>
    <w:rsid w:val="00056CE7"/>
    <w:rPr>
      <w:rFonts w:ascii="Times New Roman" w:eastAsiaTheme="majorEastAsia" w:hAnsi="Times New Roman" w:cstheme="majorBidi"/>
      <w:color w:val="2F5496" w:themeColor="accent1" w:themeShade="BF"/>
      <w:szCs w:val="32"/>
    </w:rPr>
  </w:style>
  <w:style w:type="character" w:customStyle="1" w:styleId="40">
    <w:name w:val="标题 4 字符"/>
    <w:basedOn w:val="a0"/>
    <w:link w:val="4"/>
    <w:uiPriority w:val="9"/>
    <w:semiHidden/>
    <w:rsid w:val="00707725"/>
    <w:rPr>
      <w:rFonts w:cstheme="majorBidi"/>
      <w:color w:val="2F5496" w:themeColor="accent1" w:themeShade="BF"/>
      <w:sz w:val="28"/>
      <w:szCs w:val="28"/>
    </w:rPr>
  </w:style>
  <w:style w:type="character" w:customStyle="1" w:styleId="50">
    <w:name w:val="标题 5 字符"/>
    <w:basedOn w:val="a0"/>
    <w:link w:val="5"/>
    <w:uiPriority w:val="9"/>
    <w:semiHidden/>
    <w:rsid w:val="00707725"/>
    <w:rPr>
      <w:rFonts w:cstheme="majorBidi"/>
      <w:color w:val="2F5496" w:themeColor="accent1" w:themeShade="BF"/>
      <w:sz w:val="24"/>
    </w:rPr>
  </w:style>
  <w:style w:type="character" w:customStyle="1" w:styleId="60">
    <w:name w:val="标题 6 字符"/>
    <w:basedOn w:val="a0"/>
    <w:link w:val="6"/>
    <w:uiPriority w:val="9"/>
    <w:semiHidden/>
    <w:rsid w:val="00707725"/>
    <w:rPr>
      <w:rFonts w:cstheme="majorBidi"/>
      <w:b/>
      <w:bCs/>
      <w:color w:val="2F5496" w:themeColor="accent1" w:themeShade="BF"/>
    </w:rPr>
  </w:style>
  <w:style w:type="character" w:customStyle="1" w:styleId="70">
    <w:name w:val="标题 7 字符"/>
    <w:basedOn w:val="a0"/>
    <w:link w:val="7"/>
    <w:uiPriority w:val="9"/>
    <w:semiHidden/>
    <w:rsid w:val="00707725"/>
    <w:rPr>
      <w:rFonts w:cstheme="majorBidi"/>
      <w:b/>
      <w:bCs/>
      <w:color w:val="595959" w:themeColor="text1" w:themeTint="A6"/>
    </w:rPr>
  </w:style>
  <w:style w:type="character" w:customStyle="1" w:styleId="80">
    <w:name w:val="标题 8 字符"/>
    <w:basedOn w:val="a0"/>
    <w:link w:val="8"/>
    <w:uiPriority w:val="9"/>
    <w:semiHidden/>
    <w:rsid w:val="00707725"/>
    <w:rPr>
      <w:rFonts w:cstheme="majorBidi"/>
      <w:color w:val="595959" w:themeColor="text1" w:themeTint="A6"/>
    </w:rPr>
  </w:style>
  <w:style w:type="character" w:customStyle="1" w:styleId="90">
    <w:name w:val="标题 9 字符"/>
    <w:basedOn w:val="a0"/>
    <w:link w:val="9"/>
    <w:uiPriority w:val="9"/>
    <w:semiHidden/>
    <w:rsid w:val="00707725"/>
    <w:rPr>
      <w:rFonts w:eastAsiaTheme="majorEastAsia" w:cstheme="majorBidi"/>
      <w:color w:val="595959" w:themeColor="text1" w:themeTint="A6"/>
    </w:rPr>
  </w:style>
  <w:style w:type="paragraph" w:styleId="a3">
    <w:name w:val="Title"/>
    <w:basedOn w:val="a"/>
    <w:next w:val="a"/>
    <w:link w:val="a4"/>
    <w:uiPriority w:val="10"/>
    <w:qFormat/>
    <w:rsid w:val="0070772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0772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0772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0772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07725"/>
    <w:pPr>
      <w:spacing w:before="160" w:after="160"/>
      <w:jc w:val="center"/>
    </w:pPr>
    <w:rPr>
      <w:i/>
      <w:iCs/>
      <w:color w:val="404040" w:themeColor="text1" w:themeTint="BF"/>
    </w:rPr>
  </w:style>
  <w:style w:type="character" w:customStyle="1" w:styleId="a8">
    <w:name w:val="引用 字符"/>
    <w:basedOn w:val="a0"/>
    <w:link w:val="a7"/>
    <w:uiPriority w:val="29"/>
    <w:rsid w:val="00707725"/>
    <w:rPr>
      <w:i/>
      <w:iCs/>
      <w:color w:val="404040" w:themeColor="text1" w:themeTint="BF"/>
    </w:rPr>
  </w:style>
  <w:style w:type="paragraph" w:styleId="a9">
    <w:name w:val="List Paragraph"/>
    <w:basedOn w:val="a"/>
    <w:uiPriority w:val="34"/>
    <w:qFormat/>
    <w:rsid w:val="00707725"/>
    <w:pPr>
      <w:ind w:left="720"/>
      <w:contextualSpacing/>
    </w:pPr>
  </w:style>
  <w:style w:type="character" w:styleId="aa">
    <w:name w:val="Intense Emphasis"/>
    <w:basedOn w:val="a0"/>
    <w:uiPriority w:val="21"/>
    <w:qFormat/>
    <w:rsid w:val="00707725"/>
    <w:rPr>
      <w:i/>
      <w:iCs/>
      <w:color w:val="2F5496" w:themeColor="accent1" w:themeShade="BF"/>
    </w:rPr>
  </w:style>
  <w:style w:type="paragraph" w:styleId="ab">
    <w:name w:val="Intense Quote"/>
    <w:basedOn w:val="a"/>
    <w:next w:val="a"/>
    <w:link w:val="ac"/>
    <w:uiPriority w:val="30"/>
    <w:qFormat/>
    <w:rsid w:val="007077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707725"/>
    <w:rPr>
      <w:i/>
      <w:iCs/>
      <w:color w:val="2F5496" w:themeColor="accent1" w:themeShade="BF"/>
    </w:rPr>
  </w:style>
  <w:style w:type="character" w:styleId="ad">
    <w:name w:val="Intense Reference"/>
    <w:basedOn w:val="a0"/>
    <w:uiPriority w:val="32"/>
    <w:qFormat/>
    <w:rsid w:val="00707725"/>
    <w:rPr>
      <w:b/>
      <w:bCs/>
      <w:smallCaps/>
      <w:color w:val="2F5496" w:themeColor="accent1" w:themeShade="BF"/>
      <w:spacing w:val="5"/>
    </w:rPr>
  </w:style>
  <w:style w:type="paragraph" w:styleId="ae">
    <w:name w:val="header"/>
    <w:basedOn w:val="a"/>
    <w:link w:val="af"/>
    <w:uiPriority w:val="99"/>
    <w:unhideWhenUsed/>
    <w:rsid w:val="00D237A0"/>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D237A0"/>
    <w:rPr>
      <w:rFonts w:ascii="Times New Roman" w:hAnsi="Times New Roman"/>
      <w:sz w:val="18"/>
      <w:szCs w:val="18"/>
    </w:rPr>
  </w:style>
  <w:style w:type="paragraph" w:styleId="af0">
    <w:name w:val="footer"/>
    <w:basedOn w:val="a"/>
    <w:link w:val="af1"/>
    <w:uiPriority w:val="99"/>
    <w:unhideWhenUsed/>
    <w:rsid w:val="00D237A0"/>
    <w:pPr>
      <w:tabs>
        <w:tab w:val="center" w:pos="4153"/>
        <w:tab w:val="right" w:pos="8306"/>
      </w:tabs>
      <w:snapToGrid w:val="0"/>
      <w:spacing w:line="240" w:lineRule="auto"/>
      <w:jc w:val="left"/>
    </w:pPr>
    <w:rPr>
      <w:sz w:val="18"/>
      <w:szCs w:val="18"/>
    </w:rPr>
  </w:style>
  <w:style w:type="character" w:customStyle="1" w:styleId="af1">
    <w:name w:val="页脚 字符"/>
    <w:basedOn w:val="a0"/>
    <w:link w:val="af0"/>
    <w:uiPriority w:val="99"/>
    <w:rsid w:val="00D237A0"/>
    <w:rPr>
      <w:rFonts w:ascii="Times New Roman" w:hAnsi="Times New Roman"/>
      <w:sz w:val="18"/>
      <w:szCs w:val="18"/>
    </w:rPr>
  </w:style>
  <w:style w:type="character" w:styleId="af2">
    <w:name w:val="Hyperlink"/>
    <w:basedOn w:val="a0"/>
    <w:uiPriority w:val="99"/>
    <w:unhideWhenUsed/>
    <w:rsid w:val="00D84E9C"/>
    <w:rPr>
      <w:color w:val="0563C1" w:themeColor="hyperlink"/>
      <w:u w:val="single"/>
    </w:rPr>
  </w:style>
  <w:style w:type="character" w:styleId="af3">
    <w:name w:val="Unresolved Mention"/>
    <w:basedOn w:val="a0"/>
    <w:uiPriority w:val="99"/>
    <w:semiHidden/>
    <w:unhideWhenUsed/>
    <w:rsid w:val="00D84E9C"/>
    <w:rPr>
      <w:color w:val="605E5C"/>
      <w:shd w:val="clear" w:color="auto" w:fill="E1DFDD"/>
    </w:rPr>
  </w:style>
  <w:style w:type="character" w:styleId="af4">
    <w:name w:val="FollowedHyperlink"/>
    <w:basedOn w:val="a0"/>
    <w:uiPriority w:val="99"/>
    <w:semiHidden/>
    <w:unhideWhenUsed/>
    <w:rsid w:val="0006742E"/>
    <w:rPr>
      <w:color w:val="96607D"/>
      <w:u w:val="single"/>
    </w:rPr>
  </w:style>
  <w:style w:type="paragraph" w:customStyle="1" w:styleId="msonormal0">
    <w:name w:val="msonormal"/>
    <w:basedOn w:val="a"/>
    <w:rsid w:val="0006742E"/>
    <w:pPr>
      <w:widowControl/>
      <w:spacing w:before="100" w:beforeAutospacing="1" w:after="100" w:afterAutospacing="1" w:line="240" w:lineRule="auto"/>
      <w:jc w:val="left"/>
    </w:pPr>
    <w:rPr>
      <w:rFonts w:ascii="宋体" w:eastAsia="宋体" w:hAnsi="宋体" w:cs="宋体"/>
      <w:kern w:val="0"/>
      <w:sz w:val="24"/>
    </w:rPr>
  </w:style>
  <w:style w:type="paragraph" w:customStyle="1" w:styleId="xl65">
    <w:name w:val="xl65"/>
    <w:basedOn w:val="a"/>
    <w:rsid w:val="0006742E"/>
    <w:pPr>
      <w:widowControl/>
      <w:spacing w:before="100" w:beforeAutospacing="1" w:after="100" w:afterAutospacing="1" w:line="240" w:lineRule="auto"/>
      <w:jc w:val="center"/>
    </w:pPr>
    <w:rPr>
      <w:rFonts w:ascii="宋体" w:eastAsia="宋体" w:hAnsi="宋体" w:cs="宋体"/>
      <w:kern w:val="0"/>
      <w:sz w:val="24"/>
    </w:rPr>
  </w:style>
  <w:style w:type="paragraph" w:customStyle="1" w:styleId="xl66">
    <w:name w:val="xl66"/>
    <w:basedOn w:val="a"/>
    <w:rsid w:val="0006742E"/>
    <w:pPr>
      <w:widowControl/>
      <w:pBdr>
        <w:bottom w:val="single" w:sz="12" w:space="0" w:color="auto"/>
      </w:pBdr>
      <w:spacing w:before="100" w:beforeAutospacing="1" w:after="100" w:afterAutospacing="1" w:line="240" w:lineRule="auto"/>
      <w:jc w:val="left"/>
    </w:pPr>
    <w:rPr>
      <w:rFonts w:ascii="Times New Roman Regular" w:eastAsia="宋体" w:hAnsi="Times New Roman Regular" w:cs="宋体"/>
      <w:b/>
      <w:bCs/>
      <w:kern w:val="0"/>
      <w:sz w:val="24"/>
    </w:rPr>
  </w:style>
  <w:style w:type="paragraph" w:customStyle="1" w:styleId="xl67">
    <w:name w:val="xl67"/>
    <w:basedOn w:val="a"/>
    <w:rsid w:val="0006742E"/>
    <w:pPr>
      <w:widowControl/>
      <w:pBdr>
        <w:bottom w:val="single" w:sz="12" w:space="0" w:color="auto"/>
      </w:pBdr>
      <w:spacing w:before="100" w:beforeAutospacing="1" w:after="100" w:afterAutospacing="1" w:line="240" w:lineRule="auto"/>
      <w:jc w:val="center"/>
    </w:pPr>
    <w:rPr>
      <w:rFonts w:ascii="Times New Roman Regular" w:eastAsia="宋体" w:hAnsi="Times New Roman Regular" w:cs="宋体"/>
      <w:kern w:val="0"/>
      <w:sz w:val="24"/>
    </w:rPr>
  </w:style>
  <w:style w:type="paragraph" w:customStyle="1" w:styleId="xl68">
    <w:name w:val="xl68"/>
    <w:basedOn w:val="a"/>
    <w:rsid w:val="0006742E"/>
    <w:pPr>
      <w:widowControl/>
      <w:spacing w:before="100" w:beforeAutospacing="1" w:after="100" w:afterAutospacing="1" w:line="240" w:lineRule="auto"/>
      <w:jc w:val="center"/>
    </w:pPr>
    <w:rPr>
      <w:rFonts w:ascii="Times New Roman Regular" w:eastAsia="宋体" w:hAnsi="Times New Roman Regular" w:cs="宋体"/>
      <w:b/>
      <w:bCs/>
      <w:kern w:val="0"/>
      <w:sz w:val="24"/>
    </w:rPr>
  </w:style>
  <w:style w:type="paragraph" w:customStyle="1" w:styleId="xl69">
    <w:name w:val="xl69"/>
    <w:basedOn w:val="a"/>
    <w:rsid w:val="0006742E"/>
    <w:pPr>
      <w:widowControl/>
      <w:pBdr>
        <w:top w:val="single" w:sz="12" w:space="0" w:color="auto"/>
      </w:pBdr>
      <w:spacing w:before="100" w:beforeAutospacing="1" w:after="100" w:afterAutospacing="1" w:line="240" w:lineRule="auto"/>
      <w:jc w:val="center"/>
    </w:pPr>
    <w:rPr>
      <w:rFonts w:ascii="Times New Roman Regular" w:eastAsia="宋体" w:hAnsi="Times New Roman Regular" w:cs="宋体"/>
      <w:kern w:val="0"/>
      <w:sz w:val="24"/>
    </w:rPr>
  </w:style>
  <w:style w:type="paragraph" w:customStyle="1" w:styleId="xl70">
    <w:name w:val="xl70"/>
    <w:basedOn w:val="a"/>
    <w:rsid w:val="0006742E"/>
    <w:pPr>
      <w:widowControl/>
      <w:spacing w:before="100" w:beforeAutospacing="1" w:after="100" w:afterAutospacing="1" w:line="240" w:lineRule="auto"/>
      <w:jc w:val="center"/>
    </w:pPr>
    <w:rPr>
      <w:rFonts w:ascii="Times New Roman Regular" w:eastAsia="宋体" w:hAnsi="Times New Roman Regular" w:cs="宋体"/>
      <w:kern w:val="0"/>
      <w:sz w:val="24"/>
    </w:rPr>
  </w:style>
  <w:style w:type="paragraph" w:styleId="af5">
    <w:name w:val="Normal (Web)"/>
    <w:basedOn w:val="a"/>
    <w:uiPriority w:val="99"/>
    <w:semiHidden/>
    <w:unhideWhenUsed/>
    <w:rsid w:val="009D2533"/>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6882">
      <w:bodyDiv w:val="1"/>
      <w:marLeft w:val="0"/>
      <w:marRight w:val="0"/>
      <w:marTop w:val="0"/>
      <w:marBottom w:val="0"/>
      <w:divBdr>
        <w:top w:val="none" w:sz="0" w:space="0" w:color="auto"/>
        <w:left w:val="none" w:sz="0" w:space="0" w:color="auto"/>
        <w:bottom w:val="none" w:sz="0" w:space="0" w:color="auto"/>
        <w:right w:val="none" w:sz="0" w:space="0" w:color="auto"/>
      </w:divBdr>
    </w:div>
    <w:div w:id="76754347">
      <w:bodyDiv w:val="1"/>
      <w:marLeft w:val="0"/>
      <w:marRight w:val="0"/>
      <w:marTop w:val="0"/>
      <w:marBottom w:val="0"/>
      <w:divBdr>
        <w:top w:val="none" w:sz="0" w:space="0" w:color="auto"/>
        <w:left w:val="none" w:sz="0" w:space="0" w:color="auto"/>
        <w:bottom w:val="none" w:sz="0" w:space="0" w:color="auto"/>
        <w:right w:val="none" w:sz="0" w:space="0" w:color="auto"/>
      </w:divBdr>
    </w:div>
    <w:div w:id="78067061">
      <w:bodyDiv w:val="1"/>
      <w:marLeft w:val="0"/>
      <w:marRight w:val="0"/>
      <w:marTop w:val="0"/>
      <w:marBottom w:val="0"/>
      <w:divBdr>
        <w:top w:val="none" w:sz="0" w:space="0" w:color="auto"/>
        <w:left w:val="none" w:sz="0" w:space="0" w:color="auto"/>
        <w:bottom w:val="none" w:sz="0" w:space="0" w:color="auto"/>
        <w:right w:val="none" w:sz="0" w:space="0" w:color="auto"/>
      </w:divBdr>
    </w:div>
    <w:div w:id="110126137">
      <w:bodyDiv w:val="1"/>
      <w:marLeft w:val="0"/>
      <w:marRight w:val="0"/>
      <w:marTop w:val="0"/>
      <w:marBottom w:val="0"/>
      <w:divBdr>
        <w:top w:val="none" w:sz="0" w:space="0" w:color="auto"/>
        <w:left w:val="none" w:sz="0" w:space="0" w:color="auto"/>
        <w:bottom w:val="none" w:sz="0" w:space="0" w:color="auto"/>
        <w:right w:val="none" w:sz="0" w:space="0" w:color="auto"/>
      </w:divBdr>
    </w:div>
    <w:div w:id="114908945">
      <w:bodyDiv w:val="1"/>
      <w:marLeft w:val="0"/>
      <w:marRight w:val="0"/>
      <w:marTop w:val="0"/>
      <w:marBottom w:val="0"/>
      <w:divBdr>
        <w:top w:val="none" w:sz="0" w:space="0" w:color="auto"/>
        <w:left w:val="none" w:sz="0" w:space="0" w:color="auto"/>
        <w:bottom w:val="none" w:sz="0" w:space="0" w:color="auto"/>
        <w:right w:val="none" w:sz="0" w:space="0" w:color="auto"/>
      </w:divBdr>
    </w:div>
    <w:div w:id="241263372">
      <w:bodyDiv w:val="1"/>
      <w:marLeft w:val="0"/>
      <w:marRight w:val="0"/>
      <w:marTop w:val="0"/>
      <w:marBottom w:val="0"/>
      <w:divBdr>
        <w:top w:val="none" w:sz="0" w:space="0" w:color="auto"/>
        <w:left w:val="none" w:sz="0" w:space="0" w:color="auto"/>
        <w:bottom w:val="none" w:sz="0" w:space="0" w:color="auto"/>
        <w:right w:val="none" w:sz="0" w:space="0" w:color="auto"/>
      </w:divBdr>
    </w:div>
    <w:div w:id="245848455">
      <w:bodyDiv w:val="1"/>
      <w:marLeft w:val="0"/>
      <w:marRight w:val="0"/>
      <w:marTop w:val="0"/>
      <w:marBottom w:val="0"/>
      <w:divBdr>
        <w:top w:val="none" w:sz="0" w:space="0" w:color="auto"/>
        <w:left w:val="none" w:sz="0" w:space="0" w:color="auto"/>
        <w:bottom w:val="none" w:sz="0" w:space="0" w:color="auto"/>
        <w:right w:val="none" w:sz="0" w:space="0" w:color="auto"/>
      </w:divBdr>
    </w:div>
    <w:div w:id="351535865">
      <w:bodyDiv w:val="1"/>
      <w:marLeft w:val="0"/>
      <w:marRight w:val="0"/>
      <w:marTop w:val="0"/>
      <w:marBottom w:val="0"/>
      <w:divBdr>
        <w:top w:val="none" w:sz="0" w:space="0" w:color="auto"/>
        <w:left w:val="none" w:sz="0" w:space="0" w:color="auto"/>
        <w:bottom w:val="none" w:sz="0" w:space="0" w:color="auto"/>
        <w:right w:val="none" w:sz="0" w:space="0" w:color="auto"/>
      </w:divBdr>
    </w:div>
    <w:div w:id="391806074">
      <w:bodyDiv w:val="1"/>
      <w:marLeft w:val="0"/>
      <w:marRight w:val="0"/>
      <w:marTop w:val="0"/>
      <w:marBottom w:val="0"/>
      <w:divBdr>
        <w:top w:val="none" w:sz="0" w:space="0" w:color="auto"/>
        <w:left w:val="none" w:sz="0" w:space="0" w:color="auto"/>
        <w:bottom w:val="none" w:sz="0" w:space="0" w:color="auto"/>
        <w:right w:val="none" w:sz="0" w:space="0" w:color="auto"/>
      </w:divBdr>
    </w:div>
    <w:div w:id="396171718">
      <w:bodyDiv w:val="1"/>
      <w:marLeft w:val="0"/>
      <w:marRight w:val="0"/>
      <w:marTop w:val="0"/>
      <w:marBottom w:val="0"/>
      <w:divBdr>
        <w:top w:val="none" w:sz="0" w:space="0" w:color="auto"/>
        <w:left w:val="none" w:sz="0" w:space="0" w:color="auto"/>
        <w:bottom w:val="none" w:sz="0" w:space="0" w:color="auto"/>
        <w:right w:val="none" w:sz="0" w:space="0" w:color="auto"/>
      </w:divBdr>
    </w:div>
    <w:div w:id="453017343">
      <w:bodyDiv w:val="1"/>
      <w:marLeft w:val="0"/>
      <w:marRight w:val="0"/>
      <w:marTop w:val="0"/>
      <w:marBottom w:val="0"/>
      <w:divBdr>
        <w:top w:val="none" w:sz="0" w:space="0" w:color="auto"/>
        <w:left w:val="none" w:sz="0" w:space="0" w:color="auto"/>
        <w:bottom w:val="none" w:sz="0" w:space="0" w:color="auto"/>
        <w:right w:val="none" w:sz="0" w:space="0" w:color="auto"/>
      </w:divBdr>
    </w:div>
    <w:div w:id="477112569">
      <w:bodyDiv w:val="1"/>
      <w:marLeft w:val="0"/>
      <w:marRight w:val="0"/>
      <w:marTop w:val="0"/>
      <w:marBottom w:val="0"/>
      <w:divBdr>
        <w:top w:val="none" w:sz="0" w:space="0" w:color="auto"/>
        <w:left w:val="none" w:sz="0" w:space="0" w:color="auto"/>
        <w:bottom w:val="none" w:sz="0" w:space="0" w:color="auto"/>
        <w:right w:val="none" w:sz="0" w:space="0" w:color="auto"/>
      </w:divBdr>
    </w:div>
    <w:div w:id="497692089">
      <w:bodyDiv w:val="1"/>
      <w:marLeft w:val="0"/>
      <w:marRight w:val="0"/>
      <w:marTop w:val="0"/>
      <w:marBottom w:val="0"/>
      <w:divBdr>
        <w:top w:val="none" w:sz="0" w:space="0" w:color="auto"/>
        <w:left w:val="none" w:sz="0" w:space="0" w:color="auto"/>
        <w:bottom w:val="none" w:sz="0" w:space="0" w:color="auto"/>
        <w:right w:val="none" w:sz="0" w:space="0" w:color="auto"/>
      </w:divBdr>
    </w:div>
    <w:div w:id="570891130">
      <w:bodyDiv w:val="1"/>
      <w:marLeft w:val="0"/>
      <w:marRight w:val="0"/>
      <w:marTop w:val="0"/>
      <w:marBottom w:val="0"/>
      <w:divBdr>
        <w:top w:val="none" w:sz="0" w:space="0" w:color="auto"/>
        <w:left w:val="none" w:sz="0" w:space="0" w:color="auto"/>
        <w:bottom w:val="none" w:sz="0" w:space="0" w:color="auto"/>
        <w:right w:val="none" w:sz="0" w:space="0" w:color="auto"/>
      </w:divBdr>
    </w:div>
    <w:div w:id="686980339">
      <w:bodyDiv w:val="1"/>
      <w:marLeft w:val="0"/>
      <w:marRight w:val="0"/>
      <w:marTop w:val="0"/>
      <w:marBottom w:val="0"/>
      <w:divBdr>
        <w:top w:val="none" w:sz="0" w:space="0" w:color="auto"/>
        <w:left w:val="none" w:sz="0" w:space="0" w:color="auto"/>
        <w:bottom w:val="none" w:sz="0" w:space="0" w:color="auto"/>
        <w:right w:val="none" w:sz="0" w:space="0" w:color="auto"/>
      </w:divBdr>
    </w:div>
    <w:div w:id="703791939">
      <w:bodyDiv w:val="1"/>
      <w:marLeft w:val="0"/>
      <w:marRight w:val="0"/>
      <w:marTop w:val="0"/>
      <w:marBottom w:val="0"/>
      <w:divBdr>
        <w:top w:val="none" w:sz="0" w:space="0" w:color="auto"/>
        <w:left w:val="none" w:sz="0" w:space="0" w:color="auto"/>
        <w:bottom w:val="none" w:sz="0" w:space="0" w:color="auto"/>
        <w:right w:val="none" w:sz="0" w:space="0" w:color="auto"/>
      </w:divBdr>
    </w:div>
    <w:div w:id="778722055">
      <w:bodyDiv w:val="1"/>
      <w:marLeft w:val="0"/>
      <w:marRight w:val="0"/>
      <w:marTop w:val="0"/>
      <w:marBottom w:val="0"/>
      <w:divBdr>
        <w:top w:val="none" w:sz="0" w:space="0" w:color="auto"/>
        <w:left w:val="none" w:sz="0" w:space="0" w:color="auto"/>
        <w:bottom w:val="none" w:sz="0" w:space="0" w:color="auto"/>
        <w:right w:val="none" w:sz="0" w:space="0" w:color="auto"/>
      </w:divBdr>
    </w:div>
    <w:div w:id="808088417">
      <w:bodyDiv w:val="1"/>
      <w:marLeft w:val="0"/>
      <w:marRight w:val="0"/>
      <w:marTop w:val="0"/>
      <w:marBottom w:val="0"/>
      <w:divBdr>
        <w:top w:val="none" w:sz="0" w:space="0" w:color="auto"/>
        <w:left w:val="none" w:sz="0" w:space="0" w:color="auto"/>
        <w:bottom w:val="none" w:sz="0" w:space="0" w:color="auto"/>
        <w:right w:val="none" w:sz="0" w:space="0" w:color="auto"/>
      </w:divBdr>
    </w:div>
    <w:div w:id="849174695">
      <w:bodyDiv w:val="1"/>
      <w:marLeft w:val="0"/>
      <w:marRight w:val="0"/>
      <w:marTop w:val="0"/>
      <w:marBottom w:val="0"/>
      <w:divBdr>
        <w:top w:val="none" w:sz="0" w:space="0" w:color="auto"/>
        <w:left w:val="none" w:sz="0" w:space="0" w:color="auto"/>
        <w:bottom w:val="none" w:sz="0" w:space="0" w:color="auto"/>
        <w:right w:val="none" w:sz="0" w:space="0" w:color="auto"/>
      </w:divBdr>
    </w:div>
    <w:div w:id="867185185">
      <w:bodyDiv w:val="1"/>
      <w:marLeft w:val="0"/>
      <w:marRight w:val="0"/>
      <w:marTop w:val="0"/>
      <w:marBottom w:val="0"/>
      <w:divBdr>
        <w:top w:val="none" w:sz="0" w:space="0" w:color="auto"/>
        <w:left w:val="none" w:sz="0" w:space="0" w:color="auto"/>
        <w:bottom w:val="none" w:sz="0" w:space="0" w:color="auto"/>
        <w:right w:val="none" w:sz="0" w:space="0" w:color="auto"/>
      </w:divBdr>
    </w:div>
    <w:div w:id="880290308">
      <w:bodyDiv w:val="1"/>
      <w:marLeft w:val="0"/>
      <w:marRight w:val="0"/>
      <w:marTop w:val="0"/>
      <w:marBottom w:val="0"/>
      <w:divBdr>
        <w:top w:val="none" w:sz="0" w:space="0" w:color="auto"/>
        <w:left w:val="none" w:sz="0" w:space="0" w:color="auto"/>
        <w:bottom w:val="none" w:sz="0" w:space="0" w:color="auto"/>
        <w:right w:val="none" w:sz="0" w:space="0" w:color="auto"/>
      </w:divBdr>
    </w:div>
    <w:div w:id="944920935">
      <w:bodyDiv w:val="1"/>
      <w:marLeft w:val="0"/>
      <w:marRight w:val="0"/>
      <w:marTop w:val="0"/>
      <w:marBottom w:val="0"/>
      <w:divBdr>
        <w:top w:val="none" w:sz="0" w:space="0" w:color="auto"/>
        <w:left w:val="none" w:sz="0" w:space="0" w:color="auto"/>
        <w:bottom w:val="none" w:sz="0" w:space="0" w:color="auto"/>
        <w:right w:val="none" w:sz="0" w:space="0" w:color="auto"/>
      </w:divBdr>
    </w:div>
    <w:div w:id="1028066857">
      <w:bodyDiv w:val="1"/>
      <w:marLeft w:val="0"/>
      <w:marRight w:val="0"/>
      <w:marTop w:val="0"/>
      <w:marBottom w:val="0"/>
      <w:divBdr>
        <w:top w:val="none" w:sz="0" w:space="0" w:color="auto"/>
        <w:left w:val="none" w:sz="0" w:space="0" w:color="auto"/>
        <w:bottom w:val="none" w:sz="0" w:space="0" w:color="auto"/>
        <w:right w:val="none" w:sz="0" w:space="0" w:color="auto"/>
      </w:divBdr>
    </w:div>
    <w:div w:id="1086421371">
      <w:bodyDiv w:val="1"/>
      <w:marLeft w:val="0"/>
      <w:marRight w:val="0"/>
      <w:marTop w:val="0"/>
      <w:marBottom w:val="0"/>
      <w:divBdr>
        <w:top w:val="none" w:sz="0" w:space="0" w:color="auto"/>
        <w:left w:val="none" w:sz="0" w:space="0" w:color="auto"/>
        <w:bottom w:val="none" w:sz="0" w:space="0" w:color="auto"/>
        <w:right w:val="none" w:sz="0" w:space="0" w:color="auto"/>
      </w:divBdr>
      <w:divsChild>
        <w:div w:id="687484020">
          <w:marLeft w:val="0"/>
          <w:marRight w:val="0"/>
          <w:marTop w:val="0"/>
          <w:marBottom w:val="0"/>
          <w:divBdr>
            <w:top w:val="none" w:sz="0" w:space="0" w:color="auto"/>
            <w:left w:val="none" w:sz="0" w:space="0" w:color="auto"/>
            <w:bottom w:val="none" w:sz="0" w:space="0" w:color="auto"/>
            <w:right w:val="none" w:sz="0" w:space="0" w:color="auto"/>
          </w:divBdr>
        </w:div>
        <w:div w:id="2091731318">
          <w:marLeft w:val="0"/>
          <w:marRight w:val="0"/>
          <w:marTop w:val="0"/>
          <w:marBottom w:val="0"/>
          <w:divBdr>
            <w:top w:val="none" w:sz="0" w:space="0" w:color="auto"/>
            <w:left w:val="none" w:sz="0" w:space="0" w:color="auto"/>
            <w:bottom w:val="none" w:sz="0" w:space="0" w:color="auto"/>
            <w:right w:val="none" w:sz="0" w:space="0" w:color="auto"/>
          </w:divBdr>
        </w:div>
        <w:div w:id="1156804986">
          <w:marLeft w:val="0"/>
          <w:marRight w:val="0"/>
          <w:marTop w:val="0"/>
          <w:marBottom w:val="0"/>
          <w:divBdr>
            <w:top w:val="none" w:sz="0" w:space="0" w:color="auto"/>
            <w:left w:val="none" w:sz="0" w:space="0" w:color="auto"/>
            <w:bottom w:val="none" w:sz="0" w:space="0" w:color="auto"/>
            <w:right w:val="none" w:sz="0" w:space="0" w:color="auto"/>
          </w:divBdr>
        </w:div>
        <w:div w:id="108937058">
          <w:marLeft w:val="0"/>
          <w:marRight w:val="0"/>
          <w:marTop w:val="0"/>
          <w:marBottom w:val="0"/>
          <w:divBdr>
            <w:top w:val="none" w:sz="0" w:space="0" w:color="auto"/>
            <w:left w:val="none" w:sz="0" w:space="0" w:color="auto"/>
            <w:bottom w:val="none" w:sz="0" w:space="0" w:color="auto"/>
            <w:right w:val="none" w:sz="0" w:space="0" w:color="auto"/>
          </w:divBdr>
        </w:div>
        <w:div w:id="686564296">
          <w:marLeft w:val="0"/>
          <w:marRight w:val="0"/>
          <w:marTop w:val="0"/>
          <w:marBottom w:val="0"/>
          <w:divBdr>
            <w:top w:val="none" w:sz="0" w:space="0" w:color="auto"/>
            <w:left w:val="none" w:sz="0" w:space="0" w:color="auto"/>
            <w:bottom w:val="none" w:sz="0" w:space="0" w:color="auto"/>
            <w:right w:val="none" w:sz="0" w:space="0" w:color="auto"/>
          </w:divBdr>
        </w:div>
        <w:div w:id="1152722450">
          <w:marLeft w:val="0"/>
          <w:marRight w:val="0"/>
          <w:marTop w:val="0"/>
          <w:marBottom w:val="0"/>
          <w:divBdr>
            <w:top w:val="none" w:sz="0" w:space="0" w:color="auto"/>
            <w:left w:val="none" w:sz="0" w:space="0" w:color="auto"/>
            <w:bottom w:val="none" w:sz="0" w:space="0" w:color="auto"/>
            <w:right w:val="none" w:sz="0" w:space="0" w:color="auto"/>
          </w:divBdr>
        </w:div>
        <w:div w:id="224950271">
          <w:marLeft w:val="0"/>
          <w:marRight w:val="0"/>
          <w:marTop w:val="0"/>
          <w:marBottom w:val="0"/>
          <w:divBdr>
            <w:top w:val="none" w:sz="0" w:space="0" w:color="auto"/>
            <w:left w:val="none" w:sz="0" w:space="0" w:color="auto"/>
            <w:bottom w:val="none" w:sz="0" w:space="0" w:color="auto"/>
            <w:right w:val="none" w:sz="0" w:space="0" w:color="auto"/>
          </w:divBdr>
        </w:div>
        <w:div w:id="334848603">
          <w:marLeft w:val="0"/>
          <w:marRight w:val="0"/>
          <w:marTop w:val="0"/>
          <w:marBottom w:val="0"/>
          <w:divBdr>
            <w:top w:val="none" w:sz="0" w:space="0" w:color="auto"/>
            <w:left w:val="none" w:sz="0" w:space="0" w:color="auto"/>
            <w:bottom w:val="none" w:sz="0" w:space="0" w:color="auto"/>
            <w:right w:val="none" w:sz="0" w:space="0" w:color="auto"/>
          </w:divBdr>
        </w:div>
        <w:div w:id="1833644784">
          <w:marLeft w:val="0"/>
          <w:marRight w:val="0"/>
          <w:marTop w:val="0"/>
          <w:marBottom w:val="0"/>
          <w:divBdr>
            <w:top w:val="none" w:sz="0" w:space="0" w:color="auto"/>
            <w:left w:val="none" w:sz="0" w:space="0" w:color="auto"/>
            <w:bottom w:val="none" w:sz="0" w:space="0" w:color="auto"/>
            <w:right w:val="none" w:sz="0" w:space="0" w:color="auto"/>
          </w:divBdr>
        </w:div>
        <w:div w:id="1147017685">
          <w:marLeft w:val="0"/>
          <w:marRight w:val="0"/>
          <w:marTop w:val="0"/>
          <w:marBottom w:val="0"/>
          <w:divBdr>
            <w:top w:val="none" w:sz="0" w:space="0" w:color="auto"/>
            <w:left w:val="none" w:sz="0" w:space="0" w:color="auto"/>
            <w:bottom w:val="none" w:sz="0" w:space="0" w:color="auto"/>
            <w:right w:val="none" w:sz="0" w:space="0" w:color="auto"/>
          </w:divBdr>
        </w:div>
        <w:div w:id="266237703">
          <w:marLeft w:val="0"/>
          <w:marRight w:val="0"/>
          <w:marTop w:val="0"/>
          <w:marBottom w:val="0"/>
          <w:divBdr>
            <w:top w:val="none" w:sz="0" w:space="0" w:color="auto"/>
            <w:left w:val="none" w:sz="0" w:space="0" w:color="auto"/>
            <w:bottom w:val="none" w:sz="0" w:space="0" w:color="auto"/>
            <w:right w:val="none" w:sz="0" w:space="0" w:color="auto"/>
          </w:divBdr>
        </w:div>
        <w:div w:id="101581856">
          <w:marLeft w:val="0"/>
          <w:marRight w:val="0"/>
          <w:marTop w:val="0"/>
          <w:marBottom w:val="0"/>
          <w:divBdr>
            <w:top w:val="none" w:sz="0" w:space="0" w:color="auto"/>
            <w:left w:val="none" w:sz="0" w:space="0" w:color="auto"/>
            <w:bottom w:val="none" w:sz="0" w:space="0" w:color="auto"/>
            <w:right w:val="none" w:sz="0" w:space="0" w:color="auto"/>
          </w:divBdr>
        </w:div>
        <w:div w:id="1037662662">
          <w:marLeft w:val="0"/>
          <w:marRight w:val="0"/>
          <w:marTop w:val="0"/>
          <w:marBottom w:val="0"/>
          <w:divBdr>
            <w:top w:val="none" w:sz="0" w:space="0" w:color="auto"/>
            <w:left w:val="none" w:sz="0" w:space="0" w:color="auto"/>
            <w:bottom w:val="none" w:sz="0" w:space="0" w:color="auto"/>
            <w:right w:val="none" w:sz="0" w:space="0" w:color="auto"/>
          </w:divBdr>
        </w:div>
        <w:div w:id="1092313984">
          <w:marLeft w:val="0"/>
          <w:marRight w:val="0"/>
          <w:marTop w:val="0"/>
          <w:marBottom w:val="0"/>
          <w:divBdr>
            <w:top w:val="none" w:sz="0" w:space="0" w:color="auto"/>
            <w:left w:val="none" w:sz="0" w:space="0" w:color="auto"/>
            <w:bottom w:val="none" w:sz="0" w:space="0" w:color="auto"/>
            <w:right w:val="none" w:sz="0" w:space="0" w:color="auto"/>
          </w:divBdr>
        </w:div>
        <w:div w:id="1281454323">
          <w:marLeft w:val="0"/>
          <w:marRight w:val="0"/>
          <w:marTop w:val="0"/>
          <w:marBottom w:val="0"/>
          <w:divBdr>
            <w:top w:val="none" w:sz="0" w:space="0" w:color="auto"/>
            <w:left w:val="none" w:sz="0" w:space="0" w:color="auto"/>
            <w:bottom w:val="none" w:sz="0" w:space="0" w:color="auto"/>
            <w:right w:val="none" w:sz="0" w:space="0" w:color="auto"/>
          </w:divBdr>
        </w:div>
        <w:div w:id="1206606076">
          <w:marLeft w:val="0"/>
          <w:marRight w:val="0"/>
          <w:marTop w:val="0"/>
          <w:marBottom w:val="0"/>
          <w:divBdr>
            <w:top w:val="none" w:sz="0" w:space="0" w:color="auto"/>
            <w:left w:val="none" w:sz="0" w:space="0" w:color="auto"/>
            <w:bottom w:val="none" w:sz="0" w:space="0" w:color="auto"/>
            <w:right w:val="none" w:sz="0" w:space="0" w:color="auto"/>
          </w:divBdr>
        </w:div>
        <w:div w:id="1482691803">
          <w:marLeft w:val="0"/>
          <w:marRight w:val="0"/>
          <w:marTop w:val="0"/>
          <w:marBottom w:val="0"/>
          <w:divBdr>
            <w:top w:val="none" w:sz="0" w:space="0" w:color="auto"/>
            <w:left w:val="none" w:sz="0" w:space="0" w:color="auto"/>
            <w:bottom w:val="none" w:sz="0" w:space="0" w:color="auto"/>
            <w:right w:val="none" w:sz="0" w:space="0" w:color="auto"/>
          </w:divBdr>
        </w:div>
        <w:div w:id="666516462">
          <w:marLeft w:val="0"/>
          <w:marRight w:val="0"/>
          <w:marTop w:val="0"/>
          <w:marBottom w:val="0"/>
          <w:divBdr>
            <w:top w:val="none" w:sz="0" w:space="0" w:color="auto"/>
            <w:left w:val="none" w:sz="0" w:space="0" w:color="auto"/>
            <w:bottom w:val="none" w:sz="0" w:space="0" w:color="auto"/>
            <w:right w:val="none" w:sz="0" w:space="0" w:color="auto"/>
          </w:divBdr>
        </w:div>
        <w:div w:id="975913748">
          <w:marLeft w:val="0"/>
          <w:marRight w:val="0"/>
          <w:marTop w:val="0"/>
          <w:marBottom w:val="0"/>
          <w:divBdr>
            <w:top w:val="none" w:sz="0" w:space="0" w:color="auto"/>
            <w:left w:val="none" w:sz="0" w:space="0" w:color="auto"/>
            <w:bottom w:val="none" w:sz="0" w:space="0" w:color="auto"/>
            <w:right w:val="none" w:sz="0" w:space="0" w:color="auto"/>
          </w:divBdr>
        </w:div>
        <w:div w:id="1971014142">
          <w:marLeft w:val="0"/>
          <w:marRight w:val="0"/>
          <w:marTop w:val="0"/>
          <w:marBottom w:val="0"/>
          <w:divBdr>
            <w:top w:val="none" w:sz="0" w:space="0" w:color="auto"/>
            <w:left w:val="none" w:sz="0" w:space="0" w:color="auto"/>
            <w:bottom w:val="none" w:sz="0" w:space="0" w:color="auto"/>
            <w:right w:val="none" w:sz="0" w:space="0" w:color="auto"/>
          </w:divBdr>
        </w:div>
        <w:div w:id="798381009">
          <w:marLeft w:val="0"/>
          <w:marRight w:val="0"/>
          <w:marTop w:val="0"/>
          <w:marBottom w:val="0"/>
          <w:divBdr>
            <w:top w:val="none" w:sz="0" w:space="0" w:color="auto"/>
            <w:left w:val="none" w:sz="0" w:space="0" w:color="auto"/>
            <w:bottom w:val="none" w:sz="0" w:space="0" w:color="auto"/>
            <w:right w:val="none" w:sz="0" w:space="0" w:color="auto"/>
          </w:divBdr>
        </w:div>
        <w:div w:id="739913567">
          <w:marLeft w:val="0"/>
          <w:marRight w:val="0"/>
          <w:marTop w:val="0"/>
          <w:marBottom w:val="0"/>
          <w:divBdr>
            <w:top w:val="none" w:sz="0" w:space="0" w:color="auto"/>
            <w:left w:val="none" w:sz="0" w:space="0" w:color="auto"/>
            <w:bottom w:val="none" w:sz="0" w:space="0" w:color="auto"/>
            <w:right w:val="none" w:sz="0" w:space="0" w:color="auto"/>
          </w:divBdr>
        </w:div>
        <w:div w:id="1837260526">
          <w:marLeft w:val="0"/>
          <w:marRight w:val="0"/>
          <w:marTop w:val="0"/>
          <w:marBottom w:val="0"/>
          <w:divBdr>
            <w:top w:val="none" w:sz="0" w:space="0" w:color="auto"/>
            <w:left w:val="none" w:sz="0" w:space="0" w:color="auto"/>
            <w:bottom w:val="none" w:sz="0" w:space="0" w:color="auto"/>
            <w:right w:val="none" w:sz="0" w:space="0" w:color="auto"/>
          </w:divBdr>
        </w:div>
        <w:div w:id="2008631711">
          <w:marLeft w:val="0"/>
          <w:marRight w:val="0"/>
          <w:marTop w:val="0"/>
          <w:marBottom w:val="0"/>
          <w:divBdr>
            <w:top w:val="none" w:sz="0" w:space="0" w:color="auto"/>
            <w:left w:val="none" w:sz="0" w:space="0" w:color="auto"/>
            <w:bottom w:val="none" w:sz="0" w:space="0" w:color="auto"/>
            <w:right w:val="none" w:sz="0" w:space="0" w:color="auto"/>
          </w:divBdr>
        </w:div>
        <w:div w:id="133834208">
          <w:marLeft w:val="0"/>
          <w:marRight w:val="0"/>
          <w:marTop w:val="0"/>
          <w:marBottom w:val="0"/>
          <w:divBdr>
            <w:top w:val="none" w:sz="0" w:space="0" w:color="auto"/>
            <w:left w:val="none" w:sz="0" w:space="0" w:color="auto"/>
            <w:bottom w:val="none" w:sz="0" w:space="0" w:color="auto"/>
            <w:right w:val="none" w:sz="0" w:space="0" w:color="auto"/>
          </w:divBdr>
        </w:div>
        <w:div w:id="88238384">
          <w:marLeft w:val="0"/>
          <w:marRight w:val="0"/>
          <w:marTop w:val="0"/>
          <w:marBottom w:val="0"/>
          <w:divBdr>
            <w:top w:val="none" w:sz="0" w:space="0" w:color="auto"/>
            <w:left w:val="none" w:sz="0" w:space="0" w:color="auto"/>
            <w:bottom w:val="none" w:sz="0" w:space="0" w:color="auto"/>
            <w:right w:val="none" w:sz="0" w:space="0" w:color="auto"/>
          </w:divBdr>
        </w:div>
        <w:div w:id="215969858">
          <w:marLeft w:val="0"/>
          <w:marRight w:val="0"/>
          <w:marTop w:val="0"/>
          <w:marBottom w:val="0"/>
          <w:divBdr>
            <w:top w:val="none" w:sz="0" w:space="0" w:color="auto"/>
            <w:left w:val="none" w:sz="0" w:space="0" w:color="auto"/>
            <w:bottom w:val="none" w:sz="0" w:space="0" w:color="auto"/>
            <w:right w:val="none" w:sz="0" w:space="0" w:color="auto"/>
          </w:divBdr>
        </w:div>
        <w:div w:id="787049146">
          <w:marLeft w:val="0"/>
          <w:marRight w:val="0"/>
          <w:marTop w:val="0"/>
          <w:marBottom w:val="0"/>
          <w:divBdr>
            <w:top w:val="none" w:sz="0" w:space="0" w:color="auto"/>
            <w:left w:val="none" w:sz="0" w:space="0" w:color="auto"/>
            <w:bottom w:val="none" w:sz="0" w:space="0" w:color="auto"/>
            <w:right w:val="none" w:sz="0" w:space="0" w:color="auto"/>
          </w:divBdr>
        </w:div>
        <w:div w:id="121581547">
          <w:marLeft w:val="0"/>
          <w:marRight w:val="0"/>
          <w:marTop w:val="0"/>
          <w:marBottom w:val="0"/>
          <w:divBdr>
            <w:top w:val="none" w:sz="0" w:space="0" w:color="auto"/>
            <w:left w:val="none" w:sz="0" w:space="0" w:color="auto"/>
            <w:bottom w:val="none" w:sz="0" w:space="0" w:color="auto"/>
            <w:right w:val="none" w:sz="0" w:space="0" w:color="auto"/>
          </w:divBdr>
        </w:div>
        <w:div w:id="1641496936">
          <w:marLeft w:val="0"/>
          <w:marRight w:val="0"/>
          <w:marTop w:val="0"/>
          <w:marBottom w:val="0"/>
          <w:divBdr>
            <w:top w:val="none" w:sz="0" w:space="0" w:color="auto"/>
            <w:left w:val="none" w:sz="0" w:space="0" w:color="auto"/>
            <w:bottom w:val="none" w:sz="0" w:space="0" w:color="auto"/>
            <w:right w:val="none" w:sz="0" w:space="0" w:color="auto"/>
          </w:divBdr>
        </w:div>
        <w:div w:id="1312058312">
          <w:marLeft w:val="0"/>
          <w:marRight w:val="0"/>
          <w:marTop w:val="0"/>
          <w:marBottom w:val="0"/>
          <w:divBdr>
            <w:top w:val="none" w:sz="0" w:space="0" w:color="auto"/>
            <w:left w:val="none" w:sz="0" w:space="0" w:color="auto"/>
            <w:bottom w:val="none" w:sz="0" w:space="0" w:color="auto"/>
            <w:right w:val="none" w:sz="0" w:space="0" w:color="auto"/>
          </w:divBdr>
        </w:div>
        <w:div w:id="1998999724">
          <w:marLeft w:val="0"/>
          <w:marRight w:val="0"/>
          <w:marTop w:val="0"/>
          <w:marBottom w:val="0"/>
          <w:divBdr>
            <w:top w:val="none" w:sz="0" w:space="0" w:color="auto"/>
            <w:left w:val="none" w:sz="0" w:space="0" w:color="auto"/>
            <w:bottom w:val="none" w:sz="0" w:space="0" w:color="auto"/>
            <w:right w:val="none" w:sz="0" w:space="0" w:color="auto"/>
          </w:divBdr>
        </w:div>
        <w:div w:id="2068914935">
          <w:marLeft w:val="0"/>
          <w:marRight w:val="0"/>
          <w:marTop w:val="0"/>
          <w:marBottom w:val="0"/>
          <w:divBdr>
            <w:top w:val="none" w:sz="0" w:space="0" w:color="auto"/>
            <w:left w:val="none" w:sz="0" w:space="0" w:color="auto"/>
            <w:bottom w:val="none" w:sz="0" w:space="0" w:color="auto"/>
            <w:right w:val="none" w:sz="0" w:space="0" w:color="auto"/>
          </w:divBdr>
        </w:div>
        <w:div w:id="1584951580">
          <w:marLeft w:val="0"/>
          <w:marRight w:val="0"/>
          <w:marTop w:val="0"/>
          <w:marBottom w:val="0"/>
          <w:divBdr>
            <w:top w:val="none" w:sz="0" w:space="0" w:color="auto"/>
            <w:left w:val="none" w:sz="0" w:space="0" w:color="auto"/>
            <w:bottom w:val="none" w:sz="0" w:space="0" w:color="auto"/>
            <w:right w:val="none" w:sz="0" w:space="0" w:color="auto"/>
          </w:divBdr>
        </w:div>
        <w:div w:id="1711109100">
          <w:marLeft w:val="0"/>
          <w:marRight w:val="0"/>
          <w:marTop w:val="0"/>
          <w:marBottom w:val="0"/>
          <w:divBdr>
            <w:top w:val="none" w:sz="0" w:space="0" w:color="auto"/>
            <w:left w:val="none" w:sz="0" w:space="0" w:color="auto"/>
            <w:bottom w:val="none" w:sz="0" w:space="0" w:color="auto"/>
            <w:right w:val="none" w:sz="0" w:space="0" w:color="auto"/>
          </w:divBdr>
        </w:div>
        <w:div w:id="1473979903">
          <w:marLeft w:val="0"/>
          <w:marRight w:val="0"/>
          <w:marTop w:val="0"/>
          <w:marBottom w:val="0"/>
          <w:divBdr>
            <w:top w:val="none" w:sz="0" w:space="0" w:color="auto"/>
            <w:left w:val="none" w:sz="0" w:space="0" w:color="auto"/>
            <w:bottom w:val="none" w:sz="0" w:space="0" w:color="auto"/>
            <w:right w:val="none" w:sz="0" w:space="0" w:color="auto"/>
          </w:divBdr>
        </w:div>
        <w:div w:id="1303852104">
          <w:marLeft w:val="0"/>
          <w:marRight w:val="0"/>
          <w:marTop w:val="0"/>
          <w:marBottom w:val="0"/>
          <w:divBdr>
            <w:top w:val="none" w:sz="0" w:space="0" w:color="auto"/>
            <w:left w:val="none" w:sz="0" w:space="0" w:color="auto"/>
            <w:bottom w:val="none" w:sz="0" w:space="0" w:color="auto"/>
            <w:right w:val="none" w:sz="0" w:space="0" w:color="auto"/>
          </w:divBdr>
        </w:div>
        <w:div w:id="1340692570">
          <w:marLeft w:val="0"/>
          <w:marRight w:val="0"/>
          <w:marTop w:val="0"/>
          <w:marBottom w:val="0"/>
          <w:divBdr>
            <w:top w:val="none" w:sz="0" w:space="0" w:color="auto"/>
            <w:left w:val="none" w:sz="0" w:space="0" w:color="auto"/>
            <w:bottom w:val="none" w:sz="0" w:space="0" w:color="auto"/>
            <w:right w:val="none" w:sz="0" w:space="0" w:color="auto"/>
          </w:divBdr>
        </w:div>
        <w:div w:id="589581117">
          <w:marLeft w:val="0"/>
          <w:marRight w:val="0"/>
          <w:marTop w:val="0"/>
          <w:marBottom w:val="0"/>
          <w:divBdr>
            <w:top w:val="none" w:sz="0" w:space="0" w:color="auto"/>
            <w:left w:val="none" w:sz="0" w:space="0" w:color="auto"/>
            <w:bottom w:val="none" w:sz="0" w:space="0" w:color="auto"/>
            <w:right w:val="none" w:sz="0" w:space="0" w:color="auto"/>
          </w:divBdr>
        </w:div>
        <w:div w:id="2127961938">
          <w:marLeft w:val="0"/>
          <w:marRight w:val="0"/>
          <w:marTop w:val="0"/>
          <w:marBottom w:val="0"/>
          <w:divBdr>
            <w:top w:val="none" w:sz="0" w:space="0" w:color="auto"/>
            <w:left w:val="none" w:sz="0" w:space="0" w:color="auto"/>
            <w:bottom w:val="none" w:sz="0" w:space="0" w:color="auto"/>
            <w:right w:val="none" w:sz="0" w:space="0" w:color="auto"/>
          </w:divBdr>
        </w:div>
        <w:div w:id="716854303">
          <w:marLeft w:val="0"/>
          <w:marRight w:val="0"/>
          <w:marTop w:val="0"/>
          <w:marBottom w:val="0"/>
          <w:divBdr>
            <w:top w:val="none" w:sz="0" w:space="0" w:color="auto"/>
            <w:left w:val="none" w:sz="0" w:space="0" w:color="auto"/>
            <w:bottom w:val="none" w:sz="0" w:space="0" w:color="auto"/>
            <w:right w:val="none" w:sz="0" w:space="0" w:color="auto"/>
          </w:divBdr>
        </w:div>
        <w:div w:id="1335917960">
          <w:marLeft w:val="0"/>
          <w:marRight w:val="0"/>
          <w:marTop w:val="0"/>
          <w:marBottom w:val="0"/>
          <w:divBdr>
            <w:top w:val="none" w:sz="0" w:space="0" w:color="auto"/>
            <w:left w:val="none" w:sz="0" w:space="0" w:color="auto"/>
            <w:bottom w:val="none" w:sz="0" w:space="0" w:color="auto"/>
            <w:right w:val="none" w:sz="0" w:space="0" w:color="auto"/>
          </w:divBdr>
        </w:div>
        <w:div w:id="24408454">
          <w:marLeft w:val="0"/>
          <w:marRight w:val="0"/>
          <w:marTop w:val="0"/>
          <w:marBottom w:val="0"/>
          <w:divBdr>
            <w:top w:val="none" w:sz="0" w:space="0" w:color="auto"/>
            <w:left w:val="none" w:sz="0" w:space="0" w:color="auto"/>
            <w:bottom w:val="none" w:sz="0" w:space="0" w:color="auto"/>
            <w:right w:val="none" w:sz="0" w:space="0" w:color="auto"/>
          </w:divBdr>
        </w:div>
      </w:divsChild>
    </w:div>
    <w:div w:id="1109814621">
      <w:bodyDiv w:val="1"/>
      <w:marLeft w:val="0"/>
      <w:marRight w:val="0"/>
      <w:marTop w:val="0"/>
      <w:marBottom w:val="0"/>
      <w:divBdr>
        <w:top w:val="none" w:sz="0" w:space="0" w:color="auto"/>
        <w:left w:val="none" w:sz="0" w:space="0" w:color="auto"/>
        <w:bottom w:val="none" w:sz="0" w:space="0" w:color="auto"/>
        <w:right w:val="none" w:sz="0" w:space="0" w:color="auto"/>
      </w:divBdr>
    </w:div>
    <w:div w:id="1111391530">
      <w:bodyDiv w:val="1"/>
      <w:marLeft w:val="0"/>
      <w:marRight w:val="0"/>
      <w:marTop w:val="0"/>
      <w:marBottom w:val="0"/>
      <w:divBdr>
        <w:top w:val="none" w:sz="0" w:space="0" w:color="auto"/>
        <w:left w:val="none" w:sz="0" w:space="0" w:color="auto"/>
        <w:bottom w:val="none" w:sz="0" w:space="0" w:color="auto"/>
        <w:right w:val="none" w:sz="0" w:space="0" w:color="auto"/>
      </w:divBdr>
    </w:div>
    <w:div w:id="1144660378">
      <w:bodyDiv w:val="1"/>
      <w:marLeft w:val="0"/>
      <w:marRight w:val="0"/>
      <w:marTop w:val="0"/>
      <w:marBottom w:val="0"/>
      <w:divBdr>
        <w:top w:val="none" w:sz="0" w:space="0" w:color="auto"/>
        <w:left w:val="none" w:sz="0" w:space="0" w:color="auto"/>
        <w:bottom w:val="none" w:sz="0" w:space="0" w:color="auto"/>
        <w:right w:val="none" w:sz="0" w:space="0" w:color="auto"/>
      </w:divBdr>
    </w:div>
    <w:div w:id="1150098016">
      <w:bodyDiv w:val="1"/>
      <w:marLeft w:val="0"/>
      <w:marRight w:val="0"/>
      <w:marTop w:val="0"/>
      <w:marBottom w:val="0"/>
      <w:divBdr>
        <w:top w:val="none" w:sz="0" w:space="0" w:color="auto"/>
        <w:left w:val="none" w:sz="0" w:space="0" w:color="auto"/>
        <w:bottom w:val="none" w:sz="0" w:space="0" w:color="auto"/>
        <w:right w:val="none" w:sz="0" w:space="0" w:color="auto"/>
      </w:divBdr>
    </w:div>
    <w:div w:id="1251044584">
      <w:bodyDiv w:val="1"/>
      <w:marLeft w:val="0"/>
      <w:marRight w:val="0"/>
      <w:marTop w:val="0"/>
      <w:marBottom w:val="0"/>
      <w:divBdr>
        <w:top w:val="none" w:sz="0" w:space="0" w:color="auto"/>
        <w:left w:val="none" w:sz="0" w:space="0" w:color="auto"/>
        <w:bottom w:val="none" w:sz="0" w:space="0" w:color="auto"/>
        <w:right w:val="none" w:sz="0" w:space="0" w:color="auto"/>
      </w:divBdr>
    </w:div>
    <w:div w:id="1311863045">
      <w:bodyDiv w:val="1"/>
      <w:marLeft w:val="0"/>
      <w:marRight w:val="0"/>
      <w:marTop w:val="0"/>
      <w:marBottom w:val="0"/>
      <w:divBdr>
        <w:top w:val="none" w:sz="0" w:space="0" w:color="auto"/>
        <w:left w:val="none" w:sz="0" w:space="0" w:color="auto"/>
        <w:bottom w:val="none" w:sz="0" w:space="0" w:color="auto"/>
        <w:right w:val="none" w:sz="0" w:space="0" w:color="auto"/>
      </w:divBdr>
    </w:div>
    <w:div w:id="1314676329">
      <w:bodyDiv w:val="1"/>
      <w:marLeft w:val="0"/>
      <w:marRight w:val="0"/>
      <w:marTop w:val="0"/>
      <w:marBottom w:val="0"/>
      <w:divBdr>
        <w:top w:val="none" w:sz="0" w:space="0" w:color="auto"/>
        <w:left w:val="none" w:sz="0" w:space="0" w:color="auto"/>
        <w:bottom w:val="none" w:sz="0" w:space="0" w:color="auto"/>
        <w:right w:val="none" w:sz="0" w:space="0" w:color="auto"/>
      </w:divBdr>
    </w:div>
    <w:div w:id="1317689187">
      <w:bodyDiv w:val="1"/>
      <w:marLeft w:val="0"/>
      <w:marRight w:val="0"/>
      <w:marTop w:val="0"/>
      <w:marBottom w:val="0"/>
      <w:divBdr>
        <w:top w:val="none" w:sz="0" w:space="0" w:color="auto"/>
        <w:left w:val="none" w:sz="0" w:space="0" w:color="auto"/>
        <w:bottom w:val="none" w:sz="0" w:space="0" w:color="auto"/>
        <w:right w:val="none" w:sz="0" w:space="0" w:color="auto"/>
      </w:divBdr>
    </w:div>
    <w:div w:id="1325546082">
      <w:bodyDiv w:val="1"/>
      <w:marLeft w:val="0"/>
      <w:marRight w:val="0"/>
      <w:marTop w:val="0"/>
      <w:marBottom w:val="0"/>
      <w:divBdr>
        <w:top w:val="none" w:sz="0" w:space="0" w:color="auto"/>
        <w:left w:val="none" w:sz="0" w:space="0" w:color="auto"/>
        <w:bottom w:val="none" w:sz="0" w:space="0" w:color="auto"/>
        <w:right w:val="none" w:sz="0" w:space="0" w:color="auto"/>
      </w:divBdr>
    </w:div>
    <w:div w:id="1326590802">
      <w:bodyDiv w:val="1"/>
      <w:marLeft w:val="0"/>
      <w:marRight w:val="0"/>
      <w:marTop w:val="0"/>
      <w:marBottom w:val="0"/>
      <w:divBdr>
        <w:top w:val="none" w:sz="0" w:space="0" w:color="auto"/>
        <w:left w:val="none" w:sz="0" w:space="0" w:color="auto"/>
        <w:bottom w:val="none" w:sz="0" w:space="0" w:color="auto"/>
        <w:right w:val="none" w:sz="0" w:space="0" w:color="auto"/>
      </w:divBdr>
    </w:div>
    <w:div w:id="1335113047">
      <w:bodyDiv w:val="1"/>
      <w:marLeft w:val="0"/>
      <w:marRight w:val="0"/>
      <w:marTop w:val="0"/>
      <w:marBottom w:val="0"/>
      <w:divBdr>
        <w:top w:val="none" w:sz="0" w:space="0" w:color="auto"/>
        <w:left w:val="none" w:sz="0" w:space="0" w:color="auto"/>
        <w:bottom w:val="none" w:sz="0" w:space="0" w:color="auto"/>
        <w:right w:val="none" w:sz="0" w:space="0" w:color="auto"/>
      </w:divBdr>
    </w:div>
    <w:div w:id="1336299174">
      <w:bodyDiv w:val="1"/>
      <w:marLeft w:val="0"/>
      <w:marRight w:val="0"/>
      <w:marTop w:val="0"/>
      <w:marBottom w:val="0"/>
      <w:divBdr>
        <w:top w:val="none" w:sz="0" w:space="0" w:color="auto"/>
        <w:left w:val="none" w:sz="0" w:space="0" w:color="auto"/>
        <w:bottom w:val="none" w:sz="0" w:space="0" w:color="auto"/>
        <w:right w:val="none" w:sz="0" w:space="0" w:color="auto"/>
      </w:divBdr>
    </w:div>
    <w:div w:id="1352994775">
      <w:bodyDiv w:val="1"/>
      <w:marLeft w:val="0"/>
      <w:marRight w:val="0"/>
      <w:marTop w:val="0"/>
      <w:marBottom w:val="0"/>
      <w:divBdr>
        <w:top w:val="none" w:sz="0" w:space="0" w:color="auto"/>
        <w:left w:val="none" w:sz="0" w:space="0" w:color="auto"/>
        <w:bottom w:val="none" w:sz="0" w:space="0" w:color="auto"/>
        <w:right w:val="none" w:sz="0" w:space="0" w:color="auto"/>
      </w:divBdr>
    </w:div>
    <w:div w:id="1390958128">
      <w:bodyDiv w:val="1"/>
      <w:marLeft w:val="0"/>
      <w:marRight w:val="0"/>
      <w:marTop w:val="0"/>
      <w:marBottom w:val="0"/>
      <w:divBdr>
        <w:top w:val="none" w:sz="0" w:space="0" w:color="auto"/>
        <w:left w:val="none" w:sz="0" w:space="0" w:color="auto"/>
        <w:bottom w:val="none" w:sz="0" w:space="0" w:color="auto"/>
        <w:right w:val="none" w:sz="0" w:space="0" w:color="auto"/>
      </w:divBdr>
    </w:div>
    <w:div w:id="1392970276">
      <w:bodyDiv w:val="1"/>
      <w:marLeft w:val="0"/>
      <w:marRight w:val="0"/>
      <w:marTop w:val="0"/>
      <w:marBottom w:val="0"/>
      <w:divBdr>
        <w:top w:val="none" w:sz="0" w:space="0" w:color="auto"/>
        <w:left w:val="none" w:sz="0" w:space="0" w:color="auto"/>
        <w:bottom w:val="none" w:sz="0" w:space="0" w:color="auto"/>
        <w:right w:val="none" w:sz="0" w:space="0" w:color="auto"/>
      </w:divBdr>
    </w:div>
    <w:div w:id="1411386852">
      <w:bodyDiv w:val="1"/>
      <w:marLeft w:val="0"/>
      <w:marRight w:val="0"/>
      <w:marTop w:val="0"/>
      <w:marBottom w:val="0"/>
      <w:divBdr>
        <w:top w:val="none" w:sz="0" w:space="0" w:color="auto"/>
        <w:left w:val="none" w:sz="0" w:space="0" w:color="auto"/>
        <w:bottom w:val="none" w:sz="0" w:space="0" w:color="auto"/>
        <w:right w:val="none" w:sz="0" w:space="0" w:color="auto"/>
      </w:divBdr>
    </w:div>
    <w:div w:id="1420564337">
      <w:bodyDiv w:val="1"/>
      <w:marLeft w:val="0"/>
      <w:marRight w:val="0"/>
      <w:marTop w:val="0"/>
      <w:marBottom w:val="0"/>
      <w:divBdr>
        <w:top w:val="none" w:sz="0" w:space="0" w:color="auto"/>
        <w:left w:val="none" w:sz="0" w:space="0" w:color="auto"/>
        <w:bottom w:val="none" w:sz="0" w:space="0" w:color="auto"/>
        <w:right w:val="none" w:sz="0" w:space="0" w:color="auto"/>
      </w:divBdr>
    </w:div>
    <w:div w:id="1422792858">
      <w:bodyDiv w:val="1"/>
      <w:marLeft w:val="0"/>
      <w:marRight w:val="0"/>
      <w:marTop w:val="0"/>
      <w:marBottom w:val="0"/>
      <w:divBdr>
        <w:top w:val="none" w:sz="0" w:space="0" w:color="auto"/>
        <w:left w:val="none" w:sz="0" w:space="0" w:color="auto"/>
        <w:bottom w:val="none" w:sz="0" w:space="0" w:color="auto"/>
        <w:right w:val="none" w:sz="0" w:space="0" w:color="auto"/>
      </w:divBdr>
    </w:div>
    <w:div w:id="1430467648">
      <w:bodyDiv w:val="1"/>
      <w:marLeft w:val="0"/>
      <w:marRight w:val="0"/>
      <w:marTop w:val="0"/>
      <w:marBottom w:val="0"/>
      <w:divBdr>
        <w:top w:val="none" w:sz="0" w:space="0" w:color="auto"/>
        <w:left w:val="none" w:sz="0" w:space="0" w:color="auto"/>
        <w:bottom w:val="none" w:sz="0" w:space="0" w:color="auto"/>
        <w:right w:val="none" w:sz="0" w:space="0" w:color="auto"/>
      </w:divBdr>
    </w:div>
    <w:div w:id="1439638949">
      <w:bodyDiv w:val="1"/>
      <w:marLeft w:val="0"/>
      <w:marRight w:val="0"/>
      <w:marTop w:val="0"/>
      <w:marBottom w:val="0"/>
      <w:divBdr>
        <w:top w:val="none" w:sz="0" w:space="0" w:color="auto"/>
        <w:left w:val="none" w:sz="0" w:space="0" w:color="auto"/>
        <w:bottom w:val="none" w:sz="0" w:space="0" w:color="auto"/>
        <w:right w:val="none" w:sz="0" w:space="0" w:color="auto"/>
      </w:divBdr>
    </w:div>
    <w:div w:id="1512521873">
      <w:bodyDiv w:val="1"/>
      <w:marLeft w:val="0"/>
      <w:marRight w:val="0"/>
      <w:marTop w:val="0"/>
      <w:marBottom w:val="0"/>
      <w:divBdr>
        <w:top w:val="none" w:sz="0" w:space="0" w:color="auto"/>
        <w:left w:val="none" w:sz="0" w:space="0" w:color="auto"/>
        <w:bottom w:val="none" w:sz="0" w:space="0" w:color="auto"/>
        <w:right w:val="none" w:sz="0" w:space="0" w:color="auto"/>
      </w:divBdr>
    </w:div>
    <w:div w:id="1556547290">
      <w:bodyDiv w:val="1"/>
      <w:marLeft w:val="0"/>
      <w:marRight w:val="0"/>
      <w:marTop w:val="0"/>
      <w:marBottom w:val="0"/>
      <w:divBdr>
        <w:top w:val="none" w:sz="0" w:space="0" w:color="auto"/>
        <w:left w:val="none" w:sz="0" w:space="0" w:color="auto"/>
        <w:bottom w:val="none" w:sz="0" w:space="0" w:color="auto"/>
        <w:right w:val="none" w:sz="0" w:space="0" w:color="auto"/>
      </w:divBdr>
    </w:div>
    <w:div w:id="1615476847">
      <w:bodyDiv w:val="1"/>
      <w:marLeft w:val="0"/>
      <w:marRight w:val="0"/>
      <w:marTop w:val="0"/>
      <w:marBottom w:val="0"/>
      <w:divBdr>
        <w:top w:val="none" w:sz="0" w:space="0" w:color="auto"/>
        <w:left w:val="none" w:sz="0" w:space="0" w:color="auto"/>
        <w:bottom w:val="none" w:sz="0" w:space="0" w:color="auto"/>
        <w:right w:val="none" w:sz="0" w:space="0" w:color="auto"/>
      </w:divBdr>
    </w:div>
    <w:div w:id="1658344902">
      <w:bodyDiv w:val="1"/>
      <w:marLeft w:val="0"/>
      <w:marRight w:val="0"/>
      <w:marTop w:val="0"/>
      <w:marBottom w:val="0"/>
      <w:divBdr>
        <w:top w:val="none" w:sz="0" w:space="0" w:color="auto"/>
        <w:left w:val="none" w:sz="0" w:space="0" w:color="auto"/>
        <w:bottom w:val="none" w:sz="0" w:space="0" w:color="auto"/>
        <w:right w:val="none" w:sz="0" w:space="0" w:color="auto"/>
      </w:divBdr>
      <w:divsChild>
        <w:div w:id="829754668">
          <w:marLeft w:val="0"/>
          <w:marRight w:val="0"/>
          <w:marTop w:val="0"/>
          <w:marBottom w:val="0"/>
          <w:divBdr>
            <w:top w:val="none" w:sz="0" w:space="0" w:color="auto"/>
            <w:left w:val="none" w:sz="0" w:space="0" w:color="auto"/>
            <w:bottom w:val="none" w:sz="0" w:space="0" w:color="auto"/>
            <w:right w:val="none" w:sz="0" w:space="0" w:color="auto"/>
          </w:divBdr>
        </w:div>
        <w:div w:id="1285497639">
          <w:marLeft w:val="0"/>
          <w:marRight w:val="0"/>
          <w:marTop w:val="0"/>
          <w:marBottom w:val="0"/>
          <w:divBdr>
            <w:top w:val="none" w:sz="0" w:space="0" w:color="auto"/>
            <w:left w:val="none" w:sz="0" w:space="0" w:color="auto"/>
            <w:bottom w:val="none" w:sz="0" w:space="0" w:color="auto"/>
            <w:right w:val="none" w:sz="0" w:space="0" w:color="auto"/>
          </w:divBdr>
        </w:div>
        <w:div w:id="609900998">
          <w:marLeft w:val="0"/>
          <w:marRight w:val="0"/>
          <w:marTop w:val="0"/>
          <w:marBottom w:val="0"/>
          <w:divBdr>
            <w:top w:val="none" w:sz="0" w:space="0" w:color="auto"/>
            <w:left w:val="none" w:sz="0" w:space="0" w:color="auto"/>
            <w:bottom w:val="none" w:sz="0" w:space="0" w:color="auto"/>
            <w:right w:val="none" w:sz="0" w:space="0" w:color="auto"/>
          </w:divBdr>
        </w:div>
        <w:div w:id="863250142">
          <w:marLeft w:val="0"/>
          <w:marRight w:val="0"/>
          <w:marTop w:val="0"/>
          <w:marBottom w:val="0"/>
          <w:divBdr>
            <w:top w:val="none" w:sz="0" w:space="0" w:color="auto"/>
            <w:left w:val="none" w:sz="0" w:space="0" w:color="auto"/>
            <w:bottom w:val="none" w:sz="0" w:space="0" w:color="auto"/>
            <w:right w:val="none" w:sz="0" w:space="0" w:color="auto"/>
          </w:divBdr>
        </w:div>
        <w:div w:id="716467447">
          <w:marLeft w:val="0"/>
          <w:marRight w:val="0"/>
          <w:marTop w:val="0"/>
          <w:marBottom w:val="0"/>
          <w:divBdr>
            <w:top w:val="none" w:sz="0" w:space="0" w:color="auto"/>
            <w:left w:val="none" w:sz="0" w:space="0" w:color="auto"/>
            <w:bottom w:val="none" w:sz="0" w:space="0" w:color="auto"/>
            <w:right w:val="none" w:sz="0" w:space="0" w:color="auto"/>
          </w:divBdr>
        </w:div>
        <w:div w:id="1885218393">
          <w:marLeft w:val="0"/>
          <w:marRight w:val="0"/>
          <w:marTop w:val="0"/>
          <w:marBottom w:val="0"/>
          <w:divBdr>
            <w:top w:val="none" w:sz="0" w:space="0" w:color="auto"/>
            <w:left w:val="none" w:sz="0" w:space="0" w:color="auto"/>
            <w:bottom w:val="none" w:sz="0" w:space="0" w:color="auto"/>
            <w:right w:val="none" w:sz="0" w:space="0" w:color="auto"/>
          </w:divBdr>
        </w:div>
        <w:div w:id="758793765">
          <w:marLeft w:val="0"/>
          <w:marRight w:val="0"/>
          <w:marTop w:val="0"/>
          <w:marBottom w:val="0"/>
          <w:divBdr>
            <w:top w:val="none" w:sz="0" w:space="0" w:color="auto"/>
            <w:left w:val="none" w:sz="0" w:space="0" w:color="auto"/>
            <w:bottom w:val="none" w:sz="0" w:space="0" w:color="auto"/>
            <w:right w:val="none" w:sz="0" w:space="0" w:color="auto"/>
          </w:divBdr>
        </w:div>
        <w:div w:id="378096206">
          <w:marLeft w:val="0"/>
          <w:marRight w:val="0"/>
          <w:marTop w:val="0"/>
          <w:marBottom w:val="0"/>
          <w:divBdr>
            <w:top w:val="none" w:sz="0" w:space="0" w:color="auto"/>
            <w:left w:val="none" w:sz="0" w:space="0" w:color="auto"/>
            <w:bottom w:val="none" w:sz="0" w:space="0" w:color="auto"/>
            <w:right w:val="none" w:sz="0" w:space="0" w:color="auto"/>
          </w:divBdr>
        </w:div>
        <w:div w:id="955062685">
          <w:marLeft w:val="0"/>
          <w:marRight w:val="0"/>
          <w:marTop w:val="0"/>
          <w:marBottom w:val="0"/>
          <w:divBdr>
            <w:top w:val="none" w:sz="0" w:space="0" w:color="auto"/>
            <w:left w:val="none" w:sz="0" w:space="0" w:color="auto"/>
            <w:bottom w:val="none" w:sz="0" w:space="0" w:color="auto"/>
            <w:right w:val="none" w:sz="0" w:space="0" w:color="auto"/>
          </w:divBdr>
        </w:div>
        <w:div w:id="584458585">
          <w:marLeft w:val="0"/>
          <w:marRight w:val="0"/>
          <w:marTop w:val="0"/>
          <w:marBottom w:val="0"/>
          <w:divBdr>
            <w:top w:val="none" w:sz="0" w:space="0" w:color="auto"/>
            <w:left w:val="none" w:sz="0" w:space="0" w:color="auto"/>
            <w:bottom w:val="none" w:sz="0" w:space="0" w:color="auto"/>
            <w:right w:val="none" w:sz="0" w:space="0" w:color="auto"/>
          </w:divBdr>
        </w:div>
        <w:div w:id="1676761955">
          <w:marLeft w:val="0"/>
          <w:marRight w:val="0"/>
          <w:marTop w:val="0"/>
          <w:marBottom w:val="0"/>
          <w:divBdr>
            <w:top w:val="none" w:sz="0" w:space="0" w:color="auto"/>
            <w:left w:val="none" w:sz="0" w:space="0" w:color="auto"/>
            <w:bottom w:val="none" w:sz="0" w:space="0" w:color="auto"/>
            <w:right w:val="none" w:sz="0" w:space="0" w:color="auto"/>
          </w:divBdr>
        </w:div>
        <w:div w:id="1972903366">
          <w:marLeft w:val="0"/>
          <w:marRight w:val="0"/>
          <w:marTop w:val="0"/>
          <w:marBottom w:val="0"/>
          <w:divBdr>
            <w:top w:val="none" w:sz="0" w:space="0" w:color="auto"/>
            <w:left w:val="none" w:sz="0" w:space="0" w:color="auto"/>
            <w:bottom w:val="none" w:sz="0" w:space="0" w:color="auto"/>
            <w:right w:val="none" w:sz="0" w:space="0" w:color="auto"/>
          </w:divBdr>
        </w:div>
        <w:div w:id="1461681962">
          <w:marLeft w:val="0"/>
          <w:marRight w:val="0"/>
          <w:marTop w:val="0"/>
          <w:marBottom w:val="0"/>
          <w:divBdr>
            <w:top w:val="none" w:sz="0" w:space="0" w:color="auto"/>
            <w:left w:val="none" w:sz="0" w:space="0" w:color="auto"/>
            <w:bottom w:val="none" w:sz="0" w:space="0" w:color="auto"/>
            <w:right w:val="none" w:sz="0" w:space="0" w:color="auto"/>
          </w:divBdr>
        </w:div>
        <w:div w:id="722750920">
          <w:marLeft w:val="0"/>
          <w:marRight w:val="0"/>
          <w:marTop w:val="0"/>
          <w:marBottom w:val="0"/>
          <w:divBdr>
            <w:top w:val="none" w:sz="0" w:space="0" w:color="auto"/>
            <w:left w:val="none" w:sz="0" w:space="0" w:color="auto"/>
            <w:bottom w:val="none" w:sz="0" w:space="0" w:color="auto"/>
            <w:right w:val="none" w:sz="0" w:space="0" w:color="auto"/>
          </w:divBdr>
        </w:div>
        <w:div w:id="350187687">
          <w:marLeft w:val="0"/>
          <w:marRight w:val="0"/>
          <w:marTop w:val="0"/>
          <w:marBottom w:val="0"/>
          <w:divBdr>
            <w:top w:val="none" w:sz="0" w:space="0" w:color="auto"/>
            <w:left w:val="none" w:sz="0" w:space="0" w:color="auto"/>
            <w:bottom w:val="none" w:sz="0" w:space="0" w:color="auto"/>
            <w:right w:val="none" w:sz="0" w:space="0" w:color="auto"/>
          </w:divBdr>
        </w:div>
        <w:div w:id="1642222590">
          <w:marLeft w:val="0"/>
          <w:marRight w:val="0"/>
          <w:marTop w:val="0"/>
          <w:marBottom w:val="0"/>
          <w:divBdr>
            <w:top w:val="none" w:sz="0" w:space="0" w:color="auto"/>
            <w:left w:val="none" w:sz="0" w:space="0" w:color="auto"/>
            <w:bottom w:val="none" w:sz="0" w:space="0" w:color="auto"/>
            <w:right w:val="none" w:sz="0" w:space="0" w:color="auto"/>
          </w:divBdr>
        </w:div>
        <w:div w:id="1205289687">
          <w:marLeft w:val="0"/>
          <w:marRight w:val="0"/>
          <w:marTop w:val="0"/>
          <w:marBottom w:val="0"/>
          <w:divBdr>
            <w:top w:val="none" w:sz="0" w:space="0" w:color="auto"/>
            <w:left w:val="none" w:sz="0" w:space="0" w:color="auto"/>
            <w:bottom w:val="none" w:sz="0" w:space="0" w:color="auto"/>
            <w:right w:val="none" w:sz="0" w:space="0" w:color="auto"/>
          </w:divBdr>
        </w:div>
        <w:div w:id="1235748003">
          <w:marLeft w:val="0"/>
          <w:marRight w:val="0"/>
          <w:marTop w:val="0"/>
          <w:marBottom w:val="0"/>
          <w:divBdr>
            <w:top w:val="none" w:sz="0" w:space="0" w:color="auto"/>
            <w:left w:val="none" w:sz="0" w:space="0" w:color="auto"/>
            <w:bottom w:val="none" w:sz="0" w:space="0" w:color="auto"/>
            <w:right w:val="none" w:sz="0" w:space="0" w:color="auto"/>
          </w:divBdr>
        </w:div>
        <w:div w:id="1911187450">
          <w:marLeft w:val="0"/>
          <w:marRight w:val="0"/>
          <w:marTop w:val="0"/>
          <w:marBottom w:val="0"/>
          <w:divBdr>
            <w:top w:val="none" w:sz="0" w:space="0" w:color="auto"/>
            <w:left w:val="none" w:sz="0" w:space="0" w:color="auto"/>
            <w:bottom w:val="none" w:sz="0" w:space="0" w:color="auto"/>
            <w:right w:val="none" w:sz="0" w:space="0" w:color="auto"/>
          </w:divBdr>
        </w:div>
        <w:div w:id="117796497">
          <w:marLeft w:val="0"/>
          <w:marRight w:val="0"/>
          <w:marTop w:val="0"/>
          <w:marBottom w:val="0"/>
          <w:divBdr>
            <w:top w:val="none" w:sz="0" w:space="0" w:color="auto"/>
            <w:left w:val="none" w:sz="0" w:space="0" w:color="auto"/>
            <w:bottom w:val="none" w:sz="0" w:space="0" w:color="auto"/>
            <w:right w:val="none" w:sz="0" w:space="0" w:color="auto"/>
          </w:divBdr>
        </w:div>
        <w:div w:id="1647315554">
          <w:marLeft w:val="0"/>
          <w:marRight w:val="0"/>
          <w:marTop w:val="0"/>
          <w:marBottom w:val="0"/>
          <w:divBdr>
            <w:top w:val="none" w:sz="0" w:space="0" w:color="auto"/>
            <w:left w:val="none" w:sz="0" w:space="0" w:color="auto"/>
            <w:bottom w:val="none" w:sz="0" w:space="0" w:color="auto"/>
            <w:right w:val="none" w:sz="0" w:space="0" w:color="auto"/>
          </w:divBdr>
        </w:div>
        <w:div w:id="1678119383">
          <w:marLeft w:val="0"/>
          <w:marRight w:val="0"/>
          <w:marTop w:val="0"/>
          <w:marBottom w:val="0"/>
          <w:divBdr>
            <w:top w:val="none" w:sz="0" w:space="0" w:color="auto"/>
            <w:left w:val="none" w:sz="0" w:space="0" w:color="auto"/>
            <w:bottom w:val="none" w:sz="0" w:space="0" w:color="auto"/>
            <w:right w:val="none" w:sz="0" w:space="0" w:color="auto"/>
          </w:divBdr>
        </w:div>
        <w:div w:id="2140147608">
          <w:marLeft w:val="0"/>
          <w:marRight w:val="0"/>
          <w:marTop w:val="0"/>
          <w:marBottom w:val="0"/>
          <w:divBdr>
            <w:top w:val="none" w:sz="0" w:space="0" w:color="auto"/>
            <w:left w:val="none" w:sz="0" w:space="0" w:color="auto"/>
            <w:bottom w:val="none" w:sz="0" w:space="0" w:color="auto"/>
            <w:right w:val="none" w:sz="0" w:space="0" w:color="auto"/>
          </w:divBdr>
        </w:div>
        <w:div w:id="1002200592">
          <w:marLeft w:val="0"/>
          <w:marRight w:val="0"/>
          <w:marTop w:val="0"/>
          <w:marBottom w:val="0"/>
          <w:divBdr>
            <w:top w:val="none" w:sz="0" w:space="0" w:color="auto"/>
            <w:left w:val="none" w:sz="0" w:space="0" w:color="auto"/>
            <w:bottom w:val="none" w:sz="0" w:space="0" w:color="auto"/>
            <w:right w:val="none" w:sz="0" w:space="0" w:color="auto"/>
          </w:divBdr>
        </w:div>
        <w:div w:id="914169419">
          <w:marLeft w:val="0"/>
          <w:marRight w:val="0"/>
          <w:marTop w:val="0"/>
          <w:marBottom w:val="0"/>
          <w:divBdr>
            <w:top w:val="none" w:sz="0" w:space="0" w:color="auto"/>
            <w:left w:val="none" w:sz="0" w:space="0" w:color="auto"/>
            <w:bottom w:val="none" w:sz="0" w:space="0" w:color="auto"/>
            <w:right w:val="none" w:sz="0" w:space="0" w:color="auto"/>
          </w:divBdr>
        </w:div>
        <w:div w:id="562251528">
          <w:marLeft w:val="0"/>
          <w:marRight w:val="0"/>
          <w:marTop w:val="0"/>
          <w:marBottom w:val="0"/>
          <w:divBdr>
            <w:top w:val="none" w:sz="0" w:space="0" w:color="auto"/>
            <w:left w:val="none" w:sz="0" w:space="0" w:color="auto"/>
            <w:bottom w:val="none" w:sz="0" w:space="0" w:color="auto"/>
            <w:right w:val="none" w:sz="0" w:space="0" w:color="auto"/>
          </w:divBdr>
        </w:div>
        <w:div w:id="495845752">
          <w:marLeft w:val="0"/>
          <w:marRight w:val="0"/>
          <w:marTop w:val="0"/>
          <w:marBottom w:val="0"/>
          <w:divBdr>
            <w:top w:val="none" w:sz="0" w:space="0" w:color="auto"/>
            <w:left w:val="none" w:sz="0" w:space="0" w:color="auto"/>
            <w:bottom w:val="none" w:sz="0" w:space="0" w:color="auto"/>
            <w:right w:val="none" w:sz="0" w:space="0" w:color="auto"/>
          </w:divBdr>
        </w:div>
        <w:div w:id="1382943977">
          <w:marLeft w:val="0"/>
          <w:marRight w:val="0"/>
          <w:marTop w:val="0"/>
          <w:marBottom w:val="0"/>
          <w:divBdr>
            <w:top w:val="none" w:sz="0" w:space="0" w:color="auto"/>
            <w:left w:val="none" w:sz="0" w:space="0" w:color="auto"/>
            <w:bottom w:val="none" w:sz="0" w:space="0" w:color="auto"/>
            <w:right w:val="none" w:sz="0" w:space="0" w:color="auto"/>
          </w:divBdr>
        </w:div>
        <w:div w:id="1333992045">
          <w:marLeft w:val="0"/>
          <w:marRight w:val="0"/>
          <w:marTop w:val="0"/>
          <w:marBottom w:val="0"/>
          <w:divBdr>
            <w:top w:val="none" w:sz="0" w:space="0" w:color="auto"/>
            <w:left w:val="none" w:sz="0" w:space="0" w:color="auto"/>
            <w:bottom w:val="none" w:sz="0" w:space="0" w:color="auto"/>
            <w:right w:val="none" w:sz="0" w:space="0" w:color="auto"/>
          </w:divBdr>
        </w:div>
        <w:div w:id="1379011222">
          <w:marLeft w:val="0"/>
          <w:marRight w:val="0"/>
          <w:marTop w:val="0"/>
          <w:marBottom w:val="0"/>
          <w:divBdr>
            <w:top w:val="none" w:sz="0" w:space="0" w:color="auto"/>
            <w:left w:val="none" w:sz="0" w:space="0" w:color="auto"/>
            <w:bottom w:val="none" w:sz="0" w:space="0" w:color="auto"/>
            <w:right w:val="none" w:sz="0" w:space="0" w:color="auto"/>
          </w:divBdr>
        </w:div>
        <w:div w:id="840970075">
          <w:marLeft w:val="0"/>
          <w:marRight w:val="0"/>
          <w:marTop w:val="0"/>
          <w:marBottom w:val="0"/>
          <w:divBdr>
            <w:top w:val="none" w:sz="0" w:space="0" w:color="auto"/>
            <w:left w:val="none" w:sz="0" w:space="0" w:color="auto"/>
            <w:bottom w:val="none" w:sz="0" w:space="0" w:color="auto"/>
            <w:right w:val="none" w:sz="0" w:space="0" w:color="auto"/>
          </w:divBdr>
        </w:div>
        <w:div w:id="1401295280">
          <w:marLeft w:val="0"/>
          <w:marRight w:val="0"/>
          <w:marTop w:val="0"/>
          <w:marBottom w:val="0"/>
          <w:divBdr>
            <w:top w:val="none" w:sz="0" w:space="0" w:color="auto"/>
            <w:left w:val="none" w:sz="0" w:space="0" w:color="auto"/>
            <w:bottom w:val="none" w:sz="0" w:space="0" w:color="auto"/>
            <w:right w:val="none" w:sz="0" w:space="0" w:color="auto"/>
          </w:divBdr>
        </w:div>
        <w:div w:id="619535245">
          <w:marLeft w:val="0"/>
          <w:marRight w:val="0"/>
          <w:marTop w:val="0"/>
          <w:marBottom w:val="0"/>
          <w:divBdr>
            <w:top w:val="none" w:sz="0" w:space="0" w:color="auto"/>
            <w:left w:val="none" w:sz="0" w:space="0" w:color="auto"/>
            <w:bottom w:val="none" w:sz="0" w:space="0" w:color="auto"/>
            <w:right w:val="none" w:sz="0" w:space="0" w:color="auto"/>
          </w:divBdr>
        </w:div>
        <w:div w:id="1488327729">
          <w:marLeft w:val="0"/>
          <w:marRight w:val="0"/>
          <w:marTop w:val="0"/>
          <w:marBottom w:val="0"/>
          <w:divBdr>
            <w:top w:val="none" w:sz="0" w:space="0" w:color="auto"/>
            <w:left w:val="none" w:sz="0" w:space="0" w:color="auto"/>
            <w:bottom w:val="none" w:sz="0" w:space="0" w:color="auto"/>
            <w:right w:val="none" w:sz="0" w:space="0" w:color="auto"/>
          </w:divBdr>
        </w:div>
        <w:div w:id="700473148">
          <w:marLeft w:val="0"/>
          <w:marRight w:val="0"/>
          <w:marTop w:val="0"/>
          <w:marBottom w:val="0"/>
          <w:divBdr>
            <w:top w:val="none" w:sz="0" w:space="0" w:color="auto"/>
            <w:left w:val="none" w:sz="0" w:space="0" w:color="auto"/>
            <w:bottom w:val="none" w:sz="0" w:space="0" w:color="auto"/>
            <w:right w:val="none" w:sz="0" w:space="0" w:color="auto"/>
          </w:divBdr>
        </w:div>
        <w:div w:id="680743952">
          <w:marLeft w:val="0"/>
          <w:marRight w:val="0"/>
          <w:marTop w:val="0"/>
          <w:marBottom w:val="0"/>
          <w:divBdr>
            <w:top w:val="none" w:sz="0" w:space="0" w:color="auto"/>
            <w:left w:val="none" w:sz="0" w:space="0" w:color="auto"/>
            <w:bottom w:val="none" w:sz="0" w:space="0" w:color="auto"/>
            <w:right w:val="none" w:sz="0" w:space="0" w:color="auto"/>
          </w:divBdr>
        </w:div>
        <w:div w:id="128598954">
          <w:marLeft w:val="0"/>
          <w:marRight w:val="0"/>
          <w:marTop w:val="0"/>
          <w:marBottom w:val="0"/>
          <w:divBdr>
            <w:top w:val="none" w:sz="0" w:space="0" w:color="auto"/>
            <w:left w:val="none" w:sz="0" w:space="0" w:color="auto"/>
            <w:bottom w:val="none" w:sz="0" w:space="0" w:color="auto"/>
            <w:right w:val="none" w:sz="0" w:space="0" w:color="auto"/>
          </w:divBdr>
        </w:div>
        <w:div w:id="1703169271">
          <w:marLeft w:val="0"/>
          <w:marRight w:val="0"/>
          <w:marTop w:val="0"/>
          <w:marBottom w:val="0"/>
          <w:divBdr>
            <w:top w:val="none" w:sz="0" w:space="0" w:color="auto"/>
            <w:left w:val="none" w:sz="0" w:space="0" w:color="auto"/>
            <w:bottom w:val="none" w:sz="0" w:space="0" w:color="auto"/>
            <w:right w:val="none" w:sz="0" w:space="0" w:color="auto"/>
          </w:divBdr>
        </w:div>
        <w:div w:id="827596337">
          <w:marLeft w:val="0"/>
          <w:marRight w:val="0"/>
          <w:marTop w:val="0"/>
          <w:marBottom w:val="0"/>
          <w:divBdr>
            <w:top w:val="none" w:sz="0" w:space="0" w:color="auto"/>
            <w:left w:val="none" w:sz="0" w:space="0" w:color="auto"/>
            <w:bottom w:val="none" w:sz="0" w:space="0" w:color="auto"/>
            <w:right w:val="none" w:sz="0" w:space="0" w:color="auto"/>
          </w:divBdr>
        </w:div>
        <w:div w:id="1473713287">
          <w:marLeft w:val="0"/>
          <w:marRight w:val="0"/>
          <w:marTop w:val="0"/>
          <w:marBottom w:val="0"/>
          <w:divBdr>
            <w:top w:val="none" w:sz="0" w:space="0" w:color="auto"/>
            <w:left w:val="none" w:sz="0" w:space="0" w:color="auto"/>
            <w:bottom w:val="none" w:sz="0" w:space="0" w:color="auto"/>
            <w:right w:val="none" w:sz="0" w:space="0" w:color="auto"/>
          </w:divBdr>
        </w:div>
        <w:div w:id="144516310">
          <w:marLeft w:val="0"/>
          <w:marRight w:val="0"/>
          <w:marTop w:val="0"/>
          <w:marBottom w:val="0"/>
          <w:divBdr>
            <w:top w:val="none" w:sz="0" w:space="0" w:color="auto"/>
            <w:left w:val="none" w:sz="0" w:space="0" w:color="auto"/>
            <w:bottom w:val="none" w:sz="0" w:space="0" w:color="auto"/>
            <w:right w:val="none" w:sz="0" w:space="0" w:color="auto"/>
          </w:divBdr>
        </w:div>
        <w:div w:id="838234643">
          <w:marLeft w:val="0"/>
          <w:marRight w:val="0"/>
          <w:marTop w:val="0"/>
          <w:marBottom w:val="0"/>
          <w:divBdr>
            <w:top w:val="none" w:sz="0" w:space="0" w:color="auto"/>
            <w:left w:val="none" w:sz="0" w:space="0" w:color="auto"/>
            <w:bottom w:val="none" w:sz="0" w:space="0" w:color="auto"/>
            <w:right w:val="none" w:sz="0" w:space="0" w:color="auto"/>
          </w:divBdr>
        </w:div>
        <w:div w:id="1790472573">
          <w:marLeft w:val="0"/>
          <w:marRight w:val="0"/>
          <w:marTop w:val="0"/>
          <w:marBottom w:val="0"/>
          <w:divBdr>
            <w:top w:val="none" w:sz="0" w:space="0" w:color="auto"/>
            <w:left w:val="none" w:sz="0" w:space="0" w:color="auto"/>
            <w:bottom w:val="none" w:sz="0" w:space="0" w:color="auto"/>
            <w:right w:val="none" w:sz="0" w:space="0" w:color="auto"/>
          </w:divBdr>
        </w:div>
      </w:divsChild>
    </w:div>
    <w:div w:id="1813674554">
      <w:bodyDiv w:val="1"/>
      <w:marLeft w:val="0"/>
      <w:marRight w:val="0"/>
      <w:marTop w:val="0"/>
      <w:marBottom w:val="0"/>
      <w:divBdr>
        <w:top w:val="none" w:sz="0" w:space="0" w:color="auto"/>
        <w:left w:val="none" w:sz="0" w:space="0" w:color="auto"/>
        <w:bottom w:val="none" w:sz="0" w:space="0" w:color="auto"/>
        <w:right w:val="none" w:sz="0" w:space="0" w:color="auto"/>
      </w:divBdr>
    </w:div>
    <w:div w:id="1823496419">
      <w:bodyDiv w:val="1"/>
      <w:marLeft w:val="0"/>
      <w:marRight w:val="0"/>
      <w:marTop w:val="0"/>
      <w:marBottom w:val="0"/>
      <w:divBdr>
        <w:top w:val="none" w:sz="0" w:space="0" w:color="auto"/>
        <w:left w:val="none" w:sz="0" w:space="0" w:color="auto"/>
        <w:bottom w:val="none" w:sz="0" w:space="0" w:color="auto"/>
        <w:right w:val="none" w:sz="0" w:space="0" w:color="auto"/>
      </w:divBdr>
      <w:divsChild>
        <w:div w:id="1283882749">
          <w:marLeft w:val="0"/>
          <w:marRight w:val="0"/>
          <w:marTop w:val="0"/>
          <w:marBottom w:val="0"/>
          <w:divBdr>
            <w:top w:val="none" w:sz="0" w:space="0" w:color="auto"/>
            <w:left w:val="none" w:sz="0" w:space="0" w:color="auto"/>
            <w:bottom w:val="none" w:sz="0" w:space="0" w:color="auto"/>
            <w:right w:val="none" w:sz="0" w:space="0" w:color="auto"/>
          </w:divBdr>
        </w:div>
      </w:divsChild>
    </w:div>
    <w:div w:id="1895237893">
      <w:bodyDiv w:val="1"/>
      <w:marLeft w:val="0"/>
      <w:marRight w:val="0"/>
      <w:marTop w:val="0"/>
      <w:marBottom w:val="0"/>
      <w:divBdr>
        <w:top w:val="none" w:sz="0" w:space="0" w:color="auto"/>
        <w:left w:val="none" w:sz="0" w:space="0" w:color="auto"/>
        <w:bottom w:val="none" w:sz="0" w:space="0" w:color="auto"/>
        <w:right w:val="none" w:sz="0" w:space="0" w:color="auto"/>
      </w:divBdr>
    </w:div>
    <w:div w:id="1904829872">
      <w:bodyDiv w:val="1"/>
      <w:marLeft w:val="0"/>
      <w:marRight w:val="0"/>
      <w:marTop w:val="0"/>
      <w:marBottom w:val="0"/>
      <w:divBdr>
        <w:top w:val="none" w:sz="0" w:space="0" w:color="auto"/>
        <w:left w:val="none" w:sz="0" w:space="0" w:color="auto"/>
        <w:bottom w:val="none" w:sz="0" w:space="0" w:color="auto"/>
        <w:right w:val="none" w:sz="0" w:space="0" w:color="auto"/>
      </w:divBdr>
    </w:div>
    <w:div w:id="1905680024">
      <w:bodyDiv w:val="1"/>
      <w:marLeft w:val="0"/>
      <w:marRight w:val="0"/>
      <w:marTop w:val="0"/>
      <w:marBottom w:val="0"/>
      <w:divBdr>
        <w:top w:val="none" w:sz="0" w:space="0" w:color="auto"/>
        <w:left w:val="none" w:sz="0" w:space="0" w:color="auto"/>
        <w:bottom w:val="none" w:sz="0" w:space="0" w:color="auto"/>
        <w:right w:val="none" w:sz="0" w:space="0" w:color="auto"/>
      </w:divBdr>
    </w:div>
    <w:div w:id="1948076748">
      <w:bodyDiv w:val="1"/>
      <w:marLeft w:val="0"/>
      <w:marRight w:val="0"/>
      <w:marTop w:val="0"/>
      <w:marBottom w:val="0"/>
      <w:divBdr>
        <w:top w:val="none" w:sz="0" w:space="0" w:color="auto"/>
        <w:left w:val="none" w:sz="0" w:space="0" w:color="auto"/>
        <w:bottom w:val="none" w:sz="0" w:space="0" w:color="auto"/>
        <w:right w:val="none" w:sz="0" w:space="0" w:color="auto"/>
      </w:divBdr>
    </w:div>
    <w:div w:id="1993409458">
      <w:bodyDiv w:val="1"/>
      <w:marLeft w:val="0"/>
      <w:marRight w:val="0"/>
      <w:marTop w:val="0"/>
      <w:marBottom w:val="0"/>
      <w:divBdr>
        <w:top w:val="none" w:sz="0" w:space="0" w:color="auto"/>
        <w:left w:val="none" w:sz="0" w:space="0" w:color="auto"/>
        <w:bottom w:val="none" w:sz="0" w:space="0" w:color="auto"/>
        <w:right w:val="none" w:sz="0" w:space="0" w:color="auto"/>
      </w:divBdr>
    </w:div>
    <w:div w:id="2035496321">
      <w:bodyDiv w:val="1"/>
      <w:marLeft w:val="0"/>
      <w:marRight w:val="0"/>
      <w:marTop w:val="0"/>
      <w:marBottom w:val="0"/>
      <w:divBdr>
        <w:top w:val="none" w:sz="0" w:space="0" w:color="auto"/>
        <w:left w:val="none" w:sz="0" w:space="0" w:color="auto"/>
        <w:bottom w:val="none" w:sz="0" w:space="0" w:color="auto"/>
        <w:right w:val="none" w:sz="0" w:space="0" w:color="auto"/>
      </w:divBdr>
    </w:div>
    <w:div w:id="2073917155">
      <w:bodyDiv w:val="1"/>
      <w:marLeft w:val="0"/>
      <w:marRight w:val="0"/>
      <w:marTop w:val="0"/>
      <w:marBottom w:val="0"/>
      <w:divBdr>
        <w:top w:val="none" w:sz="0" w:space="0" w:color="auto"/>
        <w:left w:val="none" w:sz="0" w:space="0" w:color="auto"/>
        <w:bottom w:val="none" w:sz="0" w:space="0" w:color="auto"/>
        <w:right w:val="none" w:sz="0" w:space="0" w:color="auto"/>
      </w:divBdr>
    </w:div>
    <w:div w:id="209250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1066</TotalTime>
  <Pages>14</Pages>
  <Words>2138</Words>
  <Characters>12191</Characters>
  <Application>Microsoft Office Word</Application>
  <DocSecurity>0</DocSecurity>
  <Lines>101</Lines>
  <Paragraphs>28</Paragraphs>
  <ScaleCrop>false</ScaleCrop>
  <Company/>
  <LinksUpToDate>false</LinksUpToDate>
  <CharactersWithSpaces>14301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A3987</dc:creator>
  <cp:keywords/>
  <dc:description/>
  <cp:lastModifiedBy>guo zining</cp:lastModifiedBy>
  <cp:revision>21</cp:revision>
  <dcterms:created xsi:type="dcterms:W3CDTF">2024-08-25T17:12:00Z</dcterms:created>
  <dcterms:modified xsi:type="dcterms:W3CDTF">2025-11-30T21:56:00Z</dcterms:modified>
</cp:coreProperties>
</file>