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1" w:firstLineChars="100"/>
        <w:jc w:val="left"/>
        <w:outlineLvl w:val="0"/>
        <w:rPr>
          <w:szCs w:val="21"/>
        </w:rPr>
      </w:pPr>
      <w:r>
        <w:rPr>
          <w:b/>
          <w:szCs w:val="21"/>
        </w:rPr>
        <w:t xml:space="preserve"> S</w:t>
      </w:r>
      <w:r>
        <w:rPr>
          <w:rFonts w:hint="eastAsia"/>
          <w:b/>
          <w:szCs w:val="21"/>
        </w:rPr>
        <w:t xml:space="preserve">upplementary </w:t>
      </w:r>
      <w:r>
        <w:rPr>
          <w:b/>
          <w:szCs w:val="21"/>
        </w:rPr>
        <w:t>T</w:t>
      </w:r>
      <w:r>
        <w:rPr>
          <w:rFonts w:hint="eastAsia"/>
          <w:b/>
          <w:szCs w:val="21"/>
        </w:rPr>
        <w:t>able1.</w:t>
      </w:r>
      <w:r>
        <w:rPr>
          <w:rFonts w:hint="eastAsia"/>
          <w:szCs w:val="21"/>
        </w:rPr>
        <w:t xml:space="preserve"> Quality assessment of studies included.</w:t>
      </w:r>
    </w:p>
    <w:tbl>
      <w:tblPr>
        <w:tblStyle w:val="5"/>
        <w:tblpPr w:leftFromText="180" w:rightFromText="180" w:vertAnchor="page" w:horzAnchor="margin" w:tblpXSpec="center" w:tblpY="2251"/>
        <w:tblW w:w="16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42"/>
        <w:gridCol w:w="1134"/>
        <w:gridCol w:w="850"/>
        <w:gridCol w:w="567"/>
        <w:gridCol w:w="993"/>
        <w:gridCol w:w="425"/>
        <w:gridCol w:w="992"/>
        <w:gridCol w:w="567"/>
        <w:gridCol w:w="1276"/>
        <w:gridCol w:w="1236"/>
        <w:gridCol w:w="1457"/>
        <w:gridCol w:w="1418"/>
        <w:gridCol w:w="1073"/>
        <w:gridCol w:w="1254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277" w:type="dxa"/>
          <w:trHeight w:val="274" w:hRule="atLeast"/>
        </w:trPr>
        <w:tc>
          <w:tcPr>
            <w:tcW w:w="1951" w:type="dxa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A</w:t>
            </w:r>
            <w:r>
              <w:rPr>
                <w:rFonts w:hint="eastAsia"/>
                <w:szCs w:val="21"/>
              </w:rPr>
              <w:t xml:space="preserve">uthor, year, </w:t>
            </w:r>
          </w:p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Study</w:t>
            </w:r>
            <w:r>
              <w:rPr>
                <w:rFonts w:hint="eastAsia"/>
                <w:szCs w:val="21"/>
              </w:rPr>
              <w:t xml:space="preserve"> (RCT)</w:t>
            </w:r>
          </w:p>
        </w:tc>
        <w:tc>
          <w:tcPr>
            <w:tcW w:w="1276" w:type="dxa"/>
            <w:gridSpan w:val="2"/>
          </w:tcPr>
          <w:p>
            <w:pPr>
              <w:jc w:val="left"/>
            </w:pPr>
            <w:r>
              <w:t>Sequence</w:t>
            </w:r>
          </w:p>
          <w:p>
            <w:pPr>
              <w:jc w:val="left"/>
            </w:pPr>
            <w:r>
              <w:t>Generation</w:t>
            </w:r>
          </w:p>
        </w:tc>
        <w:tc>
          <w:tcPr>
            <w:tcW w:w="1417" w:type="dxa"/>
            <w:gridSpan w:val="2"/>
          </w:tcPr>
          <w:p>
            <w:pPr>
              <w:jc w:val="center"/>
            </w:pPr>
            <w:r>
              <w:t>Allocation</w:t>
            </w:r>
          </w:p>
          <w:p>
            <w:r>
              <w:t>Concealment</w:t>
            </w:r>
          </w:p>
        </w:tc>
        <w:tc>
          <w:tcPr>
            <w:tcW w:w="993" w:type="dxa"/>
          </w:tcPr>
          <w:p>
            <w:pPr>
              <w:jc w:val="center"/>
            </w:pPr>
            <w:r>
              <w:t>Blinding</w:t>
            </w:r>
          </w:p>
        </w:tc>
        <w:tc>
          <w:tcPr>
            <w:tcW w:w="1417" w:type="dxa"/>
            <w:gridSpan w:val="2"/>
          </w:tcPr>
          <w:p>
            <w:pPr>
              <w:jc w:val="center"/>
            </w:pPr>
            <w:r>
              <w:t xml:space="preserve">Incomplete </w:t>
            </w:r>
          </w:p>
          <w:p>
            <w:r>
              <w:t>outcome data</w:t>
            </w:r>
          </w:p>
        </w:tc>
        <w:tc>
          <w:tcPr>
            <w:tcW w:w="1843" w:type="dxa"/>
            <w:gridSpan w:val="2"/>
          </w:tcPr>
          <w:p>
            <w:pPr>
              <w:jc w:val="center"/>
            </w:pPr>
            <w:r>
              <w:t xml:space="preserve">Selective </w:t>
            </w:r>
          </w:p>
          <w:p>
            <w:r>
              <w:t>outcome reporting</w:t>
            </w:r>
          </w:p>
        </w:tc>
        <w:tc>
          <w:tcPr>
            <w:tcW w:w="1236" w:type="dxa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Free of 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other bias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277" w:type="dxa"/>
        </w:trPr>
        <w:tc>
          <w:tcPr>
            <w:tcW w:w="1951" w:type="dxa"/>
          </w:tcPr>
          <w:p>
            <w:pPr>
              <w:jc w:val="left"/>
            </w:pPr>
            <w:r>
              <w:t>Fiori</w:t>
            </w:r>
            <w:r>
              <w:rPr>
                <w:rFonts w:hint="eastAsia"/>
              </w:rPr>
              <w:t xml:space="preserve"> , 20</w:t>
            </w:r>
            <w:r>
              <w:t>0</w:t>
            </w:r>
            <w:r>
              <w:rPr>
                <w:rFonts w:hint="eastAsia"/>
              </w:rPr>
              <w:t>4</w:t>
            </w:r>
          </w:p>
        </w:tc>
        <w:tc>
          <w:tcPr>
            <w:tcW w:w="1276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t>unclear</w:t>
            </w:r>
            <w:r>
              <w:rPr>
                <w:rFonts w:hint="eastAsia"/>
                <w:szCs w:val="21"/>
              </w:rPr>
              <w:t xml:space="preserve">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993" w:type="dxa"/>
          </w:tcPr>
          <w:p>
            <w:pPr>
              <w:jc w:val="left"/>
            </w:pPr>
            <w:r>
              <w:rPr>
                <w:rFonts w:hint="eastAsia"/>
              </w:rPr>
              <w:t>high</w:t>
            </w:r>
            <w:r>
              <w:t xml:space="preserve">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</w:pPr>
            <w:r>
              <w:rPr>
                <w:rFonts w:hint="eastAsia"/>
                <w:szCs w:val="21"/>
              </w:rPr>
              <w:t>low risk</w:t>
            </w:r>
          </w:p>
        </w:tc>
        <w:tc>
          <w:tcPr>
            <w:tcW w:w="1843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1236" w:type="dxa"/>
          </w:tcPr>
          <w:p>
            <w:pPr>
              <w:jc w:val="left"/>
            </w:pPr>
            <w:bookmarkStart w:id="0" w:name="OLE_LINK54"/>
            <w:bookmarkStart w:id="1" w:name="OLE_LINK55"/>
            <w:r>
              <w:t>unclear</w:t>
            </w:r>
            <w:bookmarkEnd w:id="0"/>
            <w:bookmarkEnd w:id="1"/>
            <w:r>
              <w:rPr>
                <w:szCs w:val="21"/>
              </w:rPr>
              <w:t xml:space="preserve">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277" w:type="dxa"/>
        </w:trPr>
        <w:tc>
          <w:tcPr>
            <w:tcW w:w="1951" w:type="dxa"/>
          </w:tcPr>
          <w:p>
            <w:pPr>
              <w:jc w:val="left"/>
            </w:pPr>
            <w:r>
              <w:t>Fiori</w:t>
            </w:r>
            <w:r>
              <w:rPr>
                <w:rFonts w:hint="eastAsia"/>
              </w:rPr>
              <w:t xml:space="preserve"> , 201</w:t>
            </w:r>
            <w:r>
              <w:t>3</w:t>
            </w:r>
          </w:p>
        </w:tc>
        <w:tc>
          <w:tcPr>
            <w:tcW w:w="1276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993" w:type="dxa"/>
          </w:tcPr>
          <w:p>
            <w:pPr>
              <w:jc w:val="left"/>
            </w:pPr>
            <w:r>
              <w:t>unclear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1843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1236" w:type="dxa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277" w:type="dxa"/>
        </w:trPr>
        <w:tc>
          <w:tcPr>
            <w:tcW w:w="1951" w:type="dxa"/>
          </w:tcPr>
          <w:p>
            <w:pPr>
              <w:jc w:val="left"/>
            </w:pPr>
            <w:r>
              <w:t>Jeurnink</w:t>
            </w:r>
            <w:r>
              <w:rPr>
                <w:rFonts w:hint="eastAsia"/>
              </w:rPr>
              <w:t>, 201</w:t>
            </w:r>
            <w:r>
              <w:t>0</w:t>
            </w:r>
          </w:p>
        </w:tc>
        <w:tc>
          <w:tcPr>
            <w:tcW w:w="1276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993" w:type="dxa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1843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low risk</w:t>
            </w:r>
          </w:p>
        </w:tc>
        <w:tc>
          <w:tcPr>
            <w:tcW w:w="1236" w:type="dxa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6277" w:type="dxa"/>
        </w:trPr>
        <w:tc>
          <w:tcPr>
            <w:tcW w:w="1951" w:type="dxa"/>
          </w:tcPr>
          <w:p>
            <w:pPr>
              <w:jc w:val="left"/>
            </w:pPr>
            <w:r>
              <w:t>Mehta, 2006</w:t>
            </w:r>
          </w:p>
        </w:tc>
        <w:tc>
          <w:tcPr>
            <w:tcW w:w="1276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993" w:type="dxa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1417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low</w:t>
            </w:r>
            <w:r>
              <w:t xml:space="preserve"> risk</w:t>
            </w:r>
          </w:p>
        </w:tc>
        <w:tc>
          <w:tcPr>
            <w:tcW w:w="1843" w:type="dxa"/>
            <w:gridSpan w:val="2"/>
          </w:tcPr>
          <w:p>
            <w:pPr>
              <w:jc w:val="left"/>
            </w:pPr>
            <w:r>
              <w:rPr>
                <w:szCs w:val="21"/>
              </w:rPr>
              <w:t>low risk</w:t>
            </w:r>
          </w:p>
        </w:tc>
        <w:tc>
          <w:tcPr>
            <w:tcW w:w="1236" w:type="dxa"/>
          </w:tcPr>
          <w:p>
            <w:pPr>
              <w:jc w:val="left"/>
            </w:pPr>
            <w:r>
              <w:t>unclear</w:t>
            </w:r>
            <w:r>
              <w:rPr>
                <w:szCs w:val="21"/>
              </w:rPr>
              <w:t xml:space="preserve"> risk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Merge w:val="restart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A</w:t>
            </w:r>
            <w:r>
              <w:rPr>
                <w:rFonts w:hint="eastAsia"/>
                <w:szCs w:val="21"/>
              </w:rPr>
              <w:t>uthor, year,</w:t>
            </w:r>
          </w:p>
          <w:p>
            <w:pPr>
              <w:jc w:val="left"/>
            </w:pPr>
            <w:r>
              <w:rPr>
                <w:szCs w:val="21"/>
              </w:rPr>
              <w:t>Study</w:t>
            </w:r>
            <w:r>
              <w:rPr>
                <w:rFonts w:hint="eastAsia"/>
                <w:szCs w:val="21"/>
              </w:rPr>
              <w:t xml:space="preserve"> (</w:t>
            </w:r>
            <w:r>
              <w:rPr>
                <w:rFonts w:hint="eastAsia"/>
              </w:rPr>
              <w:t>O</w:t>
            </w:r>
            <w:r>
              <w:t>bservational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8040" w:type="dxa"/>
            <w:gridSpan w:val="9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Selection (Out of 4)</w:t>
            </w:r>
          </w:p>
        </w:tc>
        <w:tc>
          <w:tcPr>
            <w:tcW w:w="1457" w:type="dxa"/>
            <w:vMerge w:val="restart"/>
          </w:tcPr>
          <w:p>
            <w:pPr>
              <w:jc w:val="left"/>
              <w:rPr>
                <w:b/>
              </w:rPr>
            </w:pPr>
            <w:r>
              <w:rPr>
                <w:b/>
              </w:rPr>
              <w:t>Comparability</w:t>
            </w:r>
          </w:p>
          <w:p>
            <w:pPr>
              <w:jc w:val="left"/>
              <w:rPr>
                <w:b/>
              </w:rPr>
            </w:pPr>
            <w:r>
              <w:rPr>
                <w:b/>
              </w:rPr>
              <w:t>(Out of 2)</w:t>
            </w:r>
          </w:p>
        </w:tc>
        <w:tc>
          <w:tcPr>
            <w:tcW w:w="3745" w:type="dxa"/>
            <w:gridSpan w:val="3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Outcomes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bookmarkStart w:id="2" w:name="_GoBack"/>
            <w:bookmarkEnd w:id="2"/>
            <w:r>
              <w:rPr>
                <w:b/>
              </w:rPr>
              <w:t>(Out of 3)</w:t>
            </w:r>
          </w:p>
        </w:tc>
        <w:tc>
          <w:tcPr>
            <w:tcW w:w="1075" w:type="dxa"/>
            <w:vMerge w:val="restart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  <w:p>
            <w:pPr>
              <w:jc w:val="center"/>
            </w:pPr>
            <w:r>
              <w:rPr>
                <w:b/>
              </w:rPr>
              <w:t>(Out of 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984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Representativeness of exposed cohort</w:t>
            </w:r>
          </w:p>
        </w:tc>
        <w:tc>
          <w:tcPr>
            <w:tcW w:w="1985" w:type="dxa"/>
            <w:gridSpan w:val="3"/>
          </w:tcPr>
          <w:p>
            <w:pPr>
              <w:jc w:val="left"/>
            </w:pPr>
            <w:r>
              <w:t>Selection of nonexposed cohort</w:t>
            </w:r>
          </w:p>
        </w:tc>
        <w:tc>
          <w:tcPr>
            <w:tcW w:w="1559" w:type="dxa"/>
            <w:gridSpan w:val="2"/>
          </w:tcPr>
          <w:p>
            <w:pPr>
              <w:jc w:val="left"/>
            </w:pPr>
            <w:r>
              <w:t>Ascertainment</w:t>
            </w:r>
          </w:p>
          <w:p>
            <w:pPr>
              <w:jc w:val="left"/>
            </w:pPr>
            <w:r>
              <w:t>of exposure</w:t>
            </w:r>
          </w:p>
        </w:tc>
        <w:tc>
          <w:tcPr>
            <w:tcW w:w="2512" w:type="dxa"/>
            <w:gridSpan w:val="2"/>
          </w:tcPr>
          <w:p>
            <w:pPr>
              <w:jc w:val="left"/>
            </w:pPr>
            <w:r>
              <w:t>Outcome not present at the start of the study</w:t>
            </w:r>
          </w:p>
        </w:tc>
        <w:tc>
          <w:tcPr>
            <w:tcW w:w="1457" w:type="dxa"/>
            <w:vMerge w:val="continue"/>
          </w:tcPr>
          <w:p>
            <w:pPr>
              <w:jc w:val="left"/>
            </w:pPr>
          </w:p>
        </w:tc>
        <w:tc>
          <w:tcPr>
            <w:tcW w:w="1418" w:type="dxa"/>
          </w:tcPr>
          <w:p>
            <w:r>
              <w:t>Assessment of outcomes</w:t>
            </w:r>
          </w:p>
        </w:tc>
        <w:tc>
          <w:tcPr>
            <w:tcW w:w="1073" w:type="dxa"/>
          </w:tcPr>
          <w:p>
            <w:r>
              <w:t>Length of follow-up</w:t>
            </w:r>
          </w:p>
        </w:tc>
        <w:tc>
          <w:tcPr>
            <w:tcW w:w="1254" w:type="dxa"/>
          </w:tcPr>
          <w:p>
            <w:r>
              <w:t>Adequacy of follow-up</w:t>
            </w:r>
          </w:p>
        </w:tc>
        <w:tc>
          <w:tcPr>
            <w:tcW w:w="1075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Chandrasegaram</w:t>
            </w:r>
            <w:r>
              <w:rPr>
                <w:rFonts w:hint="eastAsia"/>
              </w:rPr>
              <w:t>, 201</w:t>
            </w:r>
            <w:r>
              <w:t>2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Del Piano</w:t>
            </w:r>
            <w:r>
              <w:rPr>
                <w:rFonts w:hint="eastAsia"/>
              </w:rPr>
              <w:t>, 20</w:t>
            </w:r>
            <w:r>
              <w:t>05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0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El-Shabrawi</w:t>
            </w:r>
            <w:r>
              <w:rPr>
                <w:rFonts w:hint="eastAsia"/>
              </w:rPr>
              <w:t>, 20</w:t>
            </w:r>
            <w:r>
              <w:t>0</w:t>
            </w:r>
            <w:r>
              <w:rPr>
                <w:rFonts w:hint="eastAsia"/>
              </w:rPr>
              <w:t>6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Espinel</w:t>
            </w:r>
            <w:r>
              <w:rPr>
                <w:rFonts w:hint="eastAsia"/>
              </w:rPr>
              <w:t>, 20</w:t>
            </w:r>
            <w:r>
              <w:t>06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Fiori</w:t>
            </w:r>
            <w:r>
              <w:rPr>
                <w:rFonts w:hint="eastAsia"/>
              </w:rPr>
              <w:t>, 201</w:t>
            </w:r>
            <w:r>
              <w:t>6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Ge, 2019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Jang, 2017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  <w:rPr>
                <w:szCs w:val="21"/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Jeurnink, 2007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Johnsson, 2004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Keränen, 2013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Khashab, 2013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Kubota, 2007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0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López-Sánchez, 2019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Maetani, 2004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Maetani,2005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Min</w:t>
            </w:r>
            <w:r>
              <w:rPr>
                <w:rFonts w:hint="eastAsia"/>
              </w:rPr>
              <w:t xml:space="preserve"> , 201</w:t>
            </w:r>
            <w:r>
              <w:t>7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Mittal, 2004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N</w:t>
            </w:r>
            <w:r>
              <w:t>o, 2013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Park, 2015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Park, 2016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Roy, 2012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t>0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Schmidt, 2009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0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Shuai, 2018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Uemura, 2018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Wong, 2002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0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Yoshida, 2017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</w:tcPr>
          <w:p>
            <w:pPr>
              <w:jc w:val="left"/>
            </w:pPr>
            <w:r>
              <w:t>Yukimoto, 2018</w:t>
            </w:r>
          </w:p>
        </w:tc>
        <w:tc>
          <w:tcPr>
            <w:tcW w:w="1984" w:type="dxa"/>
            <w:gridSpan w:val="2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85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1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57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073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54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075" w:type="dxa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</w:tr>
    </w:tbl>
    <w:p>
      <w:pPr>
        <w:jc w:val="left"/>
        <w:outlineLvl w:val="0"/>
        <w:rPr>
          <w:szCs w:val="21"/>
        </w:rPr>
      </w:pPr>
      <w:r>
        <w:t xml:space="preserve">The RCTs and </w:t>
      </w:r>
      <w:r>
        <w:rPr>
          <w:rFonts w:ascii="Calibri" w:hAnsi="Calibri" w:cs="Times"/>
          <w:color w:val="101010"/>
          <w:kern w:val="0"/>
          <w:szCs w:val="21"/>
        </w:rPr>
        <w:t>observational</w:t>
      </w:r>
      <w:r>
        <w:rPr>
          <w:rFonts w:hint="eastAsia"/>
        </w:rPr>
        <w:t xml:space="preserve"> studies</w:t>
      </w:r>
      <w:r>
        <w:t xml:space="preserve"> </w:t>
      </w:r>
      <w:r>
        <w:rPr>
          <w:rFonts w:hint="eastAsia"/>
        </w:rPr>
        <w:t>were</w:t>
      </w:r>
      <w:r>
        <w:t xml:space="preserve"> assessed by the Cochrane Collaboration’s tool</w:t>
      </w:r>
      <w:r>
        <w:rPr>
          <w:rFonts w:hint="eastAsia"/>
        </w:rPr>
        <w:t xml:space="preserve"> </w:t>
      </w:r>
      <w:r>
        <w:t>and Newcastle-Ottawa Quality Assessment Scale, respectively</w:t>
      </w:r>
      <w:r>
        <w:rPr>
          <w:rFonts w:hint="eastAsia"/>
        </w:rPr>
        <w:t>.</w:t>
      </w:r>
    </w:p>
    <w:p>
      <w:pPr>
        <w:jc w:val="left"/>
        <w:outlineLvl w:val="0"/>
        <w:rPr>
          <w:szCs w:val="21"/>
        </w:rPr>
      </w:pPr>
      <w:r>
        <w:rPr>
          <w:szCs w:val="21"/>
        </w:rPr>
        <w:t>Risk of bias was assessed as “low risk”, “high risk”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or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“</w:t>
      </w:r>
      <w:r>
        <w:t>unclear risk</w:t>
      </w:r>
      <w:r>
        <w:rPr>
          <w:szCs w:val="21"/>
        </w:rPr>
        <w:t>”</w:t>
      </w:r>
      <w:r>
        <w:rPr>
          <w:rFonts w:hint="eastAsia"/>
          <w:szCs w:val="21"/>
        </w:rPr>
        <w:t>.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0000500000000020000"/>
    <w:charset w:val="00"/>
    <w:family w:val="auto"/>
    <w:pitch w:val="default"/>
    <w:sig w:usb0="00000000" w:usb1="00000000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B3"/>
    <w:rsid w:val="00014593"/>
    <w:rsid w:val="000212B3"/>
    <w:rsid w:val="00022FD9"/>
    <w:rsid w:val="000401DB"/>
    <w:rsid w:val="00052F43"/>
    <w:rsid w:val="00073EA4"/>
    <w:rsid w:val="00083C7A"/>
    <w:rsid w:val="000A55B4"/>
    <w:rsid w:val="000B1B6A"/>
    <w:rsid w:val="000D0C94"/>
    <w:rsid w:val="000F69A8"/>
    <w:rsid w:val="00112ACD"/>
    <w:rsid w:val="001330FE"/>
    <w:rsid w:val="00133A16"/>
    <w:rsid w:val="00150086"/>
    <w:rsid w:val="00153A9D"/>
    <w:rsid w:val="00155556"/>
    <w:rsid w:val="00162839"/>
    <w:rsid w:val="001744B4"/>
    <w:rsid w:val="001871A6"/>
    <w:rsid w:val="001C1C2E"/>
    <w:rsid w:val="001C286C"/>
    <w:rsid w:val="001D430C"/>
    <w:rsid w:val="001E7D85"/>
    <w:rsid w:val="00201CA1"/>
    <w:rsid w:val="00222AD4"/>
    <w:rsid w:val="00242269"/>
    <w:rsid w:val="002455EF"/>
    <w:rsid w:val="00253F09"/>
    <w:rsid w:val="00260474"/>
    <w:rsid w:val="00260F6B"/>
    <w:rsid w:val="002903CF"/>
    <w:rsid w:val="002B3E88"/>
    <w:rsid w:val="002E3962"/>
    <w:rsid w:val="002F0016"/>
    <w:rsid w:val="00301A71"/>
    <w:rsid w:val="00303639"/>
    <w:rsid w:val="0031371A"/>
    <w:rsid w:val="00314C2A"/>
    <w:rsid w:val="00320FDC"/>
    <w:rsid w:val="0035652C"/>
    <w:rsid w:val="00370046"/>
    <w:rsid w:val="00370153"/>
    <w:rsid w:val="003720D6"/>
    <w:rsid w:val="003A0BFD"/>
    <w:rsid w:val="003A3018"/>
    <w:rsid w:val="003A4E4B"/>
    <w:rsid w:val="003B418F"/>
    <w:rsid w:val="003C0AFA"/>
    <w:rsid w:val="003C2980"/>
    <w:rsid w:val="003D581C"/>
    <w:rsid w:val="003F5EC0"/>
    <w:rsid w:val="00417BA0"/>
    <w:rsid w:val="00430121"/>
    <w:rsid w:val="00432769"/>
    <w:rsid w:val="004331A5"/>
    <w:rsid w:val="004362FC"/>
    <w:rsid w:val="00446E40"/>
    <w:rsid w:val="00472595"/>
    <w:rsid w:val="004D0C7E"/>
    <w:rsid w:val="004D4D60"/>
    <w:rsid w:val="004E0C8D"/>
    <w:rsid w:val="004E3948"/>
    <w:rsid w:val="004E69D2"/>
    <w:rsid w:val="004F4129"/>
    <w:rsid w:val="004F7328"/>
    <w:rsid w:val="00506729"/>
    <w:rsid w:val="00516D7F"/>
    <w:rsid w:val="005549A1"/>
    <w:rsid w:val="00571ED3"/>
    <w:rsid w:val="005A59ED"/>
    <w:rsid w:val="005A7247"/>
    <w:rsid w:val="005C40AC"/>
    <w:rsid w:val="005D0B21"/>
    <w:rsid w:val="005E59BD"/>
    <w:rsid w:val="00607668"/>
    <w:rsid w:val="0064465F"/>
    <w:rsid w:val="00647345"/>
    <w:rsid w:val="00653D1F"/>
    <w:rsid w:val="00660D07"/>
    <w:rsid w:val="00662894"/>
    <w:rsid w:val="00662FC1"/>
    <w:rsid w:val="006642F4"/>
    <w:rsid w:val="006722BA"/>
    <w:rsid w:val="006831E4"/>
    <w:rsid w:val="006932CA"/>
    <w:rsid w:val="006A270C"/>
    <w:rsid w:val="006B5761"/>
    <w:rsid w:val="006D45C2"/>
    <w:rsid w:val="007122C2"/>
    <w:rsid w:val="0076107B"/>
    <w:rsid w:val="007A35B5"/>
    <w:rsid w:val="007D655C"/>
    <w:rsid w:val="007E7E17"/>
    <w:rsid w:val="007F1D5D"/>
    <w:rsid w:val="007F26C7"/>
    <w:rsid w:val="007F513F"/>
    <w:rsid w:val="00802407"/>
    <w:rsid w:val="008037B2"/>
    <w:rsid w:val="00843919"/>
    <w:rsid w:val="00860347"/>
    <w:rsid w:val="0086645D"/>
    <w:rsid w:val="00871C3B"/>
    <w:rsid w:val="00881A71"/>
    <w:rsid w:val="008823D3"/>
    <w:rsid w:val="00883656"/>
    <w:rsid w:val="00892E13"/>
    <w:rsid w:val="008A5B17"/>
    <w:rsid w:val="008D1521"/>
    <w:rsid w:val="008F36C2"/>
    <w:rsid w:val="00935658"/>
    <w:rsid w:val="00944E0C"/>
    <w:rsid w:val="0097232B"/>
    <w:rsid w:val="00977F8C"/>
    <w:rsid w:val="00990D8F"/>
    <w:rsid w:val="009A16B7"/>
    <w:rsid w:val="009B6CFE"/>
    <w:rsid w:val="009D1E0F"/>
    <w:rsid w:val="009E4F18"/>
    <w:rsid w:val="00A166C7"/>
    <w:rsid w:val="00A2053E"/>
    <w:rsid w:val="00A26368"/>
    <w:rsid w:val="00A73AE2"/>
    <w:rsid w:val="00B004D3"/>
    <w:rsid w:val="00B45C7A"/>
    <w:rsid w:val="00B91BEF"/>
    <w:rsid w:val="00BA2A47"/>
    <w:rsid w:val="00BD2AD8"/>
    <w:rsid w:val="00BD6F84"/>
    <w:rsid w:val="00BE777B"/>
    <w:rsid w:val="00BF7249"/>
    <w:rsid w:val="00C25A89"/>
    <w:rsid w:val="00C32436"/>
    <w:rsid w:val="00C531D3"/>
    <w:rsid w:val="00C636DB"/>
    <w:rsid w:val="00C67F46"/>
    <w:rsid w:val="00C943A8"/>
    <w:rsid w:val="00CB2E09"/>
    <w:rsid w:val="00CC3554"/>
    <w:rsid w:val="00CC4C95"/>
    <w:rsid w:val="00CF1A49"/>
    <w:rsid w:val="00CF535C"/>
    <w:rsid w:val="00D16336"/>
    <w:rsid w:val="00D33A96"/>
    <w:rsid w:val="00D443C1"/>
    <w:rsid w:val="00D778AE"/>
    <w:rsid w:val="00D838DE"/>
    <w:rsid w:val="00D9426A"/>
    <w:rsid w:val="00DA0273"/>
    <w:rsid w:val="00DA14E9"/>
    <w:rsid w:val="00DC22B7"/>
    <w:rsid w:val="00DD2A59"/>
    <w:rsid w:val="00DF1FD9"/>
    <w:rsid w:val="00DF5687"/>
    <w:rsid w:val="00E04977"/>
    <w:rsid w:val="00E214BF"/>
    <w:rsid w:val="00E277E9"/>
    <w:rsid w:val="00E31772"/>
    <w:rsid w:val="00E53987"/>
    <w:rsid w:val="00E73198"/>
    <w:rsid w:val="00E77D3F"/>
    <w:rsid w:val="00EB2498"/>
    <w:rsid w:val="00EC32BC"/>
    <w:rsid w:val="00EE5203"/>
    <w:rsid w:val="00EF262B"/>
    <w:rsid w:val="00EF71DD"/>
    <w:rsid w:val="00F23AE4"/>
    <w:rsid w:val="00F35FD8"/>
    <w:rsid w:val="00FA2830"/>
    <w:rsid w:val="00FA463B"/>
    <w:rsid w:val="00FB7F3E"/>
    <w:rsid w:val="00FD3C83"/>
    <w:rsid w:val="00FE67E1"/>
    <w:rsid w:val="00FE7B20"/>
    <w:rsid w:val="01AA7C3A"/>
    <w:rsid w:val="041750CE"/>
    <w:rsid w:val="06167993"/>
    <w:rsid w:val="066712F0"/>
    <w:rsid w:val="0D536BEF"/>
    <w:rsid w:val="0EBF5F85"/>
    <w:rsid w:val="160E650D"/>
    <w:rsid w:val="178D356D"/>
    <w:rsid w:val="1A3F5F0A"/>
    <w:rsid w:val="1FA54E43"/>
    <w:rsid w:val="23822D1A"/>
    <w:rsid w:val="28D017B4"/>
    <w:rsid w:val="33E80E32"/>
    <w:rsid w:val="42DA7175"/>
    <w:rsid w:val="45012E99"/>
    <w:rsid w:val="45343C88"/>
    <w:rsid w:val="469E4889"/>
    <w:rsid w:val="49AC4BE8"/>
    <w:rsid w:val="4A1B7B92"/>
    <w:rsid w:val="4BA52423"/>
    <w:rsid w:val="597023CF"/>
    <w:rsid w:val="5D720997"/>
    <w:rsid w:val="5D767E3D"/>
    <w:rsid w:val="5D7A03ED"/>
    <w:rsid w:val="61D949E6"/>
    <w:rsid w:val="62C030EF"/>
    <w:rsid w:val="6532215D"/>
    <w:rsid w:val="69D33F36"/>
    <w:rsid w:val="7A9939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288</Words>
  <Characters>1642</Characters>
  <Lines>13</Lines>
  <Paragraphs>3</Paragraphs>
  <TotalTime>37</TotalTime>
  <ScaleCrop>false</ScaleCrop>
  <LinksUpToDate>false</LinksUpToDate>
  <CharactersWithSpaces>1927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2020-05-25T13:16:00Z</dcterms:created>
  <dc:creator>asus</dc:creator>
  <cp:lastModifiedBy>ThinkPad</cp:lastModifiedBy>
  <dcterms:modified xsi:type="dcterms:W3CDTF">2021-03-22T07:16:18Z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