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BA5CC" w14:textId="04ED4F59" w:rsidR="004007B3" w:rsidRDefault="004007B3" w:rsidP="004007B3">
      <w:r w:rsidRPr="004007B3">
        <w:t xml:space="preserve">Edlinger </w:t>
      </w:r>
      <w:r w:rsidRPr="004007B3">
        <w:rPr>
          <w:i/>
        </w:rPr>
        <w:t>et al.</w:t>
      </w:r>
      <w:r w:rsidRPr="004007B3">
        <w:t>, Agricultural management and pesticide use reduce the phosphorus uptake capability of beneficial plant symbionts</w:t>
      </w:r>
    </w:p>
    <w:p w14:paraId="1F09B58B" w14:textId="77777777" w:rsidR="004007B3" w:rsidRDefault="004007B3" w:rsidP="004007B3">
      <w:bookmarkStart w:id="0" w:name="_GoBack"/>
      <w:bookmarkEnd w:id="0"/>
    </w:p>
    <w:p w14:paraId="739289D5" w14:textId="605D8030" w:rsidR="004007B3" w:rsidRDefault="006D7A80" w:rsidP="004007B3">
      <w:pPr>
        <w:pStyle w:val="berschrift2"/>
        <w:numPr>
          <w:ilvl w:val="0"/>
          <w:numId w:val="0"/>
        </w:numPr>
      </w:pPr>
      <w:r w:rsidRPr="001A2D5A">
        <w:t>Supplementary material</w:t>
      </w:r>
    </w:p>
    <w:p w14:paraId="66DA5575" w14:textId="7D8709DF" w:rsidR="005A054F" w:rsidRDefault="005E28DC" w:rsidP="005A054F">
      <w:pPr>
        <w:jc w:val="center"/>
      </w:pPr>
      <w:r>
        <w:rPr>
          <w:noProof/>
          <w:lang w:val="de-CH" w:eastAsia="de-CH"/>
        </w:rPr>
        <w:drawing>
          <wp:inline distT="0" distB="0" distL="0" distR="0" wp14:anchorId="3D064905" wp14:editId="454C9F7F">
            <wp:extent cx="4023363" cy="4468483"/>
            <wp:effectExtent l="0" t="0" r="0" b="889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27360" cy="4472923"/>
                    </a:xfrm>
                    <a:prstGeom prst="rect">
                      <a:avLst/>
                    </a:prstGeom>
                    <a:noFill/>
                    <a:ln>
                      <a:noFill/>
                    </a:ln>
                  </pic:spPr>
                </pic:pic>
              </a:graphicData>
            </a:graphic>
          </wp:inline>
        </w:drawing>
      </w:r>
    </w:p>
    <w:p w14:paraId="610D5373" w14:textId="4898757C" w:rsidR="005A054F" w:rsidRDefault="005A054F" w:rsidP="00D9226B">
      <w:pPr>
        <w:pStyle w:val="KeinLeerraum"/>
        <w:spacing w:line="360" w:lineRule="auto"/>
        <w:jc w:val="both"/>
      </w:pPr>
      <w:r w:rsidRPr="0056760F">
        <w:rPr>
          <w:b/>
          <w:bCs/>
        </w:rPr>
        <w:t xml:space="preserve">Figure </w:t>
      </w:r>
      <w:r>
        <w:rPr>
          <w:b/>
          <w:bCs/>
        </w:rPr>
        <w:t>S</w:t>
      </w:r>
      <w:r w:rsidRPr="0056760F">
        <w:rPr>
          <w:b/>
          <w:bCs/>
        </w:rPr>
        <w:fldChar w:fldCharType="begin"/>
      </w:r>
      <w:r w:rsidRPr="0056760F">
        <w:rPr>
          <w:b/>
          <w:bCs/>
        </w:rPr>
        <w:instrText xml:space="preserve"> SEQ Figure \* ARABIC </w:instrText>
      </w:r>
      <w:r w:rsidRPr="0056760F">
        <w:rPr>
          <w:b/>
          <w:bCs/>
        </w:rPr>
        <w:fldChar w:fldCharType="separate"/>
      </w:r>
      <w:r>
        <w:rPr>
          <w:b/>
          <w:bCs/>
          <w:noProof/>
        </w:rPr>
        <w:t>1</w:t>
      </w:r>
      <w:r w:rsidRPr="0056760F">
        <w:rPr>
          <w:b/>
          <w:bCs/>
        </w:rPr>
        <w:fldChar w:fldCharType="end"/>
      </w:r>
      <w:r w:rsidRPr="0056760F">
        <w:rPr>
          <w:b/>
          <w:bCs/>
        </w:rPr>
        <w:t>:</w:t>
      </w:r>
      <w:r>
        <w:t xml:space="preserve"> Sampling locations of the </w:t>
      </w:r>
      <w:r w:rsidRPr="0024643C">
        <w:t>grassland (green) and</w:t>
      </w:r>
      <w:r>
        <w:t xml:space="preserve"> cropland soils (orange) along the trans-European gradient. </w:t>
      </w:r>
    </w:p>
    <w:p w14:paraId="5195201C" w14:textId="07839916" w:rsidR="005A054F" w:rsidRDefault="005A054F" w:rsidP="006D7A80">
      <w:pPr>
        <w:jc w:val="both"/>
        <w:rPr>
          <w:b/>
          <w:bCs/>
        </w:rPr>
      </w:pPr>
    </w:p>
    <w:p w14:paraId="5B16D695" w14:textId="77777777" w:rsidR="00985FE6" w:rsidRDefault="00985FE6" w:rsidP="00CF3372">
      <w:pPr>
        <w:jc w:val="center"/>
      </w:pPr>
      <w:r>
        <w:rPr>
          <w:noProof/>
          <w:lang w:val="de-CH" w:eastAsia="de-CH"/>
        </w:rPr>
        <w:lastRenderedPageBreak/>
        <w:drawing>
          <wp:inline distT="0" distB="0" distL="0" distR="0" wp14:anchorId="3E02F331" wp14:editId="41CDC450">
            <wp:extent cx="3506441" cy="4157932"/>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11878" cy="4164379"/>
                    </a:xfrm>
                    <a:prstGeom prst="rect">
                      <a:avLst/>
                    </a:prstGeom>
                    <a:noFill/>
                    <a:ln>
                      <a:noFill/>
                    </a:ln>
                  </pic:spPr>
                </pic:pic>
              </a:graphicData>
            </a:graphic>
          </wp:inline>
        </w:drawing>
      </w:r>
    </w:p>
    <w:p w14:paraId="35533B4B" w14:textId="76F764C7" w:rsidR="004836CE" w:rsidRDefault="00985FE6" w:rsidP="006D7A80">
      <w:pPr>
        <w:jc w:val="both"/>
      </w:pPr>
      <w:r w:rsidRPr="00EB362F">
        <w:rPr>
          <w:b/>
          <w:bCs/>
        </w:rPr>
        <w:t>Fig. S</w:t>
      </w:r>
      <w:r>
        <w:rPr>
          <w:b/>
          <w:bCs/>
        </w:rPr>
        <w:t>2</w:t>
      </w:r>
      <w:r>
        <w:t xml:space="preserve">: Differences in </w:t>
      </w:r>
      <w:r w:rsidRPr="002D5AF9">
        <w:rPr>
          <w:vertAlign w:val="superscript"/>
        </w:rPr>
        <w:t>33</w:t>
      </w:r>
      <w:r>
        <w:t xml:space="preserve">P recovery in grassland (green), conventionally (orange) and organically managed (purple) cropland covering field sites in Switzerland and Southern Germany (area Landshut and Augsburg) (n=82). Asterisks indicate significant differences (*** p&lt;0.001), ”ns” no significant difference between the groups. </w:t>
      </w:r>
    </w:p>
    <w:p w14:paraId="05523959" w14:textId="7CE0B868" w:rsidR="00862272" w:rsidRDefault="00862272" w:rsidP="00862272">
      <w:pPr>
        <w:pStyle w:val="Beschriftung"/>
        <w:keepNext/>
        <w:rPr>
          <w:i w:val="0"/>
          <w:iCs w:val="0"/>
          <w:color w:val="auto"/>
          <w:sz w:val="22"/>
          <w:szCs w:val="22"/>
        </w:rPr>
      </w:pPr>
    </w:p>
    <w:p w14:paraId="540F6225" w14:textId="43212C22" w:rsidR="00862272" w:rsidRPr="00862272" w:rsidRDefault="00862272" w:rsidP="00862272">
      <w:r w:rsidRPr="00862272">
        <w:rPr>
          <w:b/>
        </w:rPr>
        <w:t>Table S1</w:t>
      </w:r>
      <w:r w:rsidRPr="00862272">
        <w:t>: Range (minimum to maximum values) of fungicide application events, number of different active ingredients used and the total amount of active ingredients applied during the year before sampling. Correlation matrix showing Spearman's correlation coefficient for the 33P recovery and the fungicide variables. Significant correlations are indicated as *** p&lt;0.001, *  p&lt;0.05.</w:t>
      </w:r>
    </w:p>
    <w:tbl>
      <w:tblPr>
        <w:tblW w:w="7553" w:type="dxa"/>
        <w:tblCellMar>
          <w:left w:w="70" w:type="dxa"/>
          <w:right w:w="70" w:type="dxa"/>
        </w:tblCellMar>
        <w:tblLook w:val="04A0" w:firstRow="1" w:lastRow="0" w:firstColumn="1" w:lastColumn="0" w:noHBand="0" w:noVBand="1"/>
      </w:tblPr>
      <w:tblGrid>
        <w:gridCol w:w="3039"/>
        <w:gridCol w:w="975"/>
        <w:gridCol w:w="1065"/>
        <w:gridCol w:w="1196"/>
        <w:gridCol w:w="1278"/>
      </w:tblGrid>
      <w:tr w:rsidR="00862272" w:rsidRPr="00862272" w14:paraId="750A5558" w14:textId="77777777" w:rsidTr="00862272">
        <w:trPr>
          <w:trHeight w:val="870"/>
        </w:trPr>
        <w:tc>
          <w:tcPr>
            <w:tcW w:w="3039" w:type="dxa"/>
            <w:tcBorders>
              <w:top w:val="single" w:sz="4" w:space="0" w:color="auto"/>
              <w:left w:val="nil"/>
              <w:bottom w:val="single" w:sz="8" w:space="0" w:color="auto"/>
              <w:right w:val="nil"/>
            </w:tcBorders>
            <w:shd w:val="clear" w:color="auto" w:fill="auto"/>
            <w:noWrap/>
            <w:vAlign w:val="center"/>
            <w:hideMark/>
          </w:tcPr>
          <w:p w14:paraId="41A7B82B" w14:textId="77777777" w:rsidR="00862272" w:rsidRPr="00862272" w:rsidRDefault="00862272" w:rsidP="00862272">
            <w:pPr>
              <w:spacing w:after="0" w:line="240" w:lineRule="auto"/>
              <w:jc w:val="center"/>
              <w:rPr>
                <w:rFonts w:eastAsia="Times New Roman"/>
                <w:color w:val="000000"/>
                <w:lang w:val="de-CH" w:eastAsia="de-CH"/>
              </w:rPr>
            </w:pPr>
            <w:r w:rsidRPr="00862272">
              <w:rPr>
                <w:rFonts w:eastAsia="Times New Roman"/>
                <w:color w:val="000000"/>
                <w:lang w:val="de-CH" w:eastAsia="de-CH"/>
              </w:rPr>
              <w:t> </w:t>
            </w:r>
          </w:p>
        </w:tc>
        <w:tc>
          <w:tcPr>
            <w:tcW w:w="975" w:type="dxa"/>
            <w:tcBorders>
              <w:top w:val="single" w:sz="4" w:space="0" w:color="auto"/>
              <w:left w:val="nil"/>
              <w:bottom w:val="single" w:sz="8" w:space="0" w:color="auto"/>
              <w:right w:val="nil"/>
            </w:tcBorders>
            <w:shd w:val="clear" w:color="auto" w:fill="auto"/>
            <w:vAlign w:val="center"/>
            <w:hideMark/>
          </w:tcPr>
          <w:p w14:paraId="5A510E67" w14:textId="77777777" w:rsidR="00862272" w:rsidRPr="00862272" w:rsidRDefault="00862272" w:rsidP="00862272">
            <w:pPr>
              <w:spacing w:after="0" w:line="240" w:lineRule="auto"/>
              <w:rPr>
                <w:rFonts w:eastAsia="Times New Roman"/>
                <w:color w:val="000000"/>
                <w:lang w:val="de-CH" w:eastAsia="de-CH"/>
              </w:rPr>
            </w:pPr>
            <w:r w:rsidRPr="00862272">
              <w:rPr>
                <w:rFonts w:eastAsia="Times New Roman"/>
                <w:color w:val="000000"/>
                <w:lang w:val="de-CH" w:eastAsia="de-CH"/>
              </w:rPr>
              <w:t>range (min.-max.)</w:t>
            </w:r>
          </w:p>
        </w:tc>
        <w:tc>
          <w:tcPr>
            <w:tcW w:w="1065" w:type="dxa"/>
            <w:tcBorders>
              <w:top w:val="single" w:sz="4" w:space="0" w:color="auto"/>
              <w:left w:val="nil"/>
              <w:bottom w:val="single" w:sz="8" w:space="0" w:color="auto"/>
              <w:right w:val="nil"/>
            </w:tcBorders>
            <w:shd w:val="clear" w:color="auto" w:fill="auto"/>
            <w:vAlign w:val="center"/>
            <w:hideMark/>
          </w:tcPr>
          <w:p w14:paraId="72A27BE0" w14:textId="77777777" w:rsidR="00862272" w:rsidRPr="00862272" w:rsidRDefault="00862272" w:rsidP="00862272">
            <w:pPr>
              <w:spacing w:after="0" w:line="240" w:lineRule="auto"/>
              <w:rPr>
                <w:rFonts w:eastAsia="Times New Roman"/>
                <w:color w:val="000000"/>
                <w:lang w:val="de-CH" w:eastAsia="de-CH"/>
              </w:rPr>
            </w:pPr>
            <w:r w:rsidRPr="00862272">
              <w:rPr>
                <w:rFonts w:eastAsia="Times New Roman"/>
                <w:vertAlign w:val="superscript"/>
                <w:lang w:val="de-CH" w:eastAsia="de-CH"/>
              </w:rPr>
              <w:t>33</w:t>
            </w:r>
            <w:r w:rsidRPr="00862272">
              <w:rPr>
                <w:rFonts w:eastAsia="Times New Roman"/>
                <w:lang w:val="de-CH" w:eastAsia="de-CH"/>
              </w:rPr>
              <w:t>P recovery</w:t>
            </w:r>
          </w:p>
        </w:tc>
        <w:tc>
          <w:tcPr>
            <w:tcW w:w="1196" w:type="dxa"/>
            <w:tcBorders>
              <w:top w:val="single" w:sz="4" w:space="0" w:color="auto"/>
              <w:left w:val="nil"/>
              <w:bottom w:val="single" w:sz="8" w:space="0" w:color="auto"/>
              <w:right w:val="nil"/>
            </w:tcBorders>
            <w:shd w:val="clear" w:color="auto" w:fill="auto"/>
            <w:vAlign w:val="center"/>
            <w:hideMark/>
          </w:tcPr>
          <w:p w14:paraId="5E77473F" w14:textId="77777777" w:rsidR="00862272" w:rsidRPr="00862272" w:rsidRDefault="00862272" w:rsidP="00862272">
            <w:pPr>
              <w:spacing w:after="0" w:line="240" w:lineRule="auto"/>
              <w:rPr>
                <w:rFonts w:eastAsia="Times New Roman"/>
                <w:color w:val="000000"/>
                <w:lang w:val="de-CH" w:eastAsia="de-CH"/>
              </w:rPr>
            </w:pPr>
            <w:r w:rsidRPr="00862272">
              <w:rPr>
                <w:rFonts w:eastAsia="Times New Roman"/>
                <w:color w:val="000000"/>
                <w:lang w:val="de-CH" w:eastAsia="de-CH"/>
              </w:rPr>
              <w:t>No. of application events</w:t>
            </w:r>
          </w:p>
        </w:tc>
        <w:tc>
          <w:tcPr>
            <w:tcW w:w="1278" w:type="dxa"/>
            <w:tcBorders>
              <w:top w:val="single" w:sz="4" w:space="0" w:color="auto"/>
              <w:left w:val="nil"/>
              <w:bottom w:val="single" w:sz="8" w:space="0" w:color="auto"/>
              <w:right w:val="nil"/>
            </w:tcBorders>
            <w:shd w:val="clear" w:color="auto" w:fill="auto"/>
            <w:vAlign w:val="center"/>
            <w:hideMark/>
          </w:tcPr>
          <w:p w14:paraId="20F513EE" w14:textId="77777777" w:rsidR="00862272" w:rsidRPr="00862272" w:rsidRDefault="00862272" w:rsidP="00862272">
            <w:pPr>
              <w:spacing w:after="0" w:line="240" w:lineRule="auto"/>
              <w:rPr>
                <w:rFonts w:eastAsia="Times New Roman"/>
                <w:color w:val="000000"/>
                <w:lang w:val="de-CH" w:eastAsia="de-CH"/>
              </w:rPr>
            </w:pPr>
            <w:r w:rsidRPr="00862272">
              <w:rPr>
                <w:rFonts w:eastAsia="Times New Roman"/>
                <w:color w:val="000000"/>
                <w:lang w:val="de-CH" w:eastAsia="de-CH"/>
              </w:rPr>
              <w:t>No. of active compounds</w:t>
            </w:r>
          </w:p>
        </w:tc>
      </w:tr>
      <w:tr w:rsidR="00862272" w:rsidRPr="00862272" w14:paraId="53E7FD07" w14:textId="77777777" w:rsidTr="00862272">
        <w:trPr>
          <w:trHeight w:val="570"/>
        </w:trPr>
        <w:tc>
          <w:tcPr>
            <w:tcW w:w="3039" w:type="dxa"/>
            <w:tcBorders>
              <w:top w:val="nil"/>
              <w:left w:val="nil"/>
              <w:bottom w:val="nil"/>
              <w:right w:val="nil"/>
            </w:tcBorders>
            <w:shd w:val="clear" w:color="auto" w:fill="auto"/>
            <w:vAlign w:val="center"/>
            <w:hideMark/>
          </w:tcPr>
          <w:p w14:paraId="2879008A" w14:textId="77777777" w:rsidR="00862272" w:rsidRPr="00862272" w:rsidRDefault="00862272" w:rsidP="00862272">
            <w:pPr>
              <w:spacing w:after="0" w:line="240" w:lineRule="auto"/>
              <w:rPr>
                <w:rFonts w:eastAsia="Times New Roman"/>
                <w:color w:val="000000"/>
                <w:lang w:val="de-CH" w:eastAsia="de-CH"/>
              </w:rPr>
            </w:pPr>
            <w:r w:rsidRPr="00862272">
              <w:rPr>
                <w:rFonts w:eastAsia="Times New Roman"/>
                <w:color w:val="000000"/>
                <w:lang w:val="de-CH" w:eastAsia="de-CH"/>
              </w:rPr>
              <w:t>No. of application  events</w:t>
            </w:r>
          </w:p>
        </w:tc>
        <w:tc>
          <w:tcPr>
            <w:tcW w:w="975" w:type="dxa"/>
            <w:tcBorders>
              <w:top w:val="nil"/>
              <w:left w:val="nil"/>
              <w:bottom w:val="nil"/>
              <w:right w:val="nil"/>
            </w:tcBorders>
            <w:shd w:val="clear" w:color="auto" w:fill="auto"/>
            <w:noWrap/>
            <w:vAlign w:val="center"/>
            <w:hideMark/>
          </w:tcPr>
          <w:p w14:paraId="45167371" w14:textId="77777777" w:rsidR="00862272" w:rsidRPr="00862272" w:rsidRDefault="00862272" w:rsidP="00862272">
            <w:pPr>
              <w:spacing w:after="0" w:line="240" w:lineRule="auto"/>
              <w:rPr>
                <w:rFonts w:eastAsia="Times New Roman"/>
                <w:color w:val="000000"/>
                <w:lang w:val="de-CH" w:eastAsia="de-CH"/>
              </w:rPr>
            </w:pPr>
            <w:r w:rsidRPr="00862272">
              <w:rPr>
                <w:rFonts w:eastAsia="Times New Roman"/>
                <w:color w:val="000000"/>
                <w:lang w:val="de-CH" w:eastAsia="de-CH"/>
              </w:rPr>
              <w:t xml:space="preserve">0 - 3 </w:t>
            </w:r>
          </w:p>
        </w:tc>
        <w:tc>
          <w:tcPr>
            <w:tcW w:w="1065" w:type="dxa"/>
            <w:tcBorders>
              <w:top w:val="nil"/>
              <w:left w:val="nil"/>
              <w:bottom w:val="nil"/>
              <w:right w:val="nil"/>
            </w:tcBorders>
            <w:shd w:val="clear" w:color="auto" w:fill="auto"/>
            <w:noWrap/>
            <w:vAlign w:val="center"/>
            <w:hideMark/>
          </w:tcPr>
          <w:p w14:paraId="09579091" w14:textId="77777777" w:rsidR="00862272" w:rsidRPr="00862272" w:rsidRDefault="00862272" w:rsidP="00862272">
            <w:pPr>
              <w:spacing w:after="0" w:line="240" w:lineRule="auto"/>
              <w:rPr>
                <w:rFonts w:eastAsia="Times New Roman"/>
                <w:color w:val="000000"/>
                <w:lang w:val="de-CH" w:eastAsia="de-CH"/>
              </w:rPr>
            </w:pPr>
            <w:r w:rsidRPr="00862272">
              <w:rPr>
                <w:rFonts w:eastAsia="Times New Roman"/>
                <w:color w:val="000000"/>
                <w:lang w:val="de-CH" w:eastAsia="de-CH"/>
              </w:rPr>
              <w:t>-0.29*** </w:t>
            </w:r>
          </w:p>
        </w:tc>
        <w:tc>
          <w:tcPr>
            <w:tcW w:w="1196" w:type="dxa"/>
            <w:tcBorders>
              <w:top w:val="nil"/>
              <w:left w:val="nil"/>
              <w:bottom w:val="nil"/>
              <w:right w:val="nil"/>
            </w:tcBorders>
            <w:shd w:val="clear" w:color="auto" w:fill="auto"/>
            <w:noWrap/>
            <w:vAlign w:val="center"/>
            <w:hideMark/>
          </w:tcPr>
          <w:p w14:paraId="7F51CE55" w14:textId="77777777" w:rsidR="00862272" w:rsidRPr="00862272" w:rsidRDefault="00862272" w:rsidP="00862272">
            <w:pPr>
              <w:spacing w:after="0" w:line="240" w:lineRule="auto"/>
              <w:rPr>
                <w:rFonts w:eastAsia="Times New Roman"/>
                <w:color w:val="000000"/>
                <w:lang w:val="de-CH" w:eastAsia="de-CH"/>
              </w:rPr>
            </w:pPr>
          </w:p>
        </w:tc>
        <w:tc>
          <w:tcPr>
            <w:tcW w:w="1278" w:type="dxa"/>
            <w:tcBorders>
              <w:top w:val="nil"/>
              <w:left w:val="nil"/>
              <w:bottom w:val="nil"/>
              <w:right w:val="nil"/>
            </w:tcBorders>
            <w:shd w:val="clear" w:color="auto" w:fill="auto"/>
            <w:noWrap/>
            <w:vAlign w:val="center"/>
            <w:hideMark/>
          </w:tcPr>
          <w:p w14:paraId="006593E9" w14:textId="77777777" w:rsidR="00862272" w:rsidRPr="00862272" w:rsidRDefault="00862272" w:rsidP="00862272">
            <w:pPr>
              <w:spacing w:after="0" w:line="240" w:lineRule="auto"/>
              <w:rPr>
                <w:rFonts w:ascii="Times New Roman" w:eastAsia="Times New Roman" w:hAnsi="Times New Roman" w:cs="Times New Roman"/>
                <w:sz w:val="20"/>
                <w:szCs w:val="20"/>
                <w:lang w:val="de-CH" w:eastAsia="de-CH"/>
              </w:rPr>
            </w:pPr>
          </w:p>
        </w:tc>
      </w:tr>
      <w:tr w:rsidR="00862272" w:rsidRPr="00862272" w14:paraId="4AA02E97" w14:textId="77777777" w:rsidTr="00862272">
        <w:trPr>
          <w:trHeight w:val="570"/>
        </w:trPr>
        <w:tc>
          <w:tcPr>
            <w:tcW w:w="3039" w:type="dxa"/>
            <w:tcBorders>
              <w:top w:val="nil"/>
              <w:left w:val="nil"/>
              <w:bottom w:val="nil"/>
              <w:right w:val="nil"/>
            </w:tcBorders>
            <w:shd w:val="clear" w:color="auto" w:fill="auto"/>
            <w:vAlign w:val="center"/>
            <w:hideMark/>
          </w:tcPr>
          <w:p w14:paraId="05E2D5E8" w14:textId="77777777" w:rsidR="00862272" w:rsidRPr="00862272" w:rsidRDefault="00862272" w:rsidP="00862272">
            <w:pPr>
              <w:spacing w:after="0" w:line="240" w:lineRule="auto"/>
              <w:rPr>
                <w:rFonts w:eastAsia="Times New Roman"/>
                <w:color w:val="000000"/>
                <w:lang w:val="de-CH" w:eastAsia="de-CH"/>
              </w:rPr>
            </w:pPr>
            <w:r w:rsidRPr="00862272">
              <w:rPr>
                <w:rFonts w:eastAsia="Times New Roman"/>
                <w:color w:val="000000"/>
                <w:lang w:val="de-CH" w:eastAsia="de-CH"/>
              </w:rPr>
              <w:t>No. of active  compounds</w:t>
            </w:r>
          </w:p>
        </w:tc>
        <w:tc>
          <w:tcPr>
            <w:tcW w:w="975" w:type="dxa"/>
            <w:tcBorders>
              <w:top w:val="nil"/>
              <w:left w:val="nil"/>
              <w:bottom w:val="nil"/>
              <w:right w:val="nil"/>
            </w:tcBorders>
            <w:shd w:val="clear" w:color="auto" w:fill="auto"/>
            <w:noWrap/>
            <w:vAlign w:val="center"/>
            <w:hideMark/>
          </w:tcPr>
          <w:p w14:paraId="6A34D768" w14:textId="77777777" w:rsidR="00862272" w:rsidRPr="00862272" w:rsidRDefault="00862272" w:rsidP="00862272">
            <w:pPr>
              <w:spacing w:after="0" w:line="240" w:lineRule="auto"/>
              <w:rPr>
                <w:rFonts w:eastAsia="Times New Roman"/>
                <w:color w:val="000000"/>
                <w:lang w:val="de-CH" w:eastAsia="de-CH"/>
              </w:rPr>
            </w:pPr>
            <w:r w:rsidRPr="00862272">
              <w:rPr>
                <w:rFonts w:eastAsia="Times New Roman"/>
                <w:color w:val="000000"/>
                <w:lang w:val="de-CH" w:eastAsia="de-CH"/>
              </w:rPr>
              <w:t>0 - 11</w:t>
            </w:r>
          </w:p>
        </w:tc>
        <w:tc>
          <w:tcPr>
            <w:tcW w:w="1065" w:type="dxa"/>
            <w:tcBorders>
              <w:top w:val="nil"/>
              <w:left w:val="nil"/>
              <w:bottom w:val="nil"/>
              <w:right w:val="nil"/>
            </w:tcBorders>
            <w:shd w:val="clear" w:color="auto" w:fill="auto"/>
            <w:noWrap/>
            <w:vAlign w:val="center"/>
            <w:hideMark/>
          </w:tcPr>
          <w:p w14:paraId="08389E7B" w14:textId="77777777" w:rsidR="00862272" w:rsidRPr="00862272" w:rsidRDefault="00862272" w:rsidP="00862272">
            <w:pPr>
              <w:spacing w:after="0" w:line="240" w:lineRule="auto"/>
              <w:rPr>
                <w:rFonts w:eastAsia="Times New Roman"/>
                <w:color w:val="000000"/>
                <w:lang w:val="de-CH" w:eastAsia="de-CH"/>
              </w:rPr>
            </w:pPr>
            <w:r w:rsidRPr="00862272">
              <w:rPr>
                <w:rFonts w:eastAsia="Times New Roman"/>
                <w:color w:val="000000"/>
                <w:lang w:val="de-CH" w:eastAsia="de-CH"/>
              </w:rPr>
              <w:t>-0.20*   </w:t>
            </w:r>
          </w:p>
        </w:tc>
        <w:tc>
          <w:tcPr>
            <w:tcW w:w="1196" w:type="dxa"/>
            <w:tcBorders>
              <w:top w:val="nil"/>
              <w:left w:val="nil"/>
              <w:bottom w:val="nil"/>
              <w:right w:val="nil"/>
            </w:tcBorders>
            <w:shd w:val="clear" w:color="auto" w:fill="auto"/>
            <w:noWrap/>
            <w:vAlign w:val="center"/>
            <w:hideMark/>
          </w:tcPr>
          <w:p w14:paraId="7F248529" w14:textId="77777777" w:rsidR="00862272" w:rsidRPr="00862272" w:rsidRDefault="00862272" w:rsidP="00862272">
            <w:pPr>
              <w:spacing w:after="0" w:line="240" w:lineRule="auto"/>
              <w:rPr>
                <w:rFonts w:eastAsia="Times New Roman"/>
                <w:color w:val="000000"/>
                <w:lang w:val="de-CH" w:eastAsia="de-CH"/>
              </w:rPr>
            </w:pPr>
            <w:r w:rsidRPr="00862272">
              <w:rPr>
                <w:rFonts w:eastAsia="Times New Roman"/>
                <w:color w:val="000000"/>
                <w:lang w:val="de-CH" w:eastAsia="de-CH"/>
              </w:rPr>
              <w:t> 0.75*** </w:t>
            </w:r>
          </w:p>
        </w:tc>
        <w:tc>
          <w:tcPr>
            <w:tcW w:w="1278" w:type="dxa"/>
            <w:tcBorders>
              <w:top w:val="nil"/>
              <w:left w:val="nil"/>
              <w:bottom w:val="nil"/>
              <w:right w:val="nil"/>
            </w:tcBorders>
            <w:shd w:val="clear" w:color="auto" w:fill="auto"/>
            <w:noWrap/>
            <w:vAlign w:val="center"/>
            <w:hideMark/>
          </w:tcPr>
          <w:p w14:paraId="371563BE" w14:textId="77777777" w:rsidR="00862272" w:rsidRPr="00862272" w:rsidRDefault="00862272" w:rsidP="00862272">
            <w:pPr>
              <w:spacing w:after="0" w:line="240" w:lineRule="auto"/>
              <w:rPr>
                <w:rFonts w:eastAsia="Times New Roman"/>
                <w:color w:val="000000"/>
                <w:lang w:val="de-CH" w:eastAsia="de-CH"/>
              </w:rPr>
            </w:pPr>
          </w:p>
        </w:tc>
      </w:tr>
      <w:tr w:rsidR="00862272" w:rsidRPr="00862272" w14:paraId="2F19E6D0" w14:textId="77777777" w:rsidTr="00862272">
        <w:trPr>
          <w:trHeight w:val="570"/>
        </w:trPr>
        <w:tc>
          <w:tcPr>
            <w:tcW w:w="3039" w:type="dxa"/>
            <w:tcBorders>
              <w:top w:val="nil"/>
              <w:left w:val="nil"/>
              <w:bottom w:val="nil"/>
              <w:right w:val="nil"/>
            </w:tcBorders>
            <w:shd w:val="clear" w:color="auto" w:fill="auto"/>
            <w:vAlign w:val="center"/>
            <w:hideMark/>
          </w:tcPr>
          <w:p w14:paraId="7E282407" w14:textId="77777777" w:rsidR="00862272" w:rsidRPr="00862272" w:rsidRDefault="00862272" w:rsidP="00862272">
            <w:pPr>
              <w:spacing w:after="0" w:line="240" w:lineRule="auto"/>
              <w:rPr>
                <w:rFonts w:eastAsia="Times New Roman"/>
                <w:color w:val="000000"/>
                <w:lang w:eastAsia="de-CH"/>
              </w:rPr>
            </w:pPr>
            <w:r w:rsidRPr="00862272">
              <w:rPr>
                <w:rFonts w:eastAsia="Times New Roman"/>
                <w:color w:val="000000"/>
                <w:lang w:eastAsia="de-CH"/>
              </w:rPr>
              <w:t>Amount of active  compounds (kg ha</w:t>
            </w:r>
            <w:r w:rsidRPr="00862272">
              <w:rPr>
                <w:rFonts w:eastAsia="Times New Roman"/>
                <w:b/>
                <w:bCs/>
                <w:color w:val="555555"/>
                <w:sz w:val="12"/>
                <w:szCs w:val="12"/>
                <w:vertAlign w:val="superscript"/>
                <w:lang w:eastAsia="de-CH"/>
              </w:rPr>
              <w:t>-1</w:t>
            </w:r>
            <w:r w:rsidRPr="00862272">
              <w:rPr>
                <w:rFonts w:eastAsia="Times New Roman"/>
                <w:color w:val="555555"/>
                <w:lang w:eastAsia="de-CH"/>
              </w:rPr>
              <w:t>)</w:t>
            </w:r>
          </w:p>
        </w:tc>
        <w:tc>
          <w:tcPr>
            <w:tcW w:w="975" w:type="dxa"/>
            <w:tcBorders>
              <w:top w:val="nil"/>
              <w:left w:val="nil"/>
              <w:bottom w:val="nil"/>
              <w:right w:val="nil"/>
            </w:tcBorders>
            <w:shd w:val="clear" w:color="auto" w:fill="auto"/>
            <w:noWrap/>
            <w:vAlign w:val="center"/>
            <w:hideMark/>
          </w:tcPr>
          <w:p w14:paraId="64FB2431" w14:textId="77777777" w:rsidR="00862272" w:rsidRPr="00862272" w:rsidRDefault="00862272" w:rsidP="00862272">
            <w:pPr>
              <w:spacing w:after="0" w:line="240" w:lineRule="auto"/>
              <w:rPr>
                <w:rFonts w:eastAsia="Times New Roman"/>
                <w:color w:val="000000"/>
                <w:lang w:val="de-CH" w:eastAsia="de-CH"/>
              </w:rPr>
            </w:pPr>
            <w:r w:rsidRPr="00862272">
              <w:rPr>
                <w:rFonts w:eastAsia="Times New Roman"/>
                <w:color w:val="000000"/>
                <w:lang w:val="de-CH" w:eastAsia="de-CH"/>
              </w:rPr>
              <w:t>0 - 3.48</w:t>
            </w:r>
          </w:p>
        </w:tc>
        <w:tc>
          <w:tcPr>
            <w:tcW w:w="1065" w:type="dxa"/>
            <w:tcBorders>
              <w:top w:val="nil"/>
              <w:left w:val="nil"/>
              <w:bottom w:val="nil"/>
              <w:right w:val="nil"/>
            </w:tcBorders>
            <w:shd w:val="clear" w:color="auto" w:fill="auto"/>
            <w:noWrap/>
            <w:vAlign w:val="center"/>
            <w:hideMark/>
          </w:tcPr>
          <w:p w14:paraId="11A84B30" w14:textId="77777777" w:rsidR="00862272" w:rsidRPr="00862272" w:rsidRDefault="00862272" w:rsidP="00862272">
            <w:pPr>
              <w:spacing w:after="0" w:line="240" w:lineRule="auto"/>
              <w:rPr>
                <w:rFonts w:eastAsia="Times New Roman"/>
                <w:color w:val="000000"/>
                <w:lang w:val="de-CH" w:eastAsia="de-CH"/>
              </w:rPr>
            </w:pPr>
            <w:r w:rsidRPr="00862272">
              <w:rPr>
                <w:rFonts w:eastAsia="Times New Roman"/>
                <w:color w:val="000000"/>
                <w:lang w:val="de-CH" w:eastAsia="de-CH"/>
              </w:rPr>
              <w:t>-0.12    </w:t>
            </w:r>
          </w:p>
        </w:tc>
        <w:tc>
          <w:tcPr>
            <w:tcW w:w="1196" w:type="dxa"/>
            <w:tcBorders>
              <w:top w:val="nil"/>
              <w:left w:val="nil"/>
              <w:bottom w:val="nil"/>
              <w:right w:val="nil"/>
            </w:tcBorders>
            <w:shd w:val="clear" w:color="auto" w:fill="auto"/>
            <w:noWrap/>
            <w:vAlign w:val="center"/>
            <w:hideMark/>
          </w:tcPr>
          <w:p w14:paraId="00592CAF" w14:textId="77777777" w:rsidR="00862272" w:rsidRPr="00862272" w:rsidRDefault="00862272" w:rsidP="00862272">
            <w:pPr>
              <w:spacing w:after="0" w:line="240" w:lineRule="auto"/>
              <w:rPr>
                <w:rFonts w:eastAsia="Times New Roman"/>
                <w:color w:val="000000"/>
                <w:lang w:val="de-CH" w:eastAsia="de-CH"/>
              </w:rPr>
            </w:pPr>
            <w:r w:rsidRPr="00862272">
              <w:rPr>
                <w:rFonts w:eastAsia="Times New Roman"/>
                <w:color w:val="000000"/>
                <w:lang w:val="de-CH" w:eastAsia="de-CH"/>
              </w:rPr>
              <w:t> 0.68*** </w:t>
            </w:r>
          </w:p>
        </w:tc>
        <w:tc>
          <w:tcPr>
            <w:tcW w:w="1278" w:type="dxa"/>
            <w:tcBorders>
              <w:top w:val="nil"/>
              <w:left w:val="nil"/>
              <w:bottom w:val="nil"/>
              <w:right w:val="nil"/>
            </w:tcBorders>
            <w:shd w:val="clear" w:color="auto" w:fill="auto"/>
            <w:noWrap/>
            <w:vAlign w:val="center"/>
            <w:hideMark/>
          </w:tcPr>
          <w:p w14:paraId="7813EA8C" w14:textId="77777777" w:rsidR="00862272" w:rsidRPr="00862272" w:rsidRDefault="00862272" w:rsidP="00862272">
            <w:pPr>
              <w:spacing w:after="0" w:line="240" w:lineRule="auto"/>
              <w:rPr>
                <w:rFonts w:eastAsia="Times New Roman"/>
                <w:color w:val="000000"/>
                <w:lang w:val="de-CH" w:eastAsia="de-CH"/>
              </w:rPr>
            </w:pPr>
            <w:r w:rsidRPr="00862272">
              <w:rPr>
                <w:rFonts w:eastAsia="Times New Roman"/>
                <w:color w:val="000000"/>
                <w:lang w:val="de-CH" w:eastAsia="de-CH"/>
              </w:rPr>
              <w:t> 0.92*** </w:t>
            </w:r>
          </w:p>
        </w:tc>
      </w:tr>
    </w:tbl>
    <w:p w14:paraId="7745DF89" w14:textId="77777777" w:rsidR="00CF3372" w:rsidRDefault="00CF3372" w:rsidP="006D7A80">
      <w:pPr>
        <w:jc w:val="both"/>
        <w:rPr>
          <w:b/>
          <w:bCs/>
        </w:rPr>
      </w:pPr>
    </w:p>
    <w:p w14:paraId="590D8D47" w14:textId="1E3BCD76" w:rsidR="006D7A80" w:rsidRPr="00573EB1" w:rsidRDefault="00A578C4" w:rsidP="006D7A80">
      <w:pPr>
        <w:jc w:val="both"/>
        <w:rPr>
          <w:b/>
          <w:bCs/>
        </w:rPr>
      </w:pPr>
      <w:r w:rsidRPr="00573EB1">
        <w:rPr>
          <w:b/>
          <w:bCs/>
        </w:rPr>
        <w:lastRenderedPageBreak/>
        <w:t xml:space="preserve">Appendix </w:t>
      </w:r>
      <w:r w:rsidR="004836CE">
        <w:rPr>
          <w:b/>
          <w:bCs/>
        </w:rPr>
        <w:t>A</w:t>
      </w:r>
      <w:r w:rsidR="006D7A80" w:rsidRPr="00573EB1">
        <w:rPr>
          <w:b/>
          <w:bCs/>
        </w:rPr>
        <w:t>:</w:t>
      </w:r>
    </w:p>
    <w:p w14:paraId="77F1BD99" w14:textId="1BB8DD10" w:rsidR="006D7A80" w:rsidRDefault="006D7A80" w:rsidP="006D7A80">
      <w:pPr>
        <w:jc w:val="both"/>
      </w:pPr>
      <w:r>
        <w:t xml:space="preserve">Assessment of crop diversity and crop cover, following </w:t>
      </w:r>
      <w:r>
        <w:fldChar w:fldCharType="begin" w:fldLock="1"/>
      </w:r>
      <w:r w:rsidR="00191D95">
        <w:instrText>ADDIN CSL_CITATION {"citationItems":[{"id":"ITEM-1","itemData":{"DOI":"10.1038/s43016-020-00210-8","abstract":"In natural ecosystems, positive effects of plant diversity on ecosystem functioning have been widely observed, yet whether this is true in cropping systems remains unclear. Here we assessed the impact of crop diversification on soil microbial diversity, soil multifunctionality (SMF) and crop yields in 155 cereal fields across a 3,000 km north–south European gradient. Overall, crop diversity showed a relatively minor effect on soil microbial diversity, SMF and yields. In contrast, the proportion of time with crop cover (including cash crops, cover crops or forage leys) during the past ten-year crop rotation had a much stronger impact. This suggests that increasing crop cover can enhance both yields and soil functioning, while also providing habitat for soil microorganisms. We found that SMF did not positively contribute to crop yields, highlighting that care must be taken to balance the provision of food with environmentally beneficial functions and services, since they do not always go hand in hand. System-level analysis on the effects of soil biodiversity on cropping system is lacking. Across conventionally managed European fields, the proportion of time with crop cover during the past ten-year rotation has a greater impact than crop diversity on soil microbial diversity, soil multifunctionality and crop yield.","author":[{"dropping-particle":"","family":"Garland","given":"Gina","non-dropping-particle":"","parse-names":false,"suffix":""},{"dropping-particle":"","family":"Edlinger","given":"Anna","non-dropping-particle":"","parse-names":false,"suffix":""},{"dropping-particle":"","family":"Banerjee","given":"Samiran","non-dropping-particle":"","parse-names":false,"suffix":""},{"dropping-particle":"","family":"Degrune","given":"Florine","non-dropping-particle":"","parse-names":false,"suffix":""},{"dropping-particle":"","family":"García-Palacios","given":"Pablo","non-dropping-particle":"","parse-names":false,"suffix":""},{"dropping-particle":"","family":"Pescador","given":"David S.","non-dropping-particle":"","parse-names":false,"suffix":""},{"dropping-particle":"","family":"Herzog","given":"Chantal","non-dropping-particle":"","parse-names":false,"suffix":""},{"dropping-particle":"","family":"Romdhane","given":"Sana","non-dropping-particle":"","parse-names":false,"suffix":""},{"dropping-particle":"","family":"Saghai","given":"Aurélien","non-dropping-particle":"","parse-names":false,"suffix":""},{"dropping-particle":"","family":"Spor","given":"Ayme","non-dropping-particle":"","parse-names":false,"suffix":""},{"dropping-particle":"","family":"Wagg","given":"Cameron","non-dropping-particle":"","parse-names":false,"suffix":""},{"dropping-particle":"","family":"Hallin","given":"Sara","non-dropping-particle":"","parse-names":false,"suffix":""},{"dropping-particle":"","family":"Maestre","given":"Fernando T.","non-dropping-particle":"","parse-names":false,"suffix":""},{"dropping-particle":"","family":"Philippot","given":"Laurent","non-dropping-particle":"","parse-names":false,"suffix":""},{"dropping-particle":"","family":"Rillig","given":"Matthias C.","non-dropping-particle":"","parse-names":false,"suffix":""},{"dropping-particle":"","family":"Heijden","given":"Marcel G. A.","non-dropping-particle":"van der","parse-names":false,"suffix":""}],"container-title":"Nature Food","id":"ITEM-1","issue":"1","issued":{"date-parts":[["2021","1"]]},"page":"28-37","publisher":"Springer Science and Business Media LLC","title":"Crop cover is more important than rotational diversity for soil multifunctionality and cereal yields in European cropping systems","type":"article-journal","volume":"2"},"uris":["http://www.mendeley.com/documents/?uuid=61dcdd3e-3936-4c86-be37-056cea7d65e5"]}],"mendeley":{"formattedCitation":"&lt;sup&gt;7&lt;/sup&gt;","manualFormatting":"Garland et al. (2021)","plainTextFormattedCitation":"7","previouslyFormattedCitation":"&lt;sup&gt;7&lt;/sup&gt;"},"properties":{"noteIndex":0},"schema":"https://github.com/citation-style-language/schema/raw/master/csl-citation.json"}</w:instrText>
      </w:r>
      <w:r>
        <w:fldChar w:fldCharType="separate"/>
      </w:r>
      <w:r w:rsidRPr="006D7A80">
        <w:rPr>
          <w:noProof/>
        </w:rPr>
        <w:t xml:space="preserve">Garland </w:t>
      </w:r>
      <w:r w:rsidRPr="006D7A80">
        <w:rPr>
          <w:i/>
          <w:noProof/>
        </w:rPr>
        <w:t>et al.</w:t>
      </w:r>
      <w:r w:rsidRPr="006D7A80">
        <w:rPr>
          <w:noProof/>
        </w:rPr>
        <w:t xml:space="preserve"> </w:t>
      </w:r>
      <w:r>
        <w:rPr>
          <w:noProof/>
        </w:rPr>
        <w:t>(</w:t>
      </w:r>
      <w:r w:rsidRPr="006D7A80">
        <w:rPr>
          <w:noProof/>
        </w:rPr>
        <w:t>2021)</w:t>
      </w:r>
      <w:r>
        <w:fldChar w:fldCharType="end"/>
      </w:r>
      <w:r w:rsidR="00191D95">
        <w:fldChar w:fldCharType="begin" w:fldLock="1"/>
      </w:r>
      <w:r w:rsidR="00191D95">
        <w:instrText>ADDIN CSL_CITATION {"citationItems":[{"id":"ITEM-1","itemData":{"DOI":"10.1038/s43016-020-00210-8","ISSN":"2662-1355","abstract":"In natural ecosystems, positive effects of plant diversity on ecosystem functioning have been widely observed, yet whether this is true in cropping systems remains unclear. Here we assessed the impact of crop diversification on soil microbial diversity, soil multifunctionality (SMF) and crop yields in 155 cereal fields across a 3,000 km north–south European gradient. Overall, crop diversity showed a relatively minor effect on soil microbial diversity, SMF and yields. In contrast, the proportion of time with crop cover (including cash crops, cover crops or forage leys) during the past ten-year crop rotation had a much stronger impact. This suggests that increasing crop cover can enhance both yields and soil functioning, while also providing habitat for soil microorganisms. We found that SMF did not positively contribute to crop yields, highlighting that care must be taken to balance the provision of food with environmentally beneficial functions and services, since they do not always go hand in hand. System-level analysis on the effects of soil biodiversity on cropping system is lacking. Across conventionally managed European fields, the proportion of time with crop cover during the past ten-year rotation has a greater impact than crop diversity on soil microbial diversity, soil multifunctionality and crop yield.","author":[{"dropping-particle":"","family":"Garland","given":"Gina","non-dropping-particle":"","parse-names":false,"suffix":""},{"dropping-particle":"","family":"Edlinger","given":"Anna","non-dropping-particle":"","parse-names":false,"suffix":""},{"dropping-particle":"","family":"Banerjee","given":"Samiran","non-dropping-particle":"","parse-names":false,"suffix":""},{"dropping-particle":"","family":"Degrune","given":"Florine","non-dropping-particle":"","parse-names":false,"suffix":""},{"dropping-particle":"","family":"García-Palacios","given":"Pablo","non-dropping-particle":"","parse-names":false,"suffix":""},{"dropping-particle":"","family":"Pescador","given":"David S.","non-dropping-particle":"","parse-names":false,"suffix":""},{"dropping-particle":"","family":"Herzog","given":"Chantal","non-dropping-particle":"","parse-names":false,"suffix":""},{"dropping-particle":"","family":"Romdhane","given":"Sana","non-dropping-particle":"","parse-names":false,"suffix":""},{"dropping-particle":"","family":"Saghai","given":"Aurélien","non-dropping-particle":"","parse-names":false,"suffix":""},{"dropping-particle":"","family":"Spor","given":"Ayme","non-dropping-particle":"","parse-names":false,"suffix":""},{"dropping-particle":"","family":"Wagg","given":"Cameron","non-dropping-particle":"","parse-names":false,"suffix":""},{"dropping-particle":"","family":"Hallin","given":"Sara","non-dropping-particle":"","parse-names":false,"suffix":""},{"dropping-particle":"","family":"Maestre","given":"Fernando T.","non-dropping-particle":"","parse-names":false,"suffix":""},{"dropping-particle":"","family":"Philippot","given":"Laurent","non-dropping-particle":"","parse-names":false,"suffix":""},{"dropping-particle":"","family":"Rillig","given":"Matthias C.","non-dropping-particle":"","parse-names":false,"suffix":""},{"dropping-particle":"","family":"Heijden","given":"Marcel G. A.","non-dropping-particle":"van der","parse-names":false,"suffix":""}],"container-title":"Nature Food","id":"ITEM-1","issue":"1","issued":{"date-parts":[["2021","1","13"]]},"page":"28-37","publisher":"Springer Science and Business Media LLC","title":"Crop cover is more important than rotational diversity for soil multifunctionality and cereal yields in European cropping systems","type":"article-journal","volume":"2"},"uris":["http://www.mendeley.com/documents/?uuid=8ca3fc6c-c0ce-39cb-939d-3ba38ce6ddd6"]}],"mendeley":{"formattedCitation":"&lt;sup&gt;8&lt;/sup&gt;","plainTextFormattedCitation":"8"},"properties":{"noteIndex":0},"schema":"https://github.com/citation-style-language/schema/raw/master/csl-citation.json"}</w:instrText>
      </w:r>
      <w:r w:rsidR="00191D95">
        <w:fldChar w:fldCharType="separate"/>
      </w:r>
      <w:r w:rsidR="00191D95" w:rsidRPr="00191D95">
        <w:rPr>
          <w:noProof/>
          <w:vertAlign w:val="superscript"/>
        </w:rPr>
        <w:t>8</w:t>
      </w:r>
      <w:r w:rsidR="00191D95">
        <w:fldChar w:fldCharType="end"/>
      </w:r>
      <w:r>
        <w:t>:</w:t>
      </w:r>
    </w:p>
    <w:p w14:paraId="10038A80" w14:textId="77777777" w:rsidR="006D7A80" w:rsidRDefault="006D7A80" w:rsidP="006D7A80">
      <w:pPr>
        <w:jc w:val="both"/>
      </w:pPr>
      <w:r>
        <w:t>Crop diversity was estimated using a Simpson diversity index (D</w:t>
      </w:r>
      <w:r w:rsidRPr="00791ADD">
        <w:rPr>
          <w:vertAlign w:val="subscript"/>
        </w:rPr>
        <w:t>2</w:t>
      </w:r>
      <w:r>
        <w:t xml:space="preserve">) following equation (1): </w:t>
      </w:r>
    </w:p>
    <w:tbl>
      <w:tblPr>
        <w:tblStyle w:val="EinfacheTabelle4"/>
        <w:tblW w:w="0" w:type="auto"/>
        <w:tblLook w:val="04A0" w:firstRow="1" w:lastRow="0" w:firstColumn="1" w:lastColumn="0" w:noHBand="0" w:noVBand="1"/>
      </w:tblPr>
      <w:tblGrid>
        <w:gridCol w:w="6658"/>
        <w:gridCol w:w="2402"/>
      </w:tblGrid>
      <w:tr w:rsidR="006D7A80" w14:paraId="791A3E4F" w14:textId="77777777" w:rsidTr="00C860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72E503F9" w14:textId="77777777" w:rsidR="006D7A80" w:rsidRPr="00870B29" w:rsidRDefault="00C860C9" w:rsidP="00C860C9">
            <w:pPr>
              <w:jc w:val="both"/>
              <w:rPr>
                <w:b w:val="0"/>
                <w:bCs w:val="0"/>
              </w:rPr>
            </w:pPr>
            <m:oMathPara>
              <m:oMath>
                <m:sSub>
                  <m:sSubPr>
                    <m:ctrlPr>
                      <w:rPr>
                        <w:rFonts w:ascii="Cambria Math" w:hAnsi="Cambria Math"/>
                        <w:b w:val="0"/>
                        <w:bCs w:val="0"/>
                        <w:i/>
                        <w:shd w:val="clear" w:color="auto" w:fill="FFFFFF"/>
                      </w:rPr>
                    </m:ctrlPr>
                  </m:sSubPr>
                  <m:e>
                    <m:r>
                      <m:rPr>
                        <m:sty m:val="bi"/>
                      </m:rPr>
                      <w:rPr>
                        <w:rFonts w:ascii="Cambria Math" w:hAnsi="Cambria Math"/>
                        <w:shd w:val="clear" w:color="auto" w:fill="FFFFFF"/>
                      </w:rPr>
                      <m:t>D</m:t>
                    </m:r>
                  </m:e>
                  <m:sub>
                    <m:r>
                      <m:rPr>
                        <m:sty m:val="bi"/>
                      </m:rPr>
                      <w:rPr>
                        <w:rFonts w:ascii="Cambria Math" w:hAnsi="Cambria Math"/>
                        <w:shd w:val="clear" w:color="auto" w:fill="FFFFFF"/>
                      </w:rPr>
                      <m:t>2</m:t>
                    </m:r>
                  </m:sub>
                </m:sSub>
                <m:r>
                  <m:rPr>
                    <m:sty m:val="bi"/>
                  </m:rPr>
                  <w:rPr>
                    <w:rFonts w:ascii="Cambria Math" w:hAnsi="Cambria Math"/>
                    <w:shd w:val="clear" w:color="auto" w:fill="FFFFFF"/>
                  </w:rPr>
                  <m:t xml:space="preserve">= </m:t>
                </m:r>
                <m:f>
                  <m:fPr>
                    <m:ctrlPr>
                      <w:rPr>
                        <w:rFonts w:ascii="Cambria Math" w:hAnsi="Cambria Math"/>
                        <w:b w:val="0"/>
                        <w:bCs w:val="0"/>
                        <w:i/>
                        <w:shd w:val="clear" w:color="auto" w:fill="FFFFFF"/>
                      </w:rPr>
                    </m:ctrlPr>
                  </m:fPr>
                  <m:num>
                    <m:r>
                      <m:rPr>
                        <m:sty m:val="bi"/>
                      </m:rPr>
                      <w:rPr>
                        <w:rFonts w:ascii="Cambria Math" w:hAnsi="Cambria Math"/>
                        <w:shd w:val="clear" w:color="auto" w:fill="FFFFFF"/>
                      </w:rPr>
                      <m:t>1</m:t>
                    </m:r>
                  </m:num>
                  <m:den>
                    <m:nary>
                      <m:naryPr>
                        <m:chr m:val="∑"/>
                        <m:limLoc m:val="undOvr"/>
                        <m:ctrlPr>
                          <w:rPr>
                            <w:rFonts w:ascii="Cambria Math" w:hAnsi="Cambria Math"/>
                            <w:b w:val="0"/>
                            <w:bCs w:val="0"/>
                            <w:shd w:val="clear" w:color="auto" w:fill="FFFFFF"/>
                          </w:rPr>
                        </m:ctrlPr>
                      </m:naryPr>
                      <m:sub>
                        <m:r>
                          <m:rPr>
                            <m:sty m:val="bi"/>
                          </m:rPr>
                          <w:rPr>
                            <w:rFonts w:ascii="Cambria Math" w:hAnsi="Cambria Math"/>
                            <w:shd w:val="clear" w:color="auto" w:fill="FFFFFF"/>
                          </w:rPr>
                          <m:t>i</m:t>
                        </m:r>
                        <m:r>
                          <m:rPr>
                            <m:sty m:val="b"/>
                          </m:rPr>
                          <w:rPr>
                            <w:rFonts w:ascii="Cambria Math" w:hAnsi="Cambria Math"/>
                            <w:shd w:val="clear" w:color="auto" w:fill="FFFFFF"/>
                          </w:rPr>
                          <m:t>=1</m:t>
                        </m:r>
                      </m:sub>
                      <m:sup>
                        <m:r>
                          <m:rPr>
                            <m:sty m:val="bi"/>
                          </m:rPr>
                          <w:rPr>
                            <w:rFonts w:ascii="Cambria Math" w:hAnsi="Cambria Math"/>
                            <w:shd w:val="clear" w:color="auto" w:fill="FFFFFF"/>
                          </w:rPr>
                          <m:t>S</m:t>
                        </m:r>
                      </m:sup>
                      <m:e>
                        <m:sSup>
                          <m:sSupPr>
                            <m:ctrlPr>
                              <w:rPr>
                                <w:rFonts w:ascii="Cambria Math" w:hAnsi="Cambria Math"/>
                                <w:b w:val="0"/>
                                <w:bCs w:val="0"/>
                                <w:i/>
                                <w:shd w:val="clear" w:color="auto" w:fill="FFFFFF"/>
                              </w:rPr>
                            </m:ctrlPr>
                          </m:sSupPr>
                          <m:e>
                            <m:sSub>
                              <m:sSubPr>
                                <m:ctrlPr>
                                  <w:rPr>
                                    <w:rFonts w:ascii="Cambria Math" w:hAnsi="Cambria Math"/>
                                    <w:b w:val="0"/>
                                    <w:bCs w:val="0"/>
                                    <w:shd w:val="clear" w:color="auto" w:fill="FFFFFF"/>
                                  </w:rPr>
                                </m:ctrlPr>
                              </m:sSubPr>
                              <m:e>
                                <m:r>
                                  <m:rPr>
                                    <m:sty m:val="bi"/>
                                  </m:rPr>
                                  <w:rPr>
                                    <w:rFonts w:ascii="Cambria Math" w:hAnsi="Cambria Math"/>
                                    <w:shd w:val="clear" w:color="auto" w:fill="FFFFFF"/>
                                  </w:rPr>
                                  <m:t>p</m:t>
                                </m:r>
                              </m:e>
                              <m:sub>
                                <m:r>
                                  <m:rPr>
                                    <m:sty m:val="bi"/>
                                  </m:rPr>
                                  <w:rPr>
                                    <w:rFonts w:ascii="Cambria Math" w:hAnsi="Cambria Math"/>
                                    <w:shd w:val="clear" w:color="auto" w:fill="FFFFFF"/>
                                  </w:rPr>
                                  <m:t>i</m:t>
                                </m:r>
                                <m:r>
                                  <m:rPr>
                                    <m:sty m:val="b"/>
                                  </m:rPr>
                                  <w:rPr>
                                    <w:rFonts w:ascii="Cambria Math" w:hAnsi="Cambria Math"/>
                                    <w:shd w:val="clear" w:color="auto" w:fill="FFFFFF"/>
                                  </w:rPr>
                                  <m:t xml:space="preserve"> </m:t>
                                </m:r>
                              </m:sub>
                            </m:sSub>
                          </m:e>
                          <m:sup>
                            <m:r>
                              <m:rPr>
                                <m:sty m:val="bi"/>
                              </m:rPr>
                              <w:rPr>
                                <w:rFonts w:ascii="Cambria Math" w:hAnsi="Cambria Math"/>
                                <w:shd w:val="clear" w:color="auto" w:fill="FFFFFF"/>
                              </w:rPr>
                              <m:t>2</m:t>
                            </m:r>
                          </m:sup>
                        </m:sSup>
                      </m:e>
                    </m:nary>
                  </m:den>
                </m:f>
              </m:oMath>
            </m:oMathPara>
          </w:p>
        </w:tc>
        <w:tc>
          <w:tcPr>
            <w:tcW w:w="2402" w:type="dxa"/>
            <w:vAlign w:val="center"/>
          </w:tcPr>
          <w:p w14:paraId="56D65F7E" w14:textId="77777777" w:rsidR="006D7A80" w:rsidRPr="00244162" w:rsidRDefault="006D7A80" w:rsidP="00C860C9">
            <w:pPr>
              <w:pStyle w:val="Beschriftung"/>
              <w:jc w:val="center"/>
              <w:cnfStyle w:val="100000000000" w:firstRow="1" w:lastRow="0" w:firstColumn="0" w:lastColumn="0" w:oddVBand="0" w:evenVBand="0" w:oddHBand="0" w:evenHBand="0" w:firstRowFirstColumn="0" w:firstRowLastColumn="0" w:lastRowFirstColumn="0" w:lastRowLastColumn="0"/>
              <w:rPr>
                <w:b w:val="0"/>
                <w:bCs w:val="0"/>
                <w:i w:val="0"/>
                <w:iCs w:val="0"/>
                <w:sz w:val="22"/>
                <w:szCs w:val="22"/>
              </w:rPr>
            </w:pPr>
            <w:r w:rsidRPr="00244162">
              <w:rPr>
                <w:b w:val="0"/>
                <w:bCs w:val="0"/>
                <w:i w:val="0"/>
                <w:iCs w:val="0"/>
                <w:color w:val="auto"/>
                <w:sz w:val="22"/>
                <w:szCs w:val="22"/>
              </w:rPr>
              <w:t>Eq. (</w:t>
            </w:r>
            <w:r w:rsidRPr="00870B29">
              <w:rPr>
                <w:b w:val="0"/>
                <w:bCs w:val="0"/>
                <w:i w:val="0"/>
                <w:iCs w:val="0"/>
                <w:color w:val="auto"/>
                <w:sz w:val="22"/>
                <w:szCs w:val="22"/>
              </w:rPr>
              <w:t>1)</w:t>
            </w:r>
          </w:p>
        </w:tc>
      </w:tr>
    </w:tbl>
    <w:p w14:paraId="51726548" w14:textId="77777777" w:rsidR="00E65A55" w:rsidRDefault="00E65A55" w:rsidP="006D7A80">
      <w:pPr>
        <w:jc w:val="both"/>
      </w:pPr>
    </w:p>
    <w:p w14:paraId="5AB2F7BB" w14:textId="301C86F6" w:rsidR="006D7A80" w:rsidRDefault="006D7A80" w:rsidP="006D7A80">
      <w:pPr>
        <w:jc w:val="both"/>
      </w:pPr>
      <w:r>
        <w:t>Where S is the number of species cultivated in each site across the last ten years since the field sampling and p</w:t>
      </w:r>
      <w:r w:rsidRPr="000465C6">
        <w:rPr>
          <w:vertAlign w:val="subscript"/>
        </w:rPr>
        <w:t xml:space="preserve">i </w:t>
      </w:r>
      <w:r>
        <w:t xml:space="preserve">is the proportional abundance across the time for the crop species i. Proportional abundance across the time was estimated by using the equation (2): </w:t>
      </w:r>
    </w:p>
    <w:tbl>
      <w:tblPr>
        <w:tblStyle w:val="EinfacheTabelle4"/>
        <w:tblW w:w="0" w:type="auto"/>
        <w:tblLook w:val="04A0" w:firstRow="1" w:lastRow="0" w:firstColumn="1" w:lastColumn="0" w:noHBand="0" w:noVBand="1"/>
      </w:tblPr>
      <w:tblGrid>
        <w:gridCol w:w="6658"/>
        <w:gridCol w:w="2402"/>
      </w:tblGrid>
      <w:tr w:rsidR="006D7A80" w14:paraId="7F9F3705" w14:textId="77777777" w:rsidTr="00C860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1ED69BAD" w14:textId="77777777" w:rsidR="006D7A80" w:rsidRPr="00870B29" w:rsidRDefault="00C860C9" w:rsidP="00C860C9">
            <w:pPr>
              <w:jc w:val="both"/>
              <w:rPr>
                <w:b w:val="0"/>
                <w:bCs w:val="0"/>
              </w:rPr>
            </w:pPr>
            <m:oMathPara>
              <m:oMath>
                <m:sSub>
                  <m:sSubPr>
                    <m:ctrlPr>
                      <w:rPr>
                        <w:rFonts w:ascii="Cambria Math" w:hAnsi="Cambria Math"/>
                        <w:b w:val="0"/>
                        <w:bCs w:val="0"/>
                        <w:shd w:val="clear" w:color="auto" w:fill="FFFFFF"/>
                      </w:rPr>
                    </m:ctrlPr>
                  </m:sSubPr>
                  <m:e>
                    <m:r>
                      <m:rPr>
                        <m:sty m:val="bi"/>
                      </m:rPr>
                      <w:rPr>
                        <w:rFonts w:ascii="Cambria Math" w:hAnsi="Cambria Math"/>
                        <w:shd w:val="clear" w:color="auto" w:fill="FFFFFF"/>
                      </w:rPr>
                      <m:t>p</m:t>
                    </m:r>
                  </m:e>
                  <m:sub>
                    <m:r>
                      <m:rPr>
                        <m:sty m:val="bi"/>
                      </m:rPr>
                      <w:rPr>
                        <w:rFonts w:ascii="Cambria Math" w:hAnsi="Cambria Math"/>
                        <w:shd w:val="clear" w:color="auto" w:fill="FFFFFF"/>
                      </w:rPr>
                      <m:t>i</m:t>
                    </m:r>
                  </m:sub>
                </m:sSub>
                <m:r>
                  <m:rPr>
                    <m:sty m:val="b"/>
                  </m:rPr>
                  <w:rPr>
                    <w:rFonts w:ascii="Cambria Math" w:hAnsi="Cambria Math"/>
                    <w:shd w:val="clear" w:color="auto" w:fill="FFFFFF"/>
                  </w:rPr>
                  <m:t>=</m:t>
                </m:r>
                <m:f>
                  <m:fPr>
                    <m:ctrlPr>
                      <w:rPr>
                        <w:rFonts w:ascii="Cambria Math" w:hAnsi="Cambria Math"/>
                        <w:b w:val="0"/>
                        <w:bCs w:val="0"/>
                        <w:shd w:val="clear" w:color="auto" w:fill="FFFFFF"/>
                      </w:rPr>
                    </m:ctrlPr>
                  </m:fPr>
                  <m:num>
                    <m:nary>
                      <m:naryPr>
                        <m:chr m:val="∑"/>
                        <m:limLoc m:val="undOvr"/>
                        <m:ctrlPr>
                          <w:rPr>
                            <w:rFonts w:ascii="Cambria Math" w:hAnsi="Cambria Math"/>
                            <w:b w:val="0"/>
                            <w:bCs w:val="0"/>
                            <w:shd w:val="clear" w:color="auto" w:fill="FFFFFF"/>
                          </w:rPr>
                        </m:ctrlPr>
                      </m:naryPr>
                      <m:sub>
                        <m:r>
                          <m:rPr>
                            <m:sty m:val="bi"/>
                          </m:rPr>
                          <w:rPr>
                            <w:rFonts w:ascii="Cambria Math" w:hAnsi="Cambria Math"/>
                            <w:shd w:val="clear" w:color="auto" w:fill="FFFFFF"/>
                          </w:rPr>
                          <m:t>j</m:t>
                        </m:r>
                        <m:r>
                          <m:rPr>
                            <m:sty m:val="b"/>
                          </m:rPr>
                          <w:rPr>
                            <w:rFonts w:ascii="Cambria Math" w:hAnsi="Cambria Math"/>
                            <w:shd w:val="clear" w:color="auto" w:fill="FFFFFF"/>
                          </w:rPr>
                          <m:t>=1</m:t>
                        </m:r>
                      </m:sub>
                      <m:sup>
                        <m:r>
                          <m:rPr>
                            <m:sty m:val="bi"/>
                          </m:rPr>
                          <w:rPr>
                            <w:rFonts w:ascii="Cambria Math" w:hAnsi="Cambria Math"/>
                            <w:shd w:val="clear" w:color="auto" w:fill="FFFFFF"/>
                          </w:rPr>
                          <m:t>P</m:t>
                        </m:r>
                      </m:sup>
                      <m:e>
                        <m:sSub>
                          <m:sSubPr>
                            <m:ctrlPr>
                              <w:rPr>
                                <w:rFonts w:ascii="Cambria Math" w:hAnsi="Cambria Math"/>
                                <w:b w:val="0"/>
                                <w:bCs w:val="0"/>
                                <w:shd w:val="clear" w:color="auto" w:fill="FFFFFF"/>
                              </w:rPr>
                            </m:ctrlPr>
                          </m:sSubPr>
                          <m:e>
                            <m:r>
                              <m:rPr>
                                <m:sty m:val="bi"/>
                              </m:rPr>
                              <w:rPr>
                                <w:rFonts w:ascii="Cambria Math" w:hAnsi="Cambria Math"/>
                                <w:shd w:val="clear" w:color="auto" w:fill="FFFFFF"/>
                              </w:rPr>
                              <m:t>cover</m:t>
                            </m:r>
                          </m:e>
                          <m:sub>
                            <m:r>
                              <m:rPr>
                                <m:sty m:val="bi"/>
                              </m:rPr>
                              <w:rPr>
                                <w:rFonts w:ascii="Cambria Math" w:hAnsi="Cambria Math"/>
                                <w:shd w:val="clear" w:color="auto" w:fill="FFFFFF"/>
                              </w:rPr>
                              <m:t>ij</m:t>
                            </m:r>
                            <m:r>
                              <m:rPr>
                                <m:sty m:val="b"/>
                              </m:rPr>
                              <w:rPr>
                                <w:rFonts w:ascii="Cambria Math" w:hAnsi="Cambria Math"/>
                                <w:shd w:val="clear" w:color="auto" w:fill="FFFFFF"/>
                              </w:rPr>
                              <m:t xml:space="preserve"> </m:t>
                            </m:r>
                          </m:sub>
                        </m:sSub>
                        <m:sSub>
                          <m:sSubPr>
                            <m:ctrlPr>
                              <w:rPr>
                                <w:rFonts w:ascii="Cambria Math" w:hAnsi="Cambria Math"/>
                                <w:b w:val="0"/>
                                <w:bCs w:val="0"/>
                                <w:shd w:val="clear" w:color="auto" w:fill="FFFFFF"/>
                              </w:rPr>
                            </m:ctrlPr>
                          </m:sSubPr>
                          <m:e>
                            <m:r>
                              <m:rPr>
                                <m:sty m:val="bi"/>
                              </m:rPr>
                              <w:rPr>
                                <w:rFonts w:ascii="Cambria Math" w:hAnsi="Cambria Math"/>
                                <w:shd w:val="clear" w:color="auto" w:fill="FFFFFF"/>
                              </w:rPr>
                              <m:t>M</m:t>
                            </m:r>
                          </m:e>
                          <m:sub>
                            <m:r>
                              <m:rPr>
                                <m:sty m:val="bi"/>
                              </m:rPr>
                              <w:rPr>
                                <w:rFonts w:ascii="Cambria Math" w:hAnsi="Cambria Math"/>
                                <w:shd w:val="clear" w:color="auto" w:fill="FFFFFF"/>
                              </w:rPr>
                              <m:t>ij</m:t>
                            </m:r>
                          </m:sub>
                        </m:sSub>
                      </m:e>
                    </m:nary>
                  </m:num>
                  <m:den>
                    <m:sSub>
                      <m:sSubPr>
                        <m:ctrlPr>
                          <w:rPr>
                            <w:rFonts w:ascii="Cambria Math" w:hAnsi="Cambria Math"/>
                            <w:b w:val="0"/>
                            <w:bCs w:val="0"/>
                            <w:shd w:val="clear" w:color="auto" w:fill="FFFFFF"/>
                          </w:rPr>
                        </m:ctrlPr>
                      </m:sSubPr>
                      <m:e>
                        <m:r>
                          <m:rPr>
                            <m:sty m:val="bi"/>
                          </m:rPr>
                          <w:rPr>
                            <w:rFonts w:ascii="Cambria Math" w:hAnsi="Cambria Math"/>
                            <w:shd w:val="clear" w:color="auto" w:fill="FFFFFF"/>
                          </w:rPr>
                          <m:t>M</m:t>
                        </m:r>
                      </m:e>
                      <m:sub>
                        <m:r>
                          <m:rPr>
                            <m:sty m:val="bi"/>
                          </m:rPr>
                          <w:rPr>
                            <w:rFonts w:ascii="Cambria Math" w:hAnsi="Cambria Math"/>
                            <w:shd w:val="clear" w:color="auto" w:fill="FFFFFF"/>
                          </w:rPr>
                          <m:t>t</m:t>
                        </m:r>
                      </m:sub>
                    </m:sSub>
                  </m:den>
                </m:f>
              </m:oMath>
            </m:oMathPara>
          </w:p>
        </w:tc>
        <w:tc>
          <w:tcPr>
            <w:tcW w:w="2402" w:type="dxa"/>
            <w:vAlign w:val="center"/>
          </w:tcPr>
          <w:p w14:paraId="2A1EEE0D" w14:textId="77777777" w:rsidR="006D7A80" w:rsidRPr="00244162" w:rsidRDefault="006D7A80" w:rsidP="00C860C9">
            <w:pPr>
              <w:pStyle w:val="Beschriftung"/>
              <w:jc w:val="center"/>
              <w:cnfStyle w:val="100000000000" w:firstRow="1" w:lastRow="0" w:firstColumn="0" w:lastColumn="0" w:oddVBand="0" w:evenVBand="0" w:oddHBand="0" w:evenHBand="0" w:firstRowFirstColumn="0" w:firstRowLastColumn="0" w:lastRowFirstColumn="0" w:lastRowLastColumn="0"/>
              <w:rPr>
                <w:b w:val="0"/>
                <w:bCs w:val="0"/>
                <w:i w:val="0"/>
                <w:iCs w:val="0"/>
                <w:color w:val="auto"/>
                <w:sz w:val="22"/>
                <w:szCs w:val="22"/>
              </w:rPr>
            </w:pPr>
            <w:r w:rsidRPr="00244162">
              <w:rPr>
                <w:b w:val="0"/>
                <w:bCs w:val="0"/>
                <w:i w:val="0"/>
                <w:iCs w:val="0"/>
                <w:color w:val="auto"/>
                <w:sz w:val="22"/>
                <w:szCs w:val="22"/>
              </w:rPr>
              <w:t>Eq. (</w:t>
            </w:r>
            <w:r w:rsidRPr="00870B29">
              <w:rPr>
                <w:b w:val="0"/>
                <w:bCs w:val="0"/>
                <w:i w:val="0"/>
                <w:iCs w:val="0"/>
                <w:color w:val="auto"/>
                <w:sz w:val="22"/>
                <w:szCs w:val="22"/>
              </w:rPr>
              <w:t>2</w:t>
            </w:r>
            <w:r w:rsidRPr="00244162">
              <w:rPr>
                <w:b w:val="0"/>
                <w:bCs w:val="0"/>
                <w:i w:val="0"/>
                <w:iCs w:val="0"/>
                <w:color w:val="auto"/>
                <w:sz w:val="22"/>
                <w:szCs w:val="22"/>
              </w:rPr>
              <w:t>)</w:t>
            </w:r>
          </w:p>
        </w:tc>
      </w:tr>
    </w:tbl>
    <w:p w14:paraId="1A0EB3E7" w14:textId="77777777" w:rsidR="006D7A80" w:rsidRPr="0041385E" w:rsidRDefault="006D7A80" w:rsidP="006D7A80">
      <w:pPr>
        <w:jc w:val="both"/>
        <w:rPr>
          <w:color w:val="000000"/>
          <w:shd w:val="clear" w:color="auto" w:fill="FFFFFF"/>
        </w:rPr>
      </w:pPr>
    </w:p>
    <w:p w14:paraId="41186CC6" w14:textId="77777777" w:rsidR="006D7A80" w:rsidRDefault="006D7A80" w:rsidP="006D7A80">
      <w:pPr>
        <w:jc w:val="both"/>
      </w:pPr>
      <w:r>
        <w:t>Where cover</w:t>
      </w:r>
      <w:r w:rsidRPr="000465C6">
        <w:rPr>
          <w:vertAlign w:val="subscript"/>
        </w:rPr>
        <w:t>ij</w:t>
      </w:r>
      <w:r>
        <w:rPr>
          <w:rFonts w:ascii="Cambria Math" w:eastAsia="Cambria Math" w:hAnsi="Cambria Math" w:cs="Cambria Math" w:hint="eastAsia"/>
        </w:rPr>
        <w:t xml:space="preserve"> </w:t>
      </w:r>
      <w:r>
        <w:t>represents the annual proportional abundance of the crop species i in the year j, M</w:t>
      </w:r>
      <w:r w:rsidRPr="00E52CC4">
        <w:rPr>
          <w:vertAlign w:val="subscript"/>
        </w:rPr>
        <w:t>ij</w:t>
      </w:r>
      <w:r>
        <w:t xml:space="preserve"> the number of months in the year j with the species i presents in the field and M</w:t>
      </w:r>
      <w:r w:rsidRPr="00E52CC4">
        <w:rPr>
          <w:vertAlign w:val="subscript"/>
        </w:rPr>
        <w:t>t</w:t>
      </w:r>
      <w:r>
        <w:t xml:space="preserve"> the number of total months in the last ten years since the sampling (</w:t>
      </w:r>
      <w:r w:rsidRPr="00E52CC4">
        <w:rPr>
          <w:i/>
          <w:iCs/>
        </w:rPr>
        <w:t>i.e</w:t>
      </w:r>
      <w:r>
        <w:t>., 120 months). The annual proportional abundance of each crop species was one when the species was cultivated alone (we assumed that it covered 100% of the field) or less than one when the species was cultivated as a mixed crop, being this value equivalent to the seed mass ratio present in the commercial mix used by the farmer.</w:t>
      </w:r>
    </w:p>
    <w:p w14:paraId="3424017B" w14:textId="47B34BA5" w:rsidR="004836CE" w:rsidRPr="00CF3372" w:rsidRDefault="006D7A80" w:rsidP="004836CE">
      <w:pPr>
        <w:jc w:val="both"/>
      </w:pPr>
      <w:r>
        <w:t xml:space="preserve">The proportion of crop cover was defined as the number of months with plant cover divided by the total number of months in the crop rotation period. This estimate reflects the amount of time the soil was with a living plant cover, irrespective of plant type. </w:t>
      </w:r>
    </w:p>
    <w:p w14:paraId="5556BC19" w14:textId="77777777" w:rsidR="00CF3372" w:rsidRDefault="00CF3372" w:rsidP="004836CE">
      <w:pPr>
        <w:jc w:val="both"/>
        <w:rPr>
          <w:b/>
          <w:bCs/>
        </w:rPr>
      </w:pPr>
    </w:p>
    <w:p w14:paraId="53D4A1AD" w14:textId="77777777" w:rsidR="00E65A55" w:rsidRDefault="00E65A55" w:rsidP="004836CE">
      <w:pPr>
        <w:jc w:val="both"/>
        <w:rPr>
          <w:b/>
          <w:bCs/>
        </w:rPr>
      </w:pPr>
    </w:p>
    <w:p w14:paraId="645990FE" w14:textId="1582BE8B" w:rsidR="004836CE" w:rsidRDefault="004836CE" w:rsidP="004836CE">
      <w:pPr>
        <w:jc w:val="both"/>
        <w:rPr>
          <w:b/>
          <w:bCs/>
        </w:rPr>
      </w:pPr>
      <w:r>
        <w:rPr>
          <w:b/>
          <w:bCs/>
        </w:rPr>
        <w:t>Appendix B</w:t>
      </w:r>
    </w:p>
    <w:p w14:paraId="5B1C3AC9" w14:textId="77777777" w:rsidR="004836CE" w:rsidRPr="004A4EEE" w:rsidRDefault="004836CE" w:rsidP="004836CE">
      <w:r>
        <w:t xml:space="preserve">To assess AMF root colonization, </w:t>
      </w:r>
      <w:r w:rsidRPr="00E97732">
        <w:rPr>
          <w:i/>
          <w:iCs/>
        </w:rPr>
        <w:t>P. lanceolata</w:t>
      </w:r>
      <w:r w:rsidRPr="004A4EEE">
        <w:t xml:space="preserve"> roots were washed with deionized water after harvest, cut and stored in falcon tubes with 70% EtOH solution.</w:t>
      </w:r>
      <w:r>
        <w:t xml:space="preserve"> To estimate the </w:t>
      </w:r>
      <w:r w:rsidRPr="00602B6D">
        <w:t>percentage of root colonization by AMF we followed the procedure of</w:t>
      </w:r>
      <w:r>
        <w:t xml:space="preserve"> </w:t>
      </w:r>
      <w:r w:rsidRPr="00AE3585">
        <w:t>Vierheilig et al. (1998)</w:t>
      </w:r>
      <w:r>
        <w:fldChar w:fldCharType="begin" w:fldLock="1"/>
      </w:r>
      <w:r>
        <w:instrText>ADDIN CSL_CITATION {"citationItems":[{"id":"ITEM-1","itemData":{"DOI":"10.1128/AEM.64.12.5004-5007.1998","ISSN":"0099-2240","PMID":"9835596","abstract":"We developed a reliable, inexpensive, and simple method for staining arbuscular-mycorrhizal fungal colonizations in root tissues. Apart from applications in research, this nontoxic, high-quality staining method also could be of great utility in teaching exercises. After adequate clearing with KOH, an ink-vinegar solution successfully stained all fungal structures, rendering them clearly visible.","author":[{"dropping-particle":"","family":"Vierheilig","given":"Horst","non-dropping-particle":"","parse-names":false,"suffix":""},{"dropping-particle":"","family":"Coughlan","given":"Andrew P.","non-dropping-particle":"","parse-names":false,"suffix":""},{"dropping-particle":"","family":"Wyss","given":"Urs","non-dropping-particle":"","parse-names":false,"suffix":""},{"dropping-particle":"","family":"Piché","given":"Yves","non-dropping-particle":"","parse-names":false,"suffix":""}],"container-title":"Applied and Environmental Microbiology","id":"ITEM-1","issue":"12","issued":{"date-parts":[["1998","12"]]},"page":"5004-5007","title":"Ink and Vinegar, a Simple Staining Technique for Arbuscular-Mycorrhizal Fungi","type":"article-journal","volume":"64"},"uris":["http://www.mendeley.com/documents/?uuid=f24995b7-be2f-4461-8136-69ba1449d586"]}],"mendeley":{"formattedCitation":"&lt;sup&gt;1&lt;/sup&gt;","plainTextFormattedCitation":"1","previouslyFormattedCitation":"&lt;sup&gt;1&lt;/sup&gt;"},"properties":{"noteIndex":0},"schema":"https://github.com/citation-style-language/schema/raw/master/csl-citation.json"}</w:instrText>
      </w:r>
      <w:r>
        <w:fldChar w:fldCharType="separate"/>
      </w:r>
      <w:r w:rsidRPr="00AE3585">
        <w:rPr>
          <w:noProof/>
          <w:vertAlign w:val="superscript"/>
        </w:rPr>
        <w:t>1</w:t>
      </w:r>
      <w:r>
        <w:fldChar w:fldCharType="end"/>
      </w:r>
      <w:r w:rsidRPr="00602B6D">
        <w:t>. In brief, roots were cleared in 10% KOH in a water bath at 80 C° for 30 min and stained with a 5% ink-vinegar solution for 40 min. Roots were prepared on a microscopy slide and colonization was measured with a light microscope at a magnification of x 200 using a modified line-intersection method for a hundred intersections per sample</w:t>
      </w:r>
      <w:r>
        <w:t xml:space="preserve"> </w:t>
      </w:r>
      <w:r w:rsidRPr="00AE3585">
        <w:t>(McGonigle et al., 1990)</w:t>
      </w:r>
      <w:r>
        <w:fldChar w:fldCharType="begin" w:fldLock="1"/>
      </w:r>
      <w:r>
        <w:instrText>ADDIN CSL_CITATION {"citationItems":[{"id":"ITEM-1","itemData":{"DOI":"10.1111/j.1469-8137.1990.tb00476.x","ISSN":"0028-646X","author":[{"dropping-particle":"","family":"McGonigle","given":"T. P.","non-dropping-particle":"","parse-names":false,"suffix":""},{"dropping-particle":"","family":"Miller","given":"M. H.","non-dropping-particle":"","parse-names":false,"suffix":""},{"dropping-particle":"","family":"Evans","given":"D. G.","non-dropping-particle":"","parse-names":false,"suffix":""},{"dropping-particle":"","family":"Fairchild","given":"G. L.","non-dropping-particle":"","parse-names":false,"suffix":""},{"dropping-particle":"","family":"Swan","given":"J. A.","non-dropping-particle":"","parse-names":false,"suffix":""}],"container-title":"New Phytologist","id":"ITEM-1","issue":"3","issued":{"date-parts":[["1990","7","28"]]},"page":"495-501","title":"A new method which gives an objective measure of colonization of roots by vesicular—arbuscular mycorrhizal fungi","type":"article-journal","volume":"115"},"uris":["http://www.mendeley.com/documents/?uuid=06e9d1c6-d4e5-4b69-87a7-2c376f0f581b"]}],"mendeley":{"formattedCitation":"&lt;sup&gt;2&lt;/sup&gt;","plainTextFormattedCitation":"2","previouslyFormattedCitation":"&lt;sup&gt;2&lt;/sup&gt;"},"properties":{"noteIndex":0},"schema":"https://github.com/citation-style-language/schema/raw/master/csl-citation.json"}</w:instrText>
      </w:r>
      <w:r>
        <w:fldChar w:fldCharType="separate"/>
      </w:r>
      <w:r w:rsidRPr="00AE3585">
        <w:rPr>
          <w:noProof/>
          <w:vertAlign w:val="superscript"/>
        </w:rPr>
        <w:t>2</w:t>
      </w:r>
      <w:r>
        <w:fldChar w:fldCharType="end"/>
      </w:r>
      <w:r w:rsidRPr="00602B6D">
        <w:t>.</w:t>
      </w:r>
    </w:p>
    <w:p w14:paraId="65081B0B" w14:textId="18A2818A" w:rsidR="004836CE" w:rsidRDefault="004836CE" w:rsidP="004836CE">
      <w:r>
        <w:lastRenderedPageBreak/>
        <w:t xml:space="preserve">For quantification of AMF in the hyphal compartment using qPCR, </w:t>
      </w:r>
      <w:r w:rsidRPr="004A4EEE">
        <w:t xml:space="preserve">DNA </w:t>
      </w:r>
      <w:r>
        <w:t xml:space="preserve">was extracted from </w:t>
      </w:r>
      <w:r w:rsidRPr="004A4EEE">
        <w:t xml:space="preserve">400mg of the frozen </w:t>
      </w:r>
      <w:r>
        <w:t xml:space="preserve">(-80 °C) </w:t>
      </w:r>
      <w:r w:rsidRPr="004A4EEE">
        <w:t xml:space="preserve">soil samples of the </w:t>
      </w:r>
      <w:r>
        <w:t>hyphal compartment</w:t>
      </w:r>
      <w:r w:rsidRPr="004A4EEE">
        <w:t xml:space="preserve"> </w:t>
      </w:r>
      <w:r>
        <w:t>using</w:t>
      </w:r>
      <w:r w:rsidRPr="004A4EEE">
        <w:t xml:space="preserve"> the Nucleo Spin® soil kit (Macherey-Nagel, Germany) </w:t>
      </w:r>
      <w:r>
        <w:fldChar w:fldCharType="begin" w:fldLock="1"/>
      </w:r>
      <w:r>
        <w:instrText>ADDIN CSL_CITATION {"citationItems":[{"id":"ITEM-1","itemData":{"DOI":"10.1371/journal.pone.0067699","ISBN":"10.1371/journal.pone.0067699","ISSN":"19326203","PMID":"23844068","abstract":"Culture-independent high-throughput sequencing-based methods are widely used to study bacterial communities. Although these approaches are superior to traditional culture-based methods, they introduce bias at the experimental and bioinformatics levels. We assessed the diversity of the human salivary microbiome by pyrosequencing of the 16S rDNA V1-3 amplicons using metagenomic DNA extracted by two different protocols: a simple proteinase K digestion without a subsequent DNA clean-up step, and a bead-beating mechanical lysis protocol followed by column DNA purification. A high degree of congruence was found between the two extraction methods, most notably in regard to the microbial community composition. The results showed that for a given bioinformatics pipeline, all the taxa with an average proportion &gt;0.12% in samples processed using one extraction method were also detected in samples extracted using the other method. The same taxa tended to be abundant and frequent for both extraction methods. The relative abundance of sequence reads assigned to the phyla Actinobacteria, Spirochaetes, TM7, Synergistetes, and Tenericutes was significantly higher in the mechanically-treated samples than in the enzymatically-treated samples, whereas the phylum Firmicutes showed the opposite pattern. No significant differences in diversity indices were found between the extraction methods, although the mechanical lysis method revealed higher operational taxonomic unit richness. Differences between the extraction procedures outweighed the variations due to the bioinformatics analysis pipelines used.","author":[{"dropping-particle":"","family":"Lazarevic","given":"Vladimir","non-dropping-particle":"","parse-names":false,"suffix":""},{"dropping-particle":"","family":"Gaïa","given":"Nadia","non-dropping-particle":"","parse-names":false,"suffix":""},{"dropping-particle":"","family":"Girard","given":"Myriam","non-dropping-particle":"","parse-names":false,"suffix":""},{"dropping-particle":"","family":"François","given":"Patrice","non-dropping-particle":"","parse-names":false,"suffix":""},{"dropping-particle":"","family":"Schrenzel","given":"Jacques","non-dropping-particle":"","parse-names":false,"suffix":""}],"container-title":"PLoS ONE","id":"ITEM-1","issue":"7","issued":{"date-parts":[["2013"]]},"title":"Comparison of DNA Extraction Methods in Analysis of Salivary Bacterial Communities","type":"article-journal","volume":"8"},"uris":["http://www.mendeley.com/documents/?uuid=a70b5ca3-bcd1-4bae-8804-ebe973d8f4fa","http://www.mendeley.com/documents/?uuid=8ff59ca8-8382-4def-a7a9-658b3de61cd9"]}],"mendeley":{"formattedCitation":"&lt;sup&gt;3&lt;/sup&gt;","plainTextFormattedCitation":"3","previouslyFormattedCitation":"&lt;sup&gt;3&lt;/sup&gt;"},"properties":{"noteIndex":0},"schema":"https://github.com/citation-style-language/schema/raw/master/csl-citation.json"}</w:instrText>
      </w:r>
      <w:r>
        <w:fldChar w:fldCharType="separate"/>
      </w:r>
      <w:r w:rsidRPr="00AE3585">
        <w:rPr>
          <w:noProof/>
          <w:vertAlign w:val="superscript"/>
        </w:rPr>
        <w:t>3</w:t>
      </w:r>
      <w:r>
        <w:fldChar w:fldCharType="end"/>
      </w:r>
      <w:r w:rsidRPr="004A4EEE">
        <w:t xml:space="preserve">. </w:t>
      </w:r>
      <w:r>
        <w:t xml:space="preserve">DNA was quantified using a </w:t>
      </w:r>
      <w:r w:rsidRPr="004A4EEE">
        <w:t>Quant-iT™ PicoGreen™ dsDNA</w:t>
      </w:r>
      <w:r>
        <w:t xml:space="preserve"> Assay Kit (Invitrogen, </w:t>
      </w:r>
      <w:r w:rsidRPr="004A4EEE">
        <w:t>Thermo Fisher Scientific</w:t>
      </w:r>
      <w:r>
        <w:t xml:space="preserve">, USA) on a Varian Cary Eclipse fuorescence spectrometer </w:t>
      </w:r>
      <w:r w:rsidRPr="004A4EEE">
        <w:t>(Varian Cary Eclipse, Agilent Technologies, USA)</w:t>
      </w:r>
      <w:r>
        <w:t xml:space="preserve">. </w:t>
      </w:r>
      <w:r w:rsidRPr="004A4EEE">
        <w:t>For later qPCR analysis, DNA samples were diluted to a final concentration of 5</w:t>
      </w:r>
      <w:r>
        <w:t xml:space="preserve"> </w:t>
      </w:r>
      <w:r w:rsidRPr="004A4EEE">
        <w:t>ng/µl.</w:t>
      </w:r>
      <w:r>
        <w:t xml:space="preserve"> The reaction volumes were 20 µl and contained onefold HOT FIREPol EvaGreen qPCR Mix Plus (Solis Biodyne, Tartu, Estonia), 0.3% bovine serine albumin, 250 nM of each primer, </w:t>
      </w:r>
      <w:r w:rsidRPr="00E67C3F">
        <w:t xml:space="preserve">and 1 </w:t>
      </w:r>
      <w:r>
        <w:t>µl</w:t>
      </w:r>
      <w:r w:rsidRPr="00E67C3F">
        <w:t xml:space="preserve"> of DNA</w:t>
      </w:r>
      <w:r>
        <w:t xml:space="preserve"> sample. The AMF community was quantified based on the 18S rRNA gene fragment, amplified with the primers AMG1F (Hewins et al. 2015)</w:t>
      </w:r>
      <w:r>
        <w:fldChar w:fldCharType="begin" w:fldLock="1"/>
      </w:r>
      <w:r>
        <w:instrText>ADDIN CSL_CITATION {"citationItems":[{"id":"ITEM-1","itemData":{"DOI":"10.1007/s00572-015-0628-5","ISSN":"0940-6360","author":[{"dropping-particle":"","family":"Hewins","given":"Charlotte R.","non-dropping-particle":"","parse-names":false,"suffix":""},{"dropping-particle":"","family":"Carrino-Kyker","given":"Sarah R.","non-dropping-particle":"","parse-names":false,"suffix":""},{"dropping-particle":"","family":"Burke","given":"David J.","non-dropping-particle":"","parse-names":false,"suffix":""}],"container-title":"Mycorrhiza","id":"ITEM-1","issue":"6","issued":{"date-parts":[["2015","8","30"]]},"page":"469-483","title":"Seasonal variation in mycorrhizal fungi colonizing roots of Allium tricoccum (wild leek) in a mature mixed hardwood forest","type":"article-journal","volume":"25"},"uris":["http://www.mendeley.com/documents/?uuid=99940def-a41c-4b55-8642-07a5f14c6c94"]}],"mendeley":{"formattedCitation":"&lt;sup&gt;4&lt;/sup&gt;","plainTextFormattedCitation":"4","previouslyFormattedCitation":"&lt;sup&gt;4&lt;/sup&gt;"},"properties":{"noteIndex":0},"schema":"https://github.com/citation-style-language/schema/raw/master/csl-citation.json"}</w:instrText>
      </w:r>
      <w:r>
        <w:fldChar w:fldCharType="separate"/>
      </w:r>
      <w:r w:rsidRPr="005A5E03">
        <w:rPr>
          <w:noProof/>
          <w:vertAlign w:val="superscript"/>
        </w:rPr>
        <w:t>4</w:t>
      </w:r>
      <w:r>
        <w:fldChar w:fldCharType="end"/>
      </w:r>
      <w:r>
        <w:t xml:space="preserve"> and AM1 (Helgason et al. 1998)</w:t>
      </w:r>
      <w:r>
        <w:fldChar w:fldCharType="begin" w:fldLock="1"/>
      </w:r>
      <w:r>
        <w:instrText>ADDIN CSL_CITATION {"citationItems":[{"id":"ITEM-1","itemData":{"DOI":"10.1038/28764","ISSN":"0028-0836","author":[{"dropping-particle":"","family":"Helgason","given":"T.","non-dropping-particle":"","parse-names":false,"suffix":""},{"dropping-particle":"","family":"Daniell","given":"T. J.","non-dropping-particle":"","parse-names":false,"suffix":""},{"dropping-particle":"","family":"Husband","given":"R.","non-dropping-particle":"","parse-names":false,"suffix":""},{"dropping-particle":"","family":"Fitter","given":"A. H.","non-dropping-particle":"","parse-names":false,"suffix":""},{"dropping-particle":"","family":"Young","given":"J. P. W.","non-dropping-particle":"","parse-names":false,"suffix":""}],"container-title":"Nature","id":"ITEM-1","issue":"6692","issued":{"date-parts":[["1998","7"]]},"page":"431-431","title":"Ploughing up the wood-wide web?","type":"article-journal","volume":"394"},"uris":["http://www.mendeley.com/documents/?uuid=2a0f5f0e-71b6-4f42-8599-16e2a9b7d05c"]}],"mendeley":{"formattedCitation":"&lt;sup&gt;5&lt;/sup&gt;","plainTextFormattedCitation":"5","previouslyFormattedCitation":"&lt;sup&gt;5&lt;/sup&gt;"},"properties":{"noteIndex":0},"schema":"https://github.com/citation-style-language/schema/raw/master/csl-citation.json"}</w:instrText>
      </w:r>
      <w:r>
        <w:fldChar w:fldCharType="separate"/>
      </w:r>
      <w:r w:rsidRPr="005A5E03">
        <w:rPr>
          <w:noProof/>
          <w:vertAlign w:val="superscript"/>
        </w:rPr>
        <w:t>5</w:t>
      </w:r>
      <w:r>
        <w:fldChar w:fldCharType="end"/>
      </w:r>
      <w:r>
        <w:t xml:space="preserve">. Negative controls were included in each run and qPCR assays were run in duplicate on a </w:t>
      </w:r>
      <w:r w:rsidRPr="004A4EEE">
        <w:t>CFX96 Touch™ Real-Time PCR Detection System and C1000 Touch™ Thermal Cycler</w:t>
      </w:r>
      <w:r>
        <w:t xml:space="preserve"> (</w:t>
      </w:r>
      <w:r w:rsidRPr="004A4EEE">
        <w:t>BioRad Laboratories, USA</w:t>
      </w:r>
      <w:r>
        <w:t>). The program consisted of</w:t>
      </w:r>
      <w:r w:rsidRPr="004A4EEE">
        <w:t xml:space="preserve"> 15 minutes at 95°C for denaturation, then at 62°C for 15 second for annealing, 30 seconds at 72°C for elongation, 10 minutes at 72°C and at the end heated up from 65°C to 95°C in 0.5°C steps for the melting curve analysis. The analysis was run through for 45 cycles.</w:t>
      </w:r>
      <w:r>
        <w:t xml:space="preserve"> The raw data were exported from Bio-Rad CFX Manager 3.1 and imported into LinRegPCR version 2016.0 </w:t>
      </w:r>
      <w:r>
        <w:fldChar w:fldCharType="begin" w:fldLock="1"/>
      </w:r>
      <w:r>
        <w:instrText>ADDIN CSL_CITATION {"citationItems":[{"id":"ITEM-1","itemData":{"DOI":"10.1093/nar/gkp045","ISSN":"0305-1048","author":[{"dropping-particle":"","family":"Ruijter","given":"J. M.","non-dropping-particle":"","parse-names":false,"suffix":""},{"dropping-particle":"","family":"Ramakers","given":"C.","non-dropping-particle":"","parse-names":false,"suffix":""},{"dropping-particle":"","family":"Hoogaars","given":"W. M. H.","non-dropping-particle":"","parse-names":false,"suffix":""},{"dropping-particle":"","family":"Karlen","given":"Y.","non-dropping-particle":"","parse-names":false,"suffix":""},{"dropping-particle":"","family":"Bakker","given":"O.","non-dropping-particle":"","parse-names":false,"suffix":""},{"dropping-particle":"","family":"Hoff","given":"M. J. B.","non-dropping-particle":"van den","parse-names":false,"suffix":""},{"dropping-particle":"","family":"Moorman","given":"A. F. M.","non-dropping-particle":"","parse-names":false,"suffix":""}],"container-title":"Nucleic Acids Research","id":"ITEM-1","issue":"6","issued":{"date-parts":[["2009","4","1"]]},"page":"e45-e45","title":"Amplification efficiency: linking baseline and bias in the analysis of quantitative PCR data","type":"article-journal","volume":"37"},"uris":["http://www.mendeley.com/documents/?uuid=a7132902-6a73-4d39-88d4-a14e810727ed"]}],"mendeley":{"formattedCitation":"&lt;sup&gt;6&lt;/sup&gt;","plainTextFormattedCitation":"6","previouslyFormattedCitation":"&lt;sup&gt;6&lt;/sup&gt;"},"properties":{"noteIndex":0},"schema":"https://github.com/citation-style-language/schema/raw/master/csl-citation.json"}</w:instrText>
      </w:r>
      <w:r>
        <w:fldChar w:fldCharType="separate"/>
      </w:r>
      <w:r w:rsidRPr="008A79D9">
        <w:rPr>
          <w:noProof/>
          <w:vertAlign w:val="superscript"/>
        </w:rPr>
        <w:t>6</w:t>
      </w:r>
      <w:r>
        <w:fldChar w:fldCharType="end"/>
      </w:r>
      <w:r>
        <w:t xml:space="preserve"> to investigate the cycle number to threshold and efficiency using the default baseline threshold from LinRegPCR.</w:t>
      </w:r>
    </w:p>
    <w:p w14:paraId="2D504A39" w14:textId="77777777" w:rsidR="00CF3372" w:rsidRDefault="00CF3372" w:rsidP="004836CE"/>
    <w:p w14:paraId="03024FAA" w14:textId="29617E56" w:rsidR="004007B3" w:rsidRDefault="004836CE" w:rsidP="004836CE">
      <w:pPr>
        <w:jc w:val="both"/>
      </w:pPr>
      <w:r>
        <w:rPr>
          <w:noProof/>
          <w:lang w:val="de-CH" w:eastAsia="de-CH"/>
        </w:rPr>
        <w:lastRenderedPageBreak/>
        <w:drawing>
          <wp:inline distT="0" distB="0" distL="0" distR="0" wp14:anchorId="2388FDB3" wp14:editId="134D40C9">
            <wp:extent cx="5757062" cy="7012426"/>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8">
                      <a:extLst>
                        <a:ext uri="{28A0092B-C50C-407E-A947-70E740481C1C}">
                          <a14:useLocalDpi xmlns:a14="http://schemas.microsoft.com/office/drawing/2010/main" val="0"/>
                        </a:ext>
                      </a:extLst>
                    </a:blip>
                    <a:srcRect r="803"/>
                    <a:stretch/>
                  </pic:blipFill>
                  <pic:spPr bwMode="auto">
                    <a:xfrm>
                      <a:off x="0" y="0"/>
                      <a:ext cx="5757900" cy="7013447"/>
                    </a:xfrm>
                    <a:prstGeom prst="rect">
                      <a:avLst/>
                    </a:prstGeom>
                    <a:noFill/>
                    <a:ln>
                      <a:noFill/>
                    </a:ln>
                    <a:extLst>
                      <a:ext uri="{53640926-AAD7-44D8-BBD7-CCE9431645EC}">
                        <a14:shadowObscured xmlns:a14="http://schemas.microsoft.com/office/drawing/2010/main"/>
                      </a:ext>
                    </a:extLst>
                  </pic:spPr>
                </pic:pic>
              </a:graphicData>
            </a:graphic>
          </wp:inline>
        </w:drawing>
      </w:r>
      <w:r w:rsidRPr="005B3A39">
        <w:rPr>
          <w:b/>
          <w:bCs/>
        </w:rPr>
        <w:t>Figure S</w:t>
      </w:r>
      <w:r>
        <w:rPr>
          <w:b/>
          <w:bCs/>
        </w:rPr>
        <w:t>3</w:t>
      </w:r>
      <w:r w:rsidRPr="005B3A39">
        <w:rPr>
          <w:b/>
          <w:bCs/>
        </w:rPr>
        <w:t>:</w:t>
      </w:r>
      <w:r>
        <w:t xml:space="preserve"> Differences in AMF root colonization (</w:t>
      </w:r>
      <w:r w:rsidRPr="00C23453">
        <w:rPr>
          <w:b/>
          <w:bCs/>
        </w:rPr>
        <w:t>A</w:t>
      </w:r>
      <w:r>
        <w:t>) and AMF abundance in the hyphal compartment (</w:t>
      </w:r>
      <w:r w:rsidRPr="00C23453">
        <w:rPr>
          <w:b/>
          <w:bCs/>
        </w:rPr>
        <w:t>C</w:t>
      </w:r>
      <w:r>
        <w:t xml:space="preserve">) in grassland, cropland, and control soils using a subset (n=36). Correlations between </w:t>
      </w:r>
      <w:r w:rsidRPr="00134963">
        <w:rPr>
          <w:vertAlign w:val="superscript"/>
        </w:rPr>
        <w:t>33</w:t>
      </w:r>
      <w:r>
        <w:t>P recovery and root colonization (</w:t>
      </w:r>
      <w:r w:rsidRPr="00C23453">
        <w:rPr>
          <w:b/>
          <w:bCs/>
        </w:rPr>
        <w:t>B</w:t>
      </w:r>
      <w:r>
        <w:t>), as well as AMF abundance (</w:t>
      </w:r>
      <w:r w:rsidRPr="00C23453">
        <w:rPr>
          <w:b/>
          <w:bCs/>
        </w:rPr>
        <w:t>D</w:t>
      </w:r>
      <w:r>
        <w:t xml:space="preserve">) in field soils of the respective subset. Numbers at the bottom of the left panels correspond to the number of observations per group. Asterisks indicate significant differences (*** p&lt;0.001, ** p&lt;0.01), ”ns” no significant difference between the groups. </w:t>
      </w:r>
      <w:r w:rsidRPr="00A723B1">
        <w:rPr>
          <w:i/>
          <w:iCs/>
        </w:rPr>
        <w:t>R</w:t>
      </w:r>
      <w:r>
        <w:rPr>
          <w:i/>
          <w:iCs/>
        </w:rPr>
        <w:t xml:space="preserve"> </w:t>
      </w:r>
      <w:r>
        <w:t>= Spearman’s rank correlation coefficient.</w:t>
      </w:r>
    </w:p>
    <w:p w14:paraId="1C38651D" w14:textId="77777777" w:rsidR="004007B3" w:rsidRDefault="004007B3">
      <w:pPr>
        <w:spacing w:line="259" w:lineRule="auto"/>
      </w:pPr>
      <w:r>
        <w:br w:type="page"/>
      </w:r>
    </w:p>
    <w:p w14:paraId="357863BB" w14:textId="594F4349" w:rsidR="00C860C9" w:rsidRDefault="004007B3" w:rsidP="004007B3">
      <w:pPr>
        <w:jc w:val="both"/>
        <w:rPr>
          <w:b/>
          <w:bCs/>
        </w:rPr>
      </w:pPr>
      <w:r w:rsidRPr="00573EB1">
        <w:rPr>
          <w:b/>
          <w:bCs/>
        </w:rPr>
        <w:lastRenderedPageBreak/>
        <w:t xml:space="preserve">Supplementary tables </w:t>
      </w:r>
      <w:r>
        <w:rPr>
          <w:b/>
          <w:bCs/>
        </w:rPr>
        <w:t>S2 and S3 see Excel file</w:t>
      </w:r>
    </w:p>
    <w:p w14:paraId="50D53943" w14:textId="24B0C2F6" w:rsidR="004007B3" w:rsidRDefault="004007B3" w:rsidP="004007B3">
      <w:pPr>
        <w:jc w:val="both"/>
        <w:rPr>
          <w:b/>
          <w:bCs/>
        </w:rPr>
      </w:pPr>
    </w:p>
    <w:p w14:paraId="2C341303" w14:textId="77777777" w:rsidR="004007B3" w:rsidRDefault="004007B3" w:rsidP="004007B3">
      <w:pPr>
        <w:jc w:val="both"/>
      </w:pPr>
    </w:p>
    <w:p w14:paraId="52C9F086" w14:textId="796619D9" w:rsidR="006D7A80" w:rsidRDefault="000C4E14" w:rsidP="006D7A80">
      <w:pPr>
        <w:jc w:val="both"/>
      </w:pPr>
      <w:r w:rsidRPr="000C4E14">
        <w:rPr>
          <w:noProof/>
          <w:lang w:val="de-CH" w:eastAsia="de-CH"/>
        </w:rPr>
        <w:drawing>
          <wp:inline distT="0" distB="0" distL="0" distR="0" wp14:anchorId="1104C275" wp14:editId="5CFA9AEF">
            <wp:extent cx="5753100" cy="379095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3100" cy="3790950"/>
                    </a:xfrm>
                    <a:prstGeom prst="rect">
                      <a:avLst/>
                    </a:prstGeom>
                    <a:noFill/>
                    <a:ln>
                      <a:noFill/>
                    </a:ln>
                  </pic:spPr>
                </pic:pic>
              </a:graphicData>
            </a:graphic>
          </wp:inline>
        </w:drawing>
      </w:r>
    </w:p>
    <w:p w14:paraId="2916D89F" w14:textId="44E387B8" w:rsidR="006D7A80" w:rsidRDefault="005B3A39" w:rsidP="00D9226B">
      <w:r w:rsidRPr="005B3A39">
        <w:rPr>
          <w:b/>
          <w:bCs/>
        </w:rPr>
        <w:t>Figure S</w:t>
      </w:r>
      <w:r w:rsidR="00191D95">
        <w:rPr>
          <w:b/>
          <w:bCs/>
        </w:rPr>
        <w:t>4</w:t>
      </w:r>
      <w:r w:rsidRPr="005B3A39">
        <w:rPr>
          <w:b/>
          <w:bCs/>
        </w:rPr>
        <w:t>:</w:t>
      </w:r>
      <w:r>
        <w:t xml:space="preserve"> Relationship between the soil microbial biomass C (</w:t>
      </w:r>
      <w:r w:rsidRPr="001D1D69">
        <w:rPr>
          <w:b/>
          <w:bCs/>
        </w:rPr>
        <w:t>A</w:t>
      </w:r>
      <w:r>
        <w:t>) and soil available P (</w:t>
      </w:r>
      <w:r w:rsidRPr="001D1D69">
        <w:rPr>
          <w:b/>
          <w:bCs/>
        </w:rPr>
        <w:t>B</w:t>
      </w:r>
      <w:r>
        <w:t xml:space="preserve">) with the </w:t>
      </w:r>
      <w:r w:rsidRPr="004B614C">
        <w:rPr>
          <w:vertAlign w:val="superscript"/>
        </w:rPr>
        <w:t>33</w:t>
      </w:r>
      <w:r>
        <w:t xml:space="preserve">P recovery in </w:t>
      </w:r>
      <w:r w:rsidR="0082588D">
        <w:t>grassland</w:t>
      </w:r>
      <w:r>
        <w:t xml:space="preserve"> (green) and cropland soils (orange). Asterisks indicate a significant relationship at p&lt;0.001 (***). The grey polygon marks a confidence level of 0.95.</w:t>
      </w:r>
    </w:p>
    <w:p w14:paraId="73036BE7" w14:textId="07DEDDF9" w:rsidR="001D1D69" w:rsidRDefault="001D1D69" w:rsidP="001D1D69">
      <w:pPr>
        <w:spacing w:line="259" w:lineRule="auto"/>
      </w:pPr>
    </w:p>
    <w:p w14:paraId="0BF65793" w14:textId="3DB27D7F" w:rsidR="001D1D69" w:rsidRDefault="001D1D69" w:rsidP="001D1D69">
      <w:pPr>
        <w:spacing w:line="259" w:lineRule="auto"/>
      </w:pPr>
    </w:p>
    <w:p w14:paraId="038535ED" w14:textId="66C97308" w:rsidR="001D1D69" w:rsidRDefault="001D1D69" w:rsidP="001D1D69">
      <w:pPr>
        <w:spacing w:line="259" w:lineRule="auto"/>
      </w:pPr>
    </w:p>
    <w:p w14:paraId="594EE940" w14:textId="77777777" w:rsidR="001D1D69" w:rsidRDefault="001D1D69" w:rsidP="001D1D69">
      <w:pPr>
        <w:spacing w:line="259" w:lineRule="auto"/>
      </w:pPr>
    </w:p>
    <w:p w14:paraId="6C812200" w14:textId="3325715F" w:rsidR="006D7A80" w:rsidRDefault="000C4E14" w:rsidP="006D7A80">
      <w:pPr>
        <w:jc w:val="both"/>
      </w:pPr>
      <w:r w:rsidRPr="000C4E14">
        <w:rPr>
          <w:noProof/>
          <w:lang w:val="de-CH" w:eastAsia="de-CH"/>
        </w:rPr>
        <w:lastRenderedPageBreak/>
        <w:drawing>
          <wp:inline distT="0" distB="0" distL="0" distR="0" wp14:anchorId="0643E819" wp14:editId="4C7E28AA">
            <wp:extent cx="5759450" cy="378142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3781425"/>
                    </a:xfrm>
                    <a:prstGeom prst="rect">
                      <a:avLst/>
                    </a:prstGeom>
                    <a:noFill/>
                    <a:ln>
                      <a:noFill/>
                    </a:ln>
                  </pic:spPr>
                </pic:pic>
              </a:graphicData>
            </a:graphic>
          </wp:inline>
        </w:drawing>
      </w:r>
    </w:p>
    <w:p w14:paraId="31025CD3" w14:textId="7ACD48E9" w:rsidR="006D7A80" w:rsidRDefault="006D7A80" w:rsidP="006D7A80">
      <w:pPr>
        <w:jc w:val="both"/>
      </w:pPr>
      <w:r w:rsidRPr="0078080B">
        <w:rPr>
          <w:b/>
          <w:bCs/>
        </w:rPr>
        <w:t>Figure S</w:t>
      </w:r>
      <w:r w:rsidR="00F82B59">
        <w:rPr>
          <w:b/>
          <w:bCs/>
        </w:rPr>
        <w:t>5</w:t>
      </w:r>
      <w:r>
        <w:t>: Relationships of the shoot biomass with soil mineral N (sqrt Nmin) (</w:t>
      </w:r>
      <w:r w:rsidRPr="001D1D69">
        <w:rPr>
          <w:b/>
          <w:bCs/>
        </w:rPr>
        <w:t>A</w:t>
      </w:r>
      <w:r>
        <w:t>), and the total P uptake with available soil P (sqrt P Olsen) (</w:t>
      </w:r>
      <w:r w:rsidRPr="001D1D69">
        <w:rPr>
          <w:b/>
          <w:bCs/>
        </w:rPr>
        <w:t>B</w:t>
      </w:r>
      <w:r>
        <w:t xml:space="preserve">) in the </w:t>
      </w:r>
      <w:r w:rsidR="0082588D">
        <w:t>grassland</w:t>
      </w:r>
      <w:r>
        <w:t xml:space="preserve"> (green) and cropland soils (orange). Asterisks indicate a significant relationship at p&lt;0.001 (***). The grey polygon marks a confidence level of 0.95. </w:t>
      </w:r>
    </w:p>
    <w:p w14:paraId="30730224" w14:textId="61CFAA48" w:rsidR="009578BB" w:rsidRDefault="009578BB" w:rsidP="006D7A80">
      <w:pPr>
        <w:jc w:val="both"/>
      </w:pPr>
    </w:p>
    <w:p w14:paraId="76C47654" w14:textId="77777777" w:rsidR="009578BB" w:rsidRDefault="009578BB" w:rsidP="006D7A80">
      <w:pPr>
        <w:jc w:val="both"/>
      </w:pPr>
    </w:p>
    <w:p w14:paraId="147AF1FD" w14:textId="77777777" w:rsidR="009578BB" w:rsidRDefault="009578BB" w:rsidP="009578BB">
      <w:r w:rsidRPr="00E65A55">
        <w:rPr>
          <w:b/>
        </w:rPr>
        <w:t>Table S4</w:t>
      </w:r>
      <w:r w:rsidRPr="00E65A55">
        <w:t xml:space="preserve">: </w:t>
      </w:r>
      <w:r w:rsidRPr="00E65A55">
        <w:rPr>
          <w:noProof/>
        </w:rPr>
        <w:t>Spearman's rank coefficients of correlations between the measured plant output parameters (hyphal P transfer, shoot biomass, total P uptake and N:P ratio) in the grassland and cropland soils. Asterisks indicate signficant differences at p&lt;0.001 (***), p&lt;0.01 (**) and p&lt;0.01 (*).</w:t>
      </w:r>
    </w:p>
    <w:tbl>
      <w:tblPr>
        <w:tblW w:w="8150" w:type="dxa"/>
        <w:tblInd w:w="-70" w:type="dxa"/>
        <w:tblCellMar>
          <w:left w:w="70" w:type="dxa"/>
          <w:right w:w="70" w:type="dxa"/>
        </w:tblCellMar>
        <w:tblLook w:val="04A0" w:firstRow="1" w:lastRow="0" w:firstColumn="1" w:lastColumn="0" w:noHBand="0" w:noVBand="1"/>
      </w:tblPr>
      <w:tblGrid>
        <w:gridCol w:w="70"/>
        <w:gridCol w:w="1915"/>
        <w:gridCol w:w="70"/>
        <w:gridCol w:w="1914"/>
        <w:gridCol w:w="70"/>
        <w:gridCol w:w="1915"/>
        <w:gridCol w:w="70"/>
        <w:gridCol w:w="2056"/>
        <w:gridCol w:w="70"/>
      </w:tblGrid>
      <w:tr w:rsidR="009578BB" w:rsidRPr="00E65A55" w14:paraId="31135445" w14:textId="77777777" w:rsidTr="00C860C9">
        <w:trPr>
          <w:gridBefore w:val="1"/>
          <w:wBefore w:w="70" w:type="dxa"/>
          <w:trHeight w:val="300"/>
        </w:trPr>
        <w:tc>
          <w:tcPr>
            <w:tcW w:w="1985" w:type="dxa"/>
            <w:gridSpan w:val="2"/>
            <w:tcBorders>
              <w:top w:val="single" w:sz="4" w:space="0" w:color="auto"/>
              <w:left w:val="nil"/>
              <w:bottom w:val="nil"/>
              <w:right w:val="nil"/>
            </w:tcBorders>
            <w:shd w:val="clear" w:color="auto" w:fill="auto"/>
            <w:noWrap/>
            <w:vAlign w:val="bottom"/>
            <w:hideMark/>
          </w:tcPr>
          <w:p w14:paraId="4BA23D1E" w14:textId="77777777" w:rsidR="009578BB" w:rsidRPr="00E65A55" w:rsidRDefault="009578BB" w:rsidP="00C860C9">
            <w:pPr>
              <w:spacing w:after="0" w:line="240" w:lineRule="auto"/>
              <w:rPr>
                <w:rFonts w:eastAsia="Times New Roman"/>
                <w:color w:val="000000"/>
                <w:lang w:eastAsia="de-CH"/>
              </w:rPr>
            </w:pPr>
            <w:r w:rsidRPr="00E65A55">
              <w:rPr>
                <w:rFonts w:eastAsia="Times New Roman"/>
                <w:color w:val="000000"/>
                <w:lang w:eastAsia="de-CH"/>
              </w:rPr>
              <w:t> </w:t>
            </w:r>
          </w:p>
        </w:tc>
        <w:tc>
          <w:tcPr>
            <w:tcW w:w="6095" w:type="dxa"/>
            <w:gridSpan w:val="6"/>
            <w:tcBorders>
              <w:top w:val="single" w:sz="4" w:space="0" w:color="auto"/>
              <w:left w:val="nil"/>
              <w:bottom w:val="nil"/>
              <w:right w:val="nil"/>
            </w:tcBorders>
            <w:shd w:val="clear" w:color="auto" w:fill="auto"/>
            <w:noWrap/>
            <w:vAlign w:val="center"/>
            <w:hideMark/>
          </w:tcPr>
          <w:p w14:paraId="2A0F894F" w14:textId="77777777" w:rsidR="009578BB" w:rsidRPr="00E65A55" w:rsidRDefault="009578BB" w:rsidP="00C860C9">
            <w:pPr>
              <w:spacing w:after="0" w:line="240" w:lineRule="auto"/>
              <w:jc w:val="center"/>
              <w:rPr>
                <w:rFonts w:eastAsia="Times New Roman"/>
                <w:b/>
                <w:bCs/>
                <w:color w:val="000000"/>
                <w:lang w:val="de-CH" w:eastAsia="de-CH"/>
              </w:rPr>
            </w:pPr>
            <w:r w:rsidRPr="00E65A55">
              <w:rPr>
                <w:rFonts w:eastAsia="Times New Roman"/>
                <w:b/>
                <w:bCs/>
                <w:color w:val="000000"/>
                <w:vertAlign w:val="superscript"/>
                <w:lang w:val="de-CH" w:eastAsia="de-CH"/>
              </w:rPr>
              <w:t>33</w:t>
            </w:r>
            <w:r w:rsidRPr="00E65A55">
              <w:rPr>
                <w:rFonts w:eastAsia="Times New Roman"/>
                <w:b/>
                <w:bCs/>
                <w:color w:val="000000"/>
                <w:lang w:val="de-CH" w:eastAsia="de-CH"/>
              </w:rPr>
              <w:t>P recovery</w:t>
            </w:r>
          </w:p>
        </w:tc>
      </w:tr>
      <w:tr w:rsidR="009578BB" w:rsidRPr="00E65A55" w14:paraId="7321134D" w14:textId="77777777" w:rsidTr="00C860C9">
        <w:trPr>
          <w:gridBefore w:val="1"/>
          <w:wBefore w:w="70" w:type="dxa"/>
          <w:trHeight w:val="585"/>
        </w:trPr>
        <w:tc>
          <w:tcPr>
            <w:tcW w:w="1985" w:type="dxa"/>
            <w:gridSpan w:val="2"/>
            <w:tcBorders>
              <w:top w:val="nil"/>
              <w:left w:val="nil"/>
              <w:bottom w:val="single" w:sz="8" w:space="0" w:color="auto"/>
              <w:right w:val="nil"/>
            </w:tcBorders>
            <w:shd w:val="clear" w:color="auto" w:fill="auto"/>
            <w:noWrap/>
            <w:vAlign w:val="center"/>
            <w:hideMark/>
          </w:tcPr>
          <w:p w14:paraId="4D94BA3A" w14:textId="77777777" w:rsidR="009578BB" w:rsidRPr="00E65A55" w:rsidRDefault="009578BB" w:rsidP="00C860C9">
            <w:pPr>
              <w:spacing w:after="0" w:line="240" w:lineRule="auto"/>
              <w:rPr>
                <w:rFonts w:eastAsia="Times New Roman"/>
                <w:color w:val="000000"/>
                <w:lang w:val="de-CH" w:eastAsia="de-CH"/>
              </w:rPr>
            </w:pPr>
            <w:r w:rsidRPr="00E65A55">
              <w:rPr>
                <w:rFonts w:eastAsia="Times New Roman"/>
                <w:color w:val="000000"/>
                <w:lang w:val="de-CH" w:eastAsia="de-CH"/>
              </w:rPr>
              <w:t> </w:t>
            </w:r>
          </w:p>
        </w:tc>
        <w:tc>
          <w:tcPr>
            <w:tcW w:w="1984" w:type="dxa"/>
            <w:gridSpan w:val="2"/>
            <w:tcBorders>
              <w:top w:val="nil"/>
              <w:left w:val="nil"/>
              <w:bottom w:val="single" w:sz="8" w:space="0" w:color="auto"/>
              <w:right w:val="nil"/>
            </w:tcBorders>
            <w:shd w:val="clear" w:color="auto" w:fill="auto"/>
            <w:vAlign w:val="center"/>
            <w:hideMark/>
          </w:tcPr>
          <w:p w14:paraId="5DB910C5" w14:textId="77777777" w:rsidR="009578BB" w:rsidRPr="00E65A55" w:rsidRDefault="009578BB" w:rsidP="00C860C9">
            <w:pPr>
              <w:spacing w:after="0" w:line="240" w:lineRule="auto"/>
              <w:jc w:val="center"/>
              <w:rPr>
                <w:rFonts w:eastAsia="Times New Roman"/>
                <w:color w:val="000000"/>
                <w:lang w:val="de-CH" w:eastAsia="de-CH"/>
              </w:rPr>
            </w:pPr>
            <w:r w:rsidRPr="00E65A55">
              <w:rPr>
                <w:rFonts w:eastAsia="Times New Roman"/>
                <w:color w:val="000000"/>
                <w:lang w:val="de-CH" w:eastAsia="de-CH"/>
              </w:rPr>
              <w:t>across all sites</w:t>
            </w:r>
          </w:p>
        </w:tc>
        <w:tc>
          <w:tcPr>
            <w:tcW w:w="1985" w:type="dxa"/>
            <w:gridSpan w:val="2"/>
            <w:tcBorders>
              <w:top w:val="nil"/>
              <w:left w:val="nil"/>
              <w:bottom w:val="single" w:sz="8" w:space="0" w:color="auto"/>
              <w:right w:val="nil"/>
            </w:tcBorders>
            <w:shd w:val="clear" w:color="auto" w:fill="auto"/>
            <w:vAlign w:val="center"/>
            <w:hideMark/>
          </w:tcPr>
          <w:p w14:paraId="1FC53D45" w14:textId="77777777" w:rsidR="009578BB" w:rsidRPr="00E65A55" w:rsidRDefault="009578BB" w:rsidP="00C860C9">
            <w:pPr>
              <w:spacing w:after="0" w:line="240" w:lineRule="auto"/>
              <w:jc w:val="center"/>
              <w:rPr>
                <w:rFonts w:eastAsia="Times New Roman"/>
                <w:color w:val="000000"/>
                <w:lang w:val="de-CH" w:eastAsia="de-CH"/>
              </w:rPr>
            </w:pPr>
            <w:r w:rsidRPr="00E65A55">
              <w:rPr>
                <w:rFonts w:eastAsia="Times New Roman"/>
                <w:color w:val="000000"/>
                <w:lang w:val="de-CH" w:eastAsia="de-CH"/>
              </w:rPr>
              <w:t>grassland</w:t>
            </w:r>
          </w:p>
        </w:tc>
        <w:tc>
          <w:tcPr>
            <w:tcW w:w="2126" w:type="dxa"/>
            <w:gridSpan w:val="2"/>
            <w:tcBorders>
              <w:top w:val="nil"/>
              <w:left w:val="nil"/>
              <w:bottom w:val="single" w:sz="8" w:space="0" w:color="auto"/>
              <w:right w:val="nil"/>
            </w:tcBorders>
            <w:shd w:val="clear" w:color="auto" w:fill="auto"/>
            <w:vAlign w:val="center"/>
            <w:hideMark/>
          </w:tcPr>
          <w:p w14:paraId="6CCC4287" w14:textId="77777777" w:rsidR="009578BB" w:rsidRPr="00E65A55" w:rsidRDefault="009578BB" w:rsidP="00C860C9">
            <w:pPr>
              <w:spacing w:after="0" w:line="240" w:lineRule="auto"/>
              <w:jc w:val="center"/>
              <w:rPr>
                <w:rFonts w:eastAsia="Times New Roman"/>
                <w:color w:val="000000"/>
                <w:lang w:val="de-CH" w:eastAsia="de-CH"/>
              </w:rPr>
            </w:pPr>
            <w:r w:rsidRPr="00E65A55">
              <w:rPr>
                <w:rFonts w:eastAsia="Times New Roman"/>
                <w:color w:val="000000"/>
                <w:lang w:val="de-CH" w:eastAsia="de-CH"/>
              </w:rPr>
              <w:t>cropland</w:t>
            </w:r>
          </w:p>
        </w:tc>
      </w:tr>
      <w:tr w:rsidR="009578BB" w:rsidRPr="00E65A55" w14:paraId="79A01EA6" w14:textId="77777777" w:rsidTr="00C860C9">
        <w:trPr>
          <w:gridAfter w:val="1"/>
          <w:wAfter w:w="70" w:type="dxa"/>
          <w:trHeight w:val="300"/>
        </w:trPr>
        <w:tc>
          <w:tcPr>
            <w:tcW w:w="1985" w:type="dxa"/>
            <w:gridSpan w:val="2"/>
            <w:tcBorders>
              <w:top w:val="nil"/>
              <w:left w:val="nil"/>
              <w:bottom w:val="nil"/>
              <w:right w:val="nil"/>
            </w:tcBorders>
            <w:shd w:val="clear" w:color="auto" w:fill="auto"/>
            <w:noWrap/>
            <w:vAlign w:val="center"/>
            <w:hideMark/>
          </w:tcPr>
          <w:p w14:paraId="56EE5E4B" w14:textId="77777777" w:rsidR="009578BB" w:rsidRPr="00E65A55" w:rsidRDefault="009578BB" w:rsidP="00C860C9">
            <w:pPr>
              <w:spacing w:after="0" w:line="240" w:lineRule="auto"/>
              <w:jc w:val="right"/>
              <w:rPr>
                <w:rFonts w:eastAsia="Times New Roman"/>
                <w:b/>
                <w:bCs/>
                <w:color w:val="000000"/>
                <w:lang w:val="de-CH" w:eastAsia="de-CH"/>
              </w:rPr>
            </w:pPr>
            <w:r w:rsidRPr="00E65A55">
              <w:rPr>
                <w:rFonts w:eastAsia="Times New Roman"/>
                <w:b/>
                <w:bCs/>
                <w:color w:val="000000"/>
                <w:lang w:val="de-CH" w:eastAsia="de-CH"/>
              </w:rPr>
              <w:t>Shoot biomass</w:t>
            </w:r>
          </w:p>
        </w:tc>
        <w:tc>
          <w:tcPr>
            <w:tcW w:w="1984" w:type="dxa"/>
            <w:gridSpan w:val="2"/>
            <w:tcBorders>
              <w:top w:val="nil"/>
              <w:left w:val="nil"/>
              <w:bottom w:val="nil"/>
              <w:right w:val="nil"/>
            </w:tcBorders>
            <w:shd w:val="clear" w:color="auto" w:fill="auto"/>
            <w:noWrap/>
            <w:vAlign w:val="center"/>
            <w:hideMark/>
          </w:tcPr>
          <w:p w14:paraId="11A43DB0" w14:textId="77777777" w:rsidR="009578BB" w:rsidRPr="00E65A55" w:rsidRDefault="009578BB" w:rsidP="00C860C9">
            <w:pPr>
              <w:spacing w:after="0" w:line="240" w:lineRule="auto"/>
              <w:ind w:firstLineChars="300" w:firstLine="660"/>
              <w:rPr>
                <w:rFonts w:eastAsia="Times New Roman"/>
                <w:color w:val="000000"/>
                <w:lang w:val="de-CH" w:eastAsia="de-CH"/>
              </w:rPr>
            </w:pPr>
            <w:r w:rsidRPr="00E65A55">
              <w:rPr>
                <w:rFonts w:eastAsia="Times New Roman"/>
                <w:color w:val="000000"/>
                <w:lang w:val="de-CH" w:eastAsia="de-CH"/>
              </w:rPr>
              <w:t>-0.13</w:t>
            </w:r>
          </w:p>
        </w:tc>
        <w:tc>
          <w:tcPr>
            <w:tcW w:w="1985" w:type="dxa"/>
            <w:gridSpan w:val="2"/>
            <w:tcBorders>
              <w:top w:val="nil"/>
              <w:left w:val="nil"/>
              <w:bottom w:val="nil"/>
              <w:right w:val="nil"/>
            </w:tcBorders>
            <w:shd w:val="clear" w:color="auto" w:fill="auto"/>
            <w:noWrap/>
            <w:vAlign w:val="center"/>
            <w:hideMark/>
          </w:tcPr>
          <w:p w14:paraId="64DF45A1" w14:textId="77777777" w:rsidR="009578BB" w:rsidRPr="00E65A55" w:rsidRDefault="009578BB" w:rsidP="00C860C9">
            <w:pPr>
              <w:spacing w:after="0" w:line="240" w:lineRule="auto"/>
              <w:ind w:firstLineChars="300" w:firstLine="660"/>
              <w:rPr>
                <w:rFonts w:eastAsia="Times New Roman"/>
                <w:color w:val="000000"/>
                <w:lang w:val="de-CH" w:eastAsia="de-CH"/>
              </w:rPr>
            </w:pPr>
            <w:r w:rsidRPr="00E65A55">
              <w:rPr>
                <w:rFonts w:eastAsia="Times New Roman"/>
                <w:color w:val="000000"/>
                <w:lang w:val="de-CH" w:eastAsia="de-CH"/>
              </w:rPr>
              <w:t>-0.09</w:t>
            </w:r>
          </w:p>
        </w:tc>
        <w:tc>
          <w:tcPr>
            <w:tcW w:w="2126" w:type="dxa"/>
            <w:gridSpan w:val="2"/>
            <w:tcBorders>
              <w:top w:val="nil"/>
              <w:left w:val="nil"/>
              <w:bottom w:val="nil"/>
              <w:right w:val="nil"/>
            </w:tcBorders>
            <w:shd w:val="clear" w:color="auto" w:fill="auto"/>
            <w:noWrap/>
            <w:vAlign w:val="center"/>
            <w:hideMark/>
          </w:tcPr>
          <w:p w14:paraId="647F1045" w14:textId="77777777" w:rsidR="009578BB" w:rsidRPr="00E65A55" w:rsidRDefault="009578BB" w:rsidP="00C860C9">
            <w:pPr>
              <w:spacing w:after="0" w:line="240" w:lineRule="auto"/>
              <w:ind w:firstLineChars="300" w:firstLine="660"/>
              <w:rPr>
                <w:rFonts w:eastAsia="Times New Roman"/>
                <w:color w:val="000000"/>
                <w:lang w:val="de-CH" w:eastAsia="de-CH"/>
              </w:rPr>
            </w:pPr>
            <w:r w:rsidRPr="00E65A55">
              <w:rPr>
                <w:rFonts w:eastAsia="Times New Roman"/>
                <w:color w:val="000000"/>
                <w:lang w:val="de-CH" w:eastAsia="de-CH"/>
              </w:rPr>
              <w:t>-0.14</w:t>
            </w:r>
          </w:p>
        </w:tc>
      </w:tr>
      <w:tr w:rsidR="009578BB" w:rsidRPr="00E65A55" w14:paraId="46B93DEC" w14:textId="77777777" w:rsidTr="00C860C9">
        <w:trPr>
          <w:gridAfter w:val="1"/>
          <w:wAfter w:w="70" w:type="dxa"/>
          <w:trHeight w:val="300"/>
        </w:trPr>
        <w:tc>
          <w:tcPr>
            <w:tcW w:w="1985" w:type="dxa"/>
            <w:gridSpan w:val="2"/>
            <w:tcBorders>
              <w:top w:val="nil"/>
              <w:left w:val="nil"/>
              <w:bottom w:val="nil"/>
              <w:right w:val="nil"/>
            </w:tcBorders>
            <w:shd w:val="clear" w:color="auto" w:fill="auto"/>
            <w:noWrap/>
            <w:vAlign w:val="center"/>
            <w:hideMark/>
          </w:tcPr>
          <w:p w14:paraId="0EC4C29D" w14:textId="77777777" w:rsidR="009578BB" w:rsidRPr="00E65A55" w:rsidRDefault="009578BB" w:rsidP="00C860C9">
            <w:pPr>
              <w:spacing w:after="0" w:line="240" w:lineRule="auto"/>
              <w:jc w:val="right"/>
              <w:rPr>
                <w:rFonts w:eastAsia="Times New Roman"/>
                <w:b/>
                <w:bCs/>
                <w:color w:val="000000"/>
                <w:lang w:val="de-CH" w:eastAsia="de-CH"/>
              </w:rPr>
            </w:pPr>
            <w:r w:rsidRPr="00E65A55">
              <w:rPr>
                <w:rFonts w:eastAsia="Times New Roman"/>
                <w:b/>
                <w:bCs/>
                <w:color w:val="000000"/>
                <w:lang w:val="de-CH" w:eastAsia="de-CH"/>
              </w:rPr>
              <w:t>Total P uptake</w:t>
            </w:r>
          </w:p>
        </w:tc>
        <w:tc>
          <w:tcPr>
            <w:tcW w:w="1984" w:type="dxa"/>
            <w:gridSpan w:val="2"/>
            <w:tcBorders>
              <w:top w:val="nil"/>
              <w:left w:val="nil"/>
              <w:bottom w:val="nil"/>
              <w:right w:val="nil"/>
            </w:tcBorders>
            <w:shd w:val="clear" w:color="auto" w:fill="auto"/>
            <w:noWrap/>
            <w:vAlign w:val="center"/>
            <w:hideMark/>
          </w:tcPr>
          <w:p w14:paraId="2D6AC1B3" w14:textId="77777777" w:rsidR="009578BB" w:rsidRPr="00E65A55" w:rsidRDefault="009578BB" w:rsidP="00C860C9">
            <w:pPr>
              <w:spacing w:after="0" w:line="240" w:lineRule="auto"/>
              <w:ind w:firstLineChars="300" w:firstLine="660"/>
              <w:rPr>
                <w:rFonts w:eastAsia="Times New Roman"/>
                <w:color w:val="000000"/>
                <w:lang w:val="de-CH" w:eastAsia="de-CH"/>
              </w:rPr>
            </w:pPr>
            <w:r w:rsidRPr="00E65A55">
              <w:rPr>
                <w:rFonts w:eastAsia="Times New Roman"/>
                <w:color w:val="000000"/>
                <w:lang w:val="de-CH" w:eastAsia="de-CH"/>
              </w:rPr>
              <w:t>-0.04</w:t>
            </w:r>
          </w:p>
        </w:tc>
        <w:tc>
          <w:tcPr>
            <w:tcW w:w="1985" w:type="dxa"/>
            <w:gridSpan w:val="2"/>
            <w:tcBorders>
              <w:top w:val="nil"/>
              <w:left w:val="nil"/>
              <w:bottom w:val="nil"/>
              <w:right w:val="nil"/>
            </w:tcBorders>
            <w:shd w:val="clear" w:color="auto" w:fill="auto"/>
            <w:noWrap/>
            <w:vAlign w:val="center"/>
            <w:hideMark/>
          </w:tcPr>
          <w:p w14:paraId="7395C07F" w14:textId="77777777" w:rsidR="009578BB" w:rsidRPr="00E65A55" w:rsidRDefault="009578BB" w:rsidP="00C860C9">
            <w:pPr>
              <w:spacing w:after="0" w:line="240" w:lineRule="auto"/>
              <w:ind w:firstLineChars="300" w:firstLine="660"/>
              <w:rPr>
                <w:rFonts w:eastAsia="Times New Roman"/>
                <w:color w:val="000000"/>
                <w:lang w:val="de-CH" w:eastAsia="de-CH"/>
              </w:rPr>
            </w:pPr>
            <w:r w:rsidRPr="00E65A55">
              <w:rPr>
                <w:rFonts w:eastAsia="Times New Roman"/>
                <w:color w:val="000000"/>
                <w:lang w:val="de-CH" w:eastAsia="de-CH"/>
              </w:rPr>
              <w:t>-0.34**</w:t>
            </w:r>
          </w:p>
        </w:tc>
        <w:tc>
          <w:tcPr>
            <w:tcW w:w="2126" w:type="dxa"/>
            <w:gridSpan w:val="2"/>
            <w:tcBorders>
              <w:top w:val="nil"/>
              <w:left w:val="nil"/>
              <w:bottom w:val="nil"/>
              <w:right w:val="nil"/>
            </w:tcBorders>
            <w:shd w:val="clear" w:color="auto" w:fill="auto"/>
            <w:noWrap/>
            <w:vAlign w:val="center"/>
            <w:hideMark/>
          </w:tcPr>
          <w:p w14:paraId="5306CB7C" w14:textId="77777777" w:rsidR="009578BB" w:rsidRPr="00E65A55" w:rsidRDefault="009578BB" w:rsidP="00C860C9">
            <w:pPr>
              <w:spacing w:after="0" w:line="240" w:lineRule="auto"/>
              <w:ind w:firstLineChars="300" w:firstLine="660"/>
              <w:rPr>
                <w:rFonts w:eastAsia="Times New Roman"/>
                <w:color w:val="000000"/>
                <w:lang w:val="de-CH" w:eastAsia="de-CH"/>
              </w:rPr>
            </w:pPr>
            <w:r>
              <w:rPr>
                <w:rFonts w:eastAsia="Times New Roman"/>
                <w:color w:val="000000"/>
                <w:lang w:val="de-CH" w:eastAsia="de-CH"/>
              </w:rPr>
              <w:t xml:space="preserve"> </w:t>
            </w:r>
            <w:r w:rsidRPr="00E65A55">
              <w:rPr>
                <w:rFonts w:eastAsia="Times New Roman"/>
                <w:color w:val="000000"/>
                <w:lang w:val="de-CH" w:eastAsia="de-CH"/>
              </w:rPr>
              <w:t>0.13</w:t>
            </w:r>
          </w:p>
        </w:tc>
      </w:tr>
      <w:tr w:rsidR="009578BB" w:rsidRPr="00E65A55" w14:paraId="2D49D1E1" w14:textId="77777777" w:rsidTr="00C860C9">
        <w:trPr>
          <w:gridAfter w:val="1"/>
          <w:wAfter w:w="70" w:type="dxa"/>
          <w:trHeight w:val="300"/>
        </w:trPr>
        <w:tc>
          <w:tcPr>
            <w:tcW w:w="1985" w:type="dxa"/>
            <w:gridSpan w:val="2"/>
            <w:tcBorders>
              <w:top w:val="nil"/>
              <w:left w:val="nil"/>
              <w:bottom w:val="nil"/>
              <w:right w:val="nil"/>
            </w:tcBorders>
            <w:shd w:val="clear" w:color="auto" w:fill="auto"/>
            <w:noWrap/>
            <w:vAlign w:val="center"/>
            <w:hideMark/>
          </w:tcPr>
          <w:p w14:paraId="4B895376" w14:textId="77777777" w:rsidR="009578BB" w:rsidRPr="00E65A55" w:rsidRDefault="009578BB" w:rsidP="00C860C9">
            <w:pPr>
              <w:spacing w:after="0" w:line="240" w:lineRule="auto"/>
              <w:jc w:val="right"/>
              <w:rPr>
                <w:rFonts w:eastAsia="Times New Roman"/>
                <w:b/>
                <w:bCs/>
                <w:color w:val="000000"/>
                <w:lang w:val="de-CH" w:eastAsia="de-CH"/>
              </w:rPr>
            </w:pPr>
            <w:r w:rsidRPr="00E65A55">
              <w:rPr>
                <w:rFonts w:eastAsia="Times New Roman"/>
                <w:b/>
                <w:bCs/>
                <w:color w:val="000000"/>
                <w:lang w:val="de-CH" w:eastAsia="de-CH"/>
              </w:rPr>
              <w:t>plant N:P</w:t>
            </w:r>
          </w:p>
        </w:tc>
        <w:tc>
          <w:tcPr>
            <w:tcW w:w="1984" w:type="dxa"/>
            <w:gridSpan w:val="2"/>
            <w:tcBorders>
              <w:top w:val="nil"/>
              <w:left w:val="nil"/>
              <w:bottom w:val="nil"/>
              <w:right w:val="nil"/>
            </w:tcBorders>
            <w:shd w:val="clear" w:color="auto" w:fill="auto"/>
            <w:noWrap/>
            <w:vAlign w:val="center"/>
            <w:hideMark/>
          </w:tcPr>
          <w:p w14:paraId="6E53AFB4" w14:textId="77777777" w:rsidR="009578BB" w:rsidRPr="00E65A55" w:rsidRDefault="009578BB" w:rsidP="00C860C9">
            <w:pPr>
              <w:spacing w:after="0" w:line="240" w:lineRule="auto"/>
              <w:ind w:firstLineChars="300" w:firstLine="660"/>
              <w:rPr>
                <w:rFonts w:eastAsia="Times New Roman"/>
                <w:color w:val="000000"/>
                <w:lang w:val="de-CH" w:eastAsia="de-CH"/>
              </w:rPr>
            </w:pPr>
            <w:r>
              <w:rPr>
                <w:rFonts w:eastAsia="Times New Roman"/>
                <w:color w:val="000000"/>
                <w:lang w:val="de-CH" w:eastAsia="de-CH"/>
              </w:rPr>
              <w:t xml:space="preserve"> </w:t>
            </w:r>
            <w:r w:rsidRPr="00E65A55">
              <w:rPr>
                <w:rFonts w:eastAsia="Times New Roman"/>
                <w:color w:val="000000"/>
                <w:lang w:val="de-CH" w:eastAsia="de-CH"/>
              </w:rPr>
              <w:t>0.05</w:t>
            </w:r>
          </w:p>
        </w:tc>
        <w:tc>
          <w:tcPr>
            <w:tcW w:w="1985" w:type="dxa"/>
            <w:gridSpan w:val="2"/>
            <w:tcBorders>
              <w:top w:val="nil"/>
              <w:left w:val="nil"/>
              <w:bottom w:val="nil"/>
              <w:right w:val="nil"/>
            </w:tcBorders>
            <w:shd w:val="clear" w:color="auto" w:fill="auto"/>
            <w:noWrap/>
            <w:vAlign w:val="center"/>
            <w:hideMark/>
          </w:tcPr>
          <w:p w14:paraId="1B88846E" w14:textId="77777777" w:rsidR="009578BB" w:rsidRPr="00E65A55" w:rsidRDefault="009578BB" w:rsidP="00C860C9">
            <w:pPr>
              <w:spacing w:after="0" w:line="240" w:lineRule="auto"/>
              <w:ind w:firstLineChars="300" w:firstLine="660"/>
              <w:rPr>
                <w:rFonts w:eastAsia="Times New Roman"/>
                <w:color w:val="000000"/>
                <w:lang w:val="de-CH" w:eastAsia="de-CH"/>
              </w:rPr>
            </w:pPr>
            <w:r>
              <w:rPr>
                <w:rFonts w:eastAsia="Times New Roman"/>
                <w:color w:val="000000"/>
                <w:lang w:val="de-CH" w:eastAsia="de-CH"/>
              </w:rPr>
              <w:t xml:space="preserve"> </w:t>
            </w:r>
            <w:r w:rsidRPr="00E65A55">
              <w:rPr>
                <w:rFonts w:eastAsia="Times New Roman"/>
                <w:color w:val="000000"/>
                <w:lang w:val="de-CH" w:eastAsia="de-CH"/>
              </w:rPr>
              <w:t>0.46***</w:t>
            </w:r>
          </w:p>
        </w:tc>
        <w:tc>
          <w:tcPr>
            <w:tcW w:w="2126" w:type="dxa"/>
            <w:gridSpan w:val="2"/>
            <w:tcBorders>
              <w:top w:val="nil"/>
              <w:left w:val="nil"/>
              <w:bottom w:val="nil"/>
              <w:right w:val="nil"/>
            </w:tcBorders>
            <w:shd w:val="clear" w:color="auto" w:fill="auto"/>
            <w:noWrap/>
            <w:vAlign w:val="center"/>
            <w:hideMark/>
          </w:tcPr>
          <w:p w14:paraId="5F4D2323" w14:textId="77777777" w:rsidR="009578BB" w:rsidRPr="00E65A55" w:rsidRDefault="009578BB" w:rsidP="00C860C9">
            <w:pPr>
              <w:spacing w:after="0" w:line="240" w:lineRule="auto"/>
              <w:ind w:firstLineChars="300" w:firstLine="660"/>
              <w:rPr>
                <w:rFonts w:eastAsia="Times New Roman"/>
                <w:color w:val="000000"/>
                <w:lang w:val="de-CH" w:eastAsia="de-CH"/>
              </w:rPr>
            </w:pPr>
            <w:r w:rsidRPr="00E65A55">
              <w:rPr>
                <w:rFonts w:eastAsia="Times New Roman"/>
                <w:color w:val="000000"/>
                <w:lang w:val="de-CH" w:eastAsia="de-CH"/>
              </w:rPr>
              <w:t>-0.19*</w:t>
            </w:r>
          </w:p>
        </w:tc>
      </w:tr>
    </w:tbl>
    <w:p w14:paraId="216576BF" w14:textId="77777777" w:rsidR="009578BB" w:rsidRPr="0067041E" w:rsidRDefault="009578BB" w:rsidP="006D7A80">
      <w:pPr>
        <w:jc w:val="both"/>
      </w:pPr>
    </w:p>
    <w:p w14:paraId="42AFEA30" w14:textId="53A2ED9D" w:rsidR="006D7A80" w:rsidRDefault="000C4E14" w:rsidP="006D7A80">
      <w:pPr>
        <w:keepNext/>
        <w:jc w:val="both"/>
      </w:pPr>
      <w:r w:rsidRPr="000C4E14">
        <w:rPr>
          <w:noProof/>
          <w:lang w:val="de-CH" w:eastAsia="de-CH"/>
        </w:rPr>
        <w:lastRenderedPageBreak/>
        <w:drawing>
          <wp:inline distT="0" distB="0" distL="0" distR="0" wp14:anchorId="2B534133" wp14:editId="2C827B26">
            <wp:extent cx="5759450" cy="376936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3769360"/>
                    </a:xfrm>
                    <a:prstGeom prst="rect">
                      <a:avLst/>
                    </a:prstGeom>
                    <a:noFill/>
                    <a:ln>
                      <a:noFill/>
                    </a:ln>
                  </pic:spPr>
                </pic:pic>
              </a:graphicData>
            </a:graphic>
          </wp:inline>
        </w:drawing>
      </w:r>
    </w:p>
    <w:p w14:paraId="71B7FD9D" w14:textId="6FDC2192" w:rsidR="006D7A80" w:rsidRDefault="006D7A80" w:rsidP="006D7A80">
      <w:pPr>
        <w:jc w:val="both"/>
        <w:rPr>
          <w:noProof/>
        </w:rPr>
      </w:pPr>
      <w:r w:rsidRPr="002F0DF8">
        <w:rPr>
          <w:b/>
          <w:bCs/>
          <w:noProof/>
        </w:rPr>
        <w:t xml:space="preserve">Figure </w:t>
      </w:r>
      <w:r>
        <w:rPr>
          <w:b/>
          <w:bCs/>
          <w:noProof/>
        </w:rPr>
        <w:t>S</w:t>
      </w:r>
      <w:r w:rsidR="00F82B59">
        <w:rPr>
          <w:b/>
          <w:bCs/>
          <w:noProof/>
        </w:rPr>
        <w:t>6</w:t>
      </w:r>
      <w:r w:rsidRPr="00075CCF">
        <w:rPr>
          <w:noProof/>
        </w:rPr>
        <w:t xml:space="preserve">: The relationship between hyphal P transfer activity (measured as </w:t>
      </w:r>
      <w:r w:rsidRPr="00075CCF">
        <w:rPr>
          <w:noProof/>
          <w:vertAlign w:val="superscript"/>
        </w:rPr>
        <w:t>33</w:t>
      </w:r>
      <w:r w:rsidRPr="00075CCF">
        <w:rPr>
          <w:noProof/>
        </w:rPr>
        <w:t>P recovery in the shoots) and the shoot N:P ratio</w:t>
      </w:r>
      <w:r>
        <w:rPr>
          <w:noProof/>
        </w:rPr>
        <w:t xml:space="preserve"> (scale log-transformed)</w:t>
      </w:r>
      <w:r w:rsidRPr="003A4FE1">
        <w:rPr>
          <w:noProof/>
        </w:rPr>
        <w:t xml:space="preserve"> </w:t>
      </w:r>
      <w:r w:rsidRPr="00075CCF">
        <w:rPr>
          <w:noProof/>
        </w:rPr>
        <w:t xml:space="preserve">in </w:t>
      </w:r>
      <w:r w:rsidR="0082588D">
        <w:rPr>
          <w:noProof/>
        </w:rPr>
        <w:t>grassland</w:t>
      </w:r>
      <w:r w:rsidRPr="00075CCF">
        <w:rPr>
          <w:noProof/>
        </w:rPr>
        <w:t xml:space="preserve"> (</w:t>
      </w:r>
      <w:r w:rsidRPr="001D1D69">
        <w:rPr>
          <w:b/>
          <w:bCs/>
          <w:noProof/>
        </w:rPr>
        <w:t>A</w:t>
      </w:r>
      <w:r w:rsidRPr="00075CCF">
        <w:rPr>
          <w:noProof/>
        </w:rPr>
        <w:t>) and cropland soils (</w:t>
      </w:r>
      <w:r w:rsidRPr="001D1D69">
        <w:rPr>
          <w:b/>
          <w:bCs/>
          <w:noProof/>
        </w:rPr>
        <w:t>B</w:t>
      </w:r>
      <w:r w:rsidRPr="00075CCF">
        <w:rPr>
          <w:noProof/>
        </w:rPr>
        <w:t>). The polygons frame the upper and lower confidence level (0.95). Asterisks indicate the significanes of the relationships at p&lt;0.001 (***) and p&lt;0.05 (*).</w:t>
      </w:r>
    </w:p>
    <w:p w14:paraId="4B509EE3" w14:textId="77777777" w:rsidR="009578BB" w:rsidRDefault="009578BB">
      <w:pPr>
        <w:spacing w:line="259" w:lineRule="auto"/>
        <w:rPr>
          <w:rFonts w:eastAsia="Times New Roman"/>
          <w:b/>
          <w:bCs/>
          <w:color w:val="000000"/>
          <w:lang w:eastAsia="de-CH"/>
        </w:rPr>
      </w:pPr>
      <w:r>
        <w:rPr>
          <w:rFonts w:eastAsia="Times New Roman"/>
          <w:b/>
          <w:bCs/>
          <w:color w:val="000000"/>
          <w:lang w:eastAsia="de-CH"/>
        </w:rPr>
        <w:br w:type="page"/>
      </w:r>
    </w:p>
    <w:p w14:paraId="27B69064" w14:textId="7AA94889" w:rsidR="00E65A55" w:rsidRPr="003A4FE1" w:rsidRDefault="009578BB" w:rsidP="006D7A80">
      <w:pPr>
        <w:jc w:val="both"/>
        <w:rPr>
          <w:noProof/>
        </w:rPr>
      </w:pPr>
      <w:r w:rsidRPr="009578BB">
        <w:rPr>
          <w:rFonts w:eastAsia="Times New Roman"/>
          <w:b/>
          <w:bCs/>
          <w:color w:val="000000"/>
          <w:lang w:eastAsia="de-CH"/>
        </w:rPr>
        <w:lastRenderedPageBreak/>
        <w:t>Table S5:</w:t>
      </w:r>
      <w:r w:rsidRPr="009578BB">
        <w:rPr>
          <w:rFonts w:eastAsia="Times New Roman"/>
          <w:color w:val="000000"/>
          <w:lang w:eastAsia="de-CH"/>
        </w:rPr>
        <w:t xml:space="preserve"> Output parameters resulting from the model averaging approach used to explain hyphal P transfer in grassland soils (</w:t>
      </w:r>
      <w:r w:rsidRPr="009578BB">
        <w:rPr>
          <w:rFonts w:eastAsia="Times New Roman"/>
          <w:b/>
          <w:bCs/>
          <w:color w:val="000000"/>
          <w:lang w:eastAsia="de-CH"/>
        </w:rPr>
        <w:t>A.</w:t>
      </w:r>
      <w:r w:rsidRPr="009578BB">
        <w:rPr>
          <w:rFonts w:eastAsia="Times New Roman"/>
          <w:color w:val="000000"/>
          <w:lang w:eastAsia="de-CH"/>
        </w:rPr>
        <w:t>). Additionally, the parameters of the best model (highest AICc), including the model fit (adjusted R</w:t>
      </w:r>
      <w:r w:rsidRPr="009578BB">
        <w:rPr>
          <w:rFonts w:eastAsia="Times New Roman"/>
          <w:color w:val="000000"/>
          <w:vertAlign w:val="superscript"/>
          <w:lang w:eastAsia="de-CH"/>
        </w:rPr>
        <w:t>2</w:t>
      </w:r>
      <w:r w:rsidRPr="009578BB">
        <w:rPr>
          <w:rFonts w:eastAsia="Times New Roman"/>
          <w:color w:val="000000"/>
          <w:lang w:eastAsia="de-CH"/>
        </w:rPr>
        <w:t>) are shown (</w:t>
      </w:r>
      <w:r w:rsidRPr="009578BB">
        <w:rPr>
          <w:rFonts w:eastAsia="Times New Roman"/>
          <w:b/>
          <w:bCs/>
          <w:color w:val="000000"/>
          <w:lang w:eastAsia="de-CH"/>
        </w:rPr>
        <w:t>B</w:t>
      </w:r>
      <w:r w:rsidRPr="009578BB">
        <w:rPr>
          <w:rFonts w:eastAsia="Times New Roman"/>
          <w:color w:val="000000"/>
          <w:lang w:eastAsia="de-CH"/>
        </w:rPr>
        <w:t xml:space="preserve">.) </w:t>
      </w:r>
      <w:r w:rsidRPr="009578BB">
        <w:rPr>
          <w:rFonts w:eastAsia="Times New Roman"/>
          <w:color w:val="000000"/>
          <w:lang w:val="de-CH" w:eastAsia="de-CH"/>
        </w:rPr>
        <w:t>Significant p-values (p&lt;0.05) are highlighted in bold.</w:t>
      </w:r>
    </w:p>
    <w:tbl>
      <w:tblPr>
        <w:tblW w:w="5000" w:type="pct"/>
        <w:tblCellMar>
          <w:left w:w="70" w:type="dxa"/>
          <w:right w:w="70" w:type="dxa"/>
        </w:tblCellMar>
        <w:tblLook w:val="04A0" w:firstRow="1" w:lastRow="0" w:firstColumn="1" w:lastColumn="0" w:noHBand="0" w:noVBand="1"/>
      </w:tblPr>
      <w:tblGrid>
        <w:gridCol w:w="360"/>
        <w:gridCol w:w="1907"/>
        <w:gridCol w:w="1417"/>
        <w:gridCol w:w="1134"/>
        <w:gridCol w:w="1134"/>
        <w:gridCol w:w="994"/>
        <w:gridCol w:w="894"/>
        <w:gridCol w:w="1230"/>
      </w:tblGrid>
      <w:tr w:rsidR="009578BB" w:rsidRPr="009578BB" w14:paraId="39EC7177" w14:textId="77777777" w:rsidTr="009578BB">
        <w:trPr>
          <w:trHeight w:val="585"/>
        </w:trPr>
        <w:tc>
          <w:tcPr>
            <w:tcW w:w="198" w:type="pct"/>
            <w:tcBorders>
              <w:top w:val="single" w:sz="4" w:space="0" w:color="auto"/>
              <w:left w:val="nil"/>
              <w:bottom w:val="single" w:sz="8" w:space="0" w:color="auto"/>
              <w:right w:val="nil"/>
            </w:tcBorders>
            <w:shd w:val="clear" w:color="auto" w:fill="auto"/>
            <w:vAlign w:val="center"/>
            <w:hideMark/>
          </w:tcPr>
          <w:p w14:paraId="77A150BC" w14:textId="77777777" w:rsidR="009578BB" w:rsidRPr="009578BB" w:rsidRDefault="009578BB" w:rsidP="009578BB">
            <w:pPr>
              <w:spacing w:after="0" w:line="240" w:lineRule="auto"/>
              <w:rPr>
                <w:rFonts w:eastAsia="Times New Roman"/>
                <w:b/>
                <w:bCs/>
                <w:color w:val="000000"/>
                <w:lang w:val="de-CH" w:eastAsia="de-CH"/>
              </w:rPr>
            </w:pPr>
            <w:r w:rsidRPr="009578BB">
              <w:rPr>
                <w:rFonts w:eastAsia="Times New Roman"/>
                <w:b/>
                <w:bCs/>
                <w:color w:val="000000"/>
                <w:lang w:val="de-CH" w:eastAsia="de-CH"/>
              </w:rPr>
              <w:t>A.</w:t>
            </w:r>
          </w:p>
        </w:tc>
        <w:tc>
          <w:tcPr>
            <w:tcW w:w="1052" w:type="pct"/>
            <w:tcBorders>
              <w:top w:val="single" w:sz="4" w:space="0" w:color="auto"/>
              <w:left w:val="nil"/>
              <w:bottom w:val="single" w:sz="8" w:space="0" w:color="auto"/>
              <w:right w:val="nil"/>
            </w:tcBorders>
            <w:shd w:val="clear" w:color="auto" w:fill="auto"/>
            <w:vAlign w:val="center"/>
            <w:hideMark/>
          </w:tcPr>
          <w:p w14:paraId="02A3316A" w14:textId="77777777" w:rsidR="009578BB" w:rsidRPr="009578BB" w:rsidRDefault="009578BB" w:rsidP="009578BB">
            <w:pPr>
              <w:spacing w:after="0" w:line="240" w:lineRule="auto"/>
              <w:rPr>
                <w:rFonts w:eastAsia="Times New Roman"/>
                <w:color w:val="000000"/>
                <w:lang w:val="de-CH" w:eastAsia="de-CH"/>
              </w:rPr>
            </w:pPr>
            <w:r w:rsidRPr="009578BB">
              <w:rPr>
                <w:rFonts w:eastAsia="Times New Roman"/>
                <w:color w:val="000000"/>
                <w:lang w:val="de-CH" w:eastAsia="de-CH"/>
              </w:rPr>
              <w:t>Averaged, coefficients (unconditional)</w:t>
            </w:r>
          </w:p>
        </w:tc>
        <w:tc>
          <w:tcPr>
            <w:tcW w:w="781" w:type="pct"/>
            <w:tcBorders>
              <w:top w:val="single" w:sz="4" w:space="0" w:color="auto"/>
              <w:left w:val="nil"/>
              <w:bottom w:val="single" w:sz="8" w:space="0" w:color="auto"/>
              <w:right w:val="nil"/>
            </w:tcBorders>
            <w:shd w:val="clear" w:color="auto" w:fill="auto"/>
            <w:vAlign w:val="center"/>
            <w:hideMark/>
          </w:tcPr>
          <w:p w14:paraId="49AB5F63" w14:textId="77777777" w:rsidR="009578BB" w:rsidRPr="009578BB" w:rsidRDefault="009578BB" w:rsidP="009578BB">
            <w:pPr>
              <w:spacing w:after="0" w:line="240" w:lineRule="auto"/>
              <w:rPr>
                <w:rFonts w:eastAsia="Times New Roman"/>
                <w:color w:val="000000"/>
                <w:lang w:val="de-CH" w:eastAsia="de-CH"/>
              </w:rPr>
            </w:pPr>
            <w:r w:rsidRPr="009578BB">
              <w:rPr>
                <w:rFonts w:eastAsia="Times New Roman"/>
                <w:color w:val="000000"/>
                <w:lang w:val="de-CH" w:eastAsia="de-CH"/>
              </w:rPr>
              <w:t>Coefficient estimate</w:t>
            </w:r>
          </w:p>
        </w:tc>
        <w:tc>
          <w:tcPr>
            <w:tcW w:w="625" w:type="pct"/>
            <w:tcBorders>
              <w:top w:val="single" w:sz="4" w:space="0" w:color="auto"/>
              <w:left w:val="nil"/>
              <w:bottom w:val="single" w:sz="8" w:space="0" w:color="auto"/>
              <w:right w:val="nil"/>
            </w:tcBorders>
            <w:shd w:val="clear" w:color="auto" w:fill="auto"/>
            <w:vAlign w:val="center"/>
            <w:hideMark/>
          </w:tcPr>
          <w:p w14:paraId="4E77356E" w14:textId="77777777" w:rsidR="009578BB" w:rsidRPr="009578BB" w:rsidRDefault="009578BB" w:rsidP="009578BB">
            <w:pPr>
              <w:spacing w:after="0" w:line="240" w:lineRule="auto"/>
              <w:rPr>
                <w:rFonts w:eastAsia="Times New Roman"/>
                <w:color w:val="000000"/>
                <w:lang w:val="de-CH" w:eastAsia="de-CH"/>
              </w:rPr>
            </w:pPr>
            <w:r w:rsidRPr="009578BB">
              <w:rPr>
                <w:rFonts w:eastAsia="Times New Roman"/>
                <w:color w:val="000000"/>
                <w:lang w:val="de-CH" w:eastAsia="de-CH"/>
              </w:rPr>
              <w:t>Std. Error</w:t>
            </w:r>
          </w:p>
        </w:tc>
        <w:tc>
          <w:tcPr>
            <w:tcW w:w="625" w:type="pct"/>
            <w:tcBorders>
              <w:top w:val="single" w:sz="4" w:space="0" w:color="auto"/>
              <w:left w:val="nil"/>
              <w:bottom w:val="single" w:sz="8" w:space="0" w:color="auto"/>
              <w:right w:val="nil"/>
            </w:tcBorders>
            <w:shd w:val="clear" w:color="auto" w:fill="auto"/>
            <w:vAlign w:val="center"/>
            <w:hideMark/>
          </w:tcPr>
          <w:p w14:paraId="4E498CFC" w14:textId="77777777" w:rsidR="009578BB" w:rsidRPr="009578BB" w:rsidRDefault="009578BB" w:rsidP="009578BB">
            <w:pPr>
              <w:spacing w:after="0" w:line="240" w:lineRule="auto"/>
              <w:rPr>
                <w:rFonts w:eastAsia="Times New Roman"/>
                <w:color w:val="000000"/>
                <w:lang w:val="de-CH" w:eastAsia="de-CH"/>
              </w:rPr>
            </w:pPr>
            <w:r w:rsidRPr="009578BB">
              <w:rPr>
                <w:rFonts w:eastAsia="Times New Roman"/>
                <w:color w:val="000000"/>
                <w:lang w:val="de-CH" w:eastAsia="de-CH"/>
              </w:rPr>
              <w:t>Adjusted Std. Error</w:t>
            </w:r>
          </w:p>
        </w:tc>
        <w:tc>
          <w:tcPr>
            <w:tcW w:w="548" w:type="pct"/>
            <w:tcBorders>
              <w:top w:val="single" w:sz="4" w:space="0" w:color="auto"/>
              <w:left w:val="nil"/>
              <w:bottom w:val="single" w:sz="8" w:space="0" w:color="auto"/>
              <w:right w:val="nil"/>
            </w:tcBorders>
            <w:shd w:val="clear" w:color="auto" w:fill="auto"/>
            <w:vAlign w:val="center"/>
            <w:hideMark/>
          </w:tcPr>
          <w:p w14:paraId="76B27915" w14:textId="77777777" w:rsidR="009578BB" w:rsidRPr="009578BB" w:rsidRDefault="009578BB" w:rsidP="009578BB">
            <w:pPr>
              <w:spacing w:after="0" w:line="240" w:lineRule="auto"/>
              <w:rPr>
                <w:rFonts w:eastAsia="Times New Roman"/>
                <w:color w:val="000000"/>
                <w:lang w:val="de-CH" w:eastAsia="de-CH"/>
              </w:rPr>
            </w:pPr>
            <w:r w:rsidRPr="009578BB">
              <w:rPr>
                <w:rFonts w:eastAsia="Times New Roman"/>
                <w:color w:val="000000"/>
                <w:lang w:val="de-CH" w:eastAsia="de-CH"/>
              </w:rPr>
              <w:t>z-value</w:t>
            </w:r>
          </w:p>
        </w:tc>
        <w:tc>
          <w:tcPr>
            <w:tcW w:w="493" w:type="pct"/>
            <w:tcBorders>
              <w:top w:val="single" w:sz="4" w:space="0" w:color="auto"/>
              <w:left w:val="nil"/>
              <w:bottom w:val="single" w:sz="8" w:space="0" w:color="auto"/>
              <w:right w:val="nil"/>
            </w:tcBorders>
            <w:shd w:val="clear" w:color="auto" w:fill="auto"/>
            <w:vAlign w:val="center"/>
            <w:hideMark/>
          </w:tcPr>
          <w:p w14:paraId="37DC1D28" w14:textId="77777777" w:rsidR="009578BB" w:rsidRPr="009578BB" w:rsidRDefault="009578BB" w:rsidP="009578BB">
            <w:pPr>
              <w:spacing w:after="0" w:line="240" w:lineRule="auto"/>
              <w:rPr>
                <w:rFonts w:eastAsia="Times New Roman"/>
                <w:color w:val="000000"/>
                <w:lang w:val="de-CH" w:eastAsia="de-CH"/>
              </w:rPr>
            </w:pPr>
            <w:r w:rsidRPr="009578BB">
              <w:rPr>
                <w:rFonts w:eastAsia="Times New Roman"/>
                <w:color w:val="000000"/>
                <w:lang w:val="de-CH" w:eastAsia="de-CH"/>
              </w:rPr>
              <w:t>p-value</w:t>
            </w:r>
          </w:p>
        </w:tc>
        <w:tc>
          <w:tcPr>
            <w:tcW w:w="678" w:type="pct"/>
            <w:tcBorders>
              <w:top w:val="single" w:sz="4" w:space="0" w:color="auto"/>
              <w:left w:val="nil"/>
              <w:bottom w:val="single" w:sz="8" w:space="0" w:color="auto"/>
              <w:right w:val="nil"/>
            </w:tcBorders>
            <w:shd w:val="clear" w:color="auto" w:fill="auto"/>
            <w:vAlign w:val="center"/>
            <w:hideMark/>
          </w:tcPr>
          <w:p w14:paraId="12574B32" w14:textId="77777777" w:rsidR="009578BB" w:rsidRPr="009578BB" w:rsidRDefault="009578BB" w:rsidP="009578BB">
            <w:pPr>
              <w:spacing w:after="0" w:line="240" w:lineRule="auto"/>
              <w:rPr>
                <w:rFonts w:eastAsia="Times New Roman"/>
                <w:color w:val="000000"/>
                <w:lang w:val="de-CH" w:eastAsia="de-CH"/>
              </w:rPr>
            </w:pPr>
            <w:r w:rsidRPr="009578BB">
              <w:rPr>
                <w:rFonts w:eastAsia="Times New Roman"/>
                <w:color w:val="000000"/>
                <w:lang w:val="de-CH" w:eastAsia="de-CH"/>
              </w:rPr>
              <w:t>Relative importance</w:t>
            </w:r>
          </w:p>
        </w:tc>
      </w:tr>
      <w:tr w:rsidR="009578BB" w:rsidRPr="009578BB" w14:paraId="6BC9DB6A" w14:textId="77777777" w:rsidTr="009578BB">
        <w:trPr>
          <w:trHeight w:val="300"/>
        </w:trPr>
        <w:tc>
          <w:tcPr>
            <w:tcW w:w="1250" w:type="pct"/>
            <w:gridSpan w:val="2"/>
            <w:tcBorders>
              <w:top w:val="nil"/>
              <w:left w:val="nil"/>
              <w:bottom w:val="nil"/>
              <w:right w:val="nil"/>
            </w:tcBorders>
            <w:shd w:val="clear" w:color="auto" w:fill="auto"/>
            <w:noWrap/>
            <w:vAlign w:val="center"/>
            <w:hideMark/>
          </w:tcPr>
          <w:p w14:paraId="3EC9B3D4" w14:textId="77777777" w:rsidR="009578BB" w:rsidRPr="009578BB" w:rsidRDefault="009578BB" w:rsidP="009578BB">
            <w:pPr>
              <w:spacing w:after="0" w:line="240" w:lineRule="auto"/>
              <w:jc w:val="right"/>
              <w:rPr>
                <w:rFonts w:eastAsia="Times New Roman"/>
                <w:b/>
                <w:bCs/>
                <w:color w:val="000000"/>
                <w:lang w:val="de-CH" w:eastAsia="de-CH"/>
              </w:rPr>
            </w:pPr>
            <w:r w:rsidRPr="009578BB">
              <w:rPr>
                <w:rFonts w:eastAsia="Times New Roman"/>
                <w:b/>
                <w:bCs/>
                <w:color w:val="000000"/>
                <w:lang w:val="de-CH" w:eastAsia="de-CH"/>
              </w:rPr>
              <w:t>(Intercept)</w:t>
            </w:r>
          </w:p>
        </w:tc>
        <w:tc>
          <w:tcPr>
            <w:tcW w:w="781" w:type="pct"/>
            <w:tcBorders>
              <w:top w:val="nil"/>
              <w:left w:val="nil"/>
              <w:bottom w:val="nil"/>
              <w:right w:val="nil"/>
            </w:tcBorders>
            <w:shd w:val="clear" w:color="auto" w:fill="auto"/>
            <w:noWrap/>
            <w:vAlign w:val="center"/>
            <w:hideMark/>
          </w:tcPr>
          <w:p w14:paraId="5B049E6F"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1.279</w:t>
            </w:r>
          </w:p>
        </w:tc>
        <w:tc>
          <w:tcPr>
            <w:tcW w:w="625" w:type="pct"/>
            <w:tcBorders>
              <w:top w:val="nil"/>
              <w:left w:val="nil"/>
              <w:bottom w:val="nil"/>
              <w:right w:val="nil"/>
            </w:tcBorders>
            <w:shd w:val="clear" w:color="auto" w:fill="auto"/>
            <w:noWrap/>
            <w:vAlign w:val="center"/>
            <w:hideMark/>
          </w:tcPr>
          <w:p w14:paraId="5B3F0108"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0.064</w:t>
            </w:r>
          </w:p>
        </w:tc>
        <w:tc>
          <w:tcPr>
            <w:tcW w:w="625" w:type="pct"/>
            <w:tcBorders>
              <w:top w:val="nil"/>
              <w:left w:val="nil"/>
              <w:bottom w:val="nil"/>
              <w:right w:val="nil"/>
            </w:tcBorders>
            <w:shd w:val="clear" w:color="auto" w:fill="auto"/>
            <w:noWrap/>
            <w:vAlign w:val="center"/>
            <w:hideMark/>
          </w:tcPr>
          <w:p w14:paraId="1B1781A6"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0.066</w:t>
            </w:r>
          </w:p>
        </w:tc>
        <w:tc>
          <w:tcPr>
            <w:tcW w:w="548" w:type="pct"/>
            <w:tcBorders>
              <w:top w:val="nil"/>
              <w:left w:val="nil"/>
              <w:bottom w:val="nil"/>
              <w:right w:val="nil"/>
            </w:tcBorders>
            <w:shd w:val="clear" w:color="auto" w:fill="auto"/>
            <w:noWrap/>
            <w:vAlign w:val="center"/>
            <w:hideMark/>
          </w:tcPr>
          <w:p w14:paraId="6FD58CCD"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19.494</w:t>
            </w:r>
          </w:p>
        </w:tc>
        <w:tc>
          <w:tcPr>
            <w:tcW w:w="493" w:type="pct"/>
            <w:tcBorders>
              <w:top w:val="nil"/>
              <w:left w:val="nil"/>
              <w:bottom w:val="nil"/>
              <w:right w:val="nil"/>
            </w:tcBorders>
            <w:shd w:val="clear" w:color="auto" w:fill="auto"/>
            <w:noWrap/>
            <w:vAlign w:val="center"/>
            <w:hideMark/>
          </w:tcPr>
          <w:p w14:paraId="6E8789F5"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0.000</w:t>
            </w:r>
          </w:p>
        </w:tc>
        <w:tc>
          <w:tcPr>
            <w:tcW w:w="678" w:type="pct"/>
            <w:tcBorders>
              <w:top w:val="nil"/>
              <w:left w:val="nil"/>
              <w:bottom w:val="nil"/>
              <w:right w:val="nil"/>
            </w:tcBorders>
            <w:shd w:val="clear" w:color="auto" w:fill="auto"/>
            <w:noWrap/>
            <w:vAlign w:val="center"/>
            <w:hideMark/>
          </w:tcPr>
          <w:p w14:paraId="60C47503" w14:textId="77777777" w:rsidR="009578BB" w:rsidRPr="009578BB" w:rsidRDefault="009578BB" w:rsidP="009578BB">
            <w:pPr>
              <w:spacing w:after="0" w:line="240" w:lineRule="auto"/>
              <w:jc w:val="right"/>
              <w:rPr>
                <w:rFonts w:eastAsia="Times New Roman"/>
                <w:color w:val="000000"/>
                <w:lang w:val="de-CH" w:eastAsia="de-CH"/>
              </w:rPr>
            </w:pPr>
          </w:p>
        </w:tc>
      </w:tr>
      <w:tr w:rsidR="009578BB" w:rsidRPr="009578BB" w14:paraId="7EEF2B05" w14:textId="77777777" w:rsidTr="009578BB">
        <w:trPr>
          <w:trHeight w:val="300"/>
        </w:trPr>
        <w:tc>
          <w:tcPr>
            <w:tcW w:w="1250" w:type="pct"/>
            <w:gridSpan w:val="2"/>
            <w:tcBorders>
              <w:top w:val="nil"/>
              <w:left w:val="nil"/>
              <w:bottom w:val="nil"/>
              <w:right w:val="nil"/>
            </w:tcBorders>
            <w:shd w:val="clear" w:color="auto" w:fill="auto"/>
            <w:noWrap/>
            <w:vAlign w:val="center"/>
            <w:hideMark/>
          </w:tcPr>
          <w:p w14:paraId="39F35DDB" w14:textId="77777777" w:rsidR="009578BB" w:rsidRPr="009578BB" w:rsidRDefault="009578BB" w:rsidP="009578BB">
            <w:pPr>
              <w:spacing w:after="0" w:line="240" w:lineRule="auto"/>
              <w:jc w:val="right"/>
              <w:rPr>
                <w:rFonts w:eastAsia="Times New Roman"/>
                <w:b/>
                <w:bCs/>
                <w:color w:val="000000"/>
                <w:lang w:val="de-CH" w:eastAsia="de-CH"/>
              </w:rPr>
            </w:pPr>
            <w:r w:rsidRPr="009578BB">
              <w:rPr>
                <w:rFonts w:eastAsia="Times New Roman"/>
                <w:b/>
                <w:bCs/>
                <w:color w:val="000000"/>
                <w:lang w:val="de-CH" w:eastAsia="de-CH"/>
              </w:rPr>
              <w:t>Aridity</w:t>
            </w:r>
          </w:p>
        </w:tc>
        <w:tc>
          <w:tcPr>
            <w:tcW w:w="781" w:type="pct"/>
            <w:tcBorders>
              <w:top w:val="nil"/>
              <w:left w:val="nil"/>
              <w:bottom w:val="nil"/>
              <w:right w:val="nil"/>
            </w:tcBorders>
            <w:shd w:val="clear" w:color="auto" w:fill="auto"/>
            <w:noWrap/>
            <w:vAlign w:val="center"/>
            <w:hideMark/>
          </w:tcPr>
          <w:p w14:paraId="48646736"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-0.219</w:t>
            </w:r>
          </w:p>
        </w:tc>
        <w:tc>
          <w:tcPr>
            <w:tcW w:w="625" w:type="pct"/>
            <w:tcBorders>
              <w:top w:val="nil"/>
              <w:left w:val="nil"/>
              <w:bottom w:val="nil"/>
              <w:right w:val="nil"/>
            </w:tcBorders>
            <w:shd w:val="clear" w:color="auto" w:fill="auto"/>
            <w:noWrap/>
            <w:vAlign w:val="center"/>
            <w:hideMark/>
          </w:tcPr>
          <w:p w14:paraId="4ED8557D"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0.087</w:t>
            </w:r>
          </w:p>
        </w:tc>
        <w:tc>
          <w:tcPr>
            <w:tcW w:w="625" w:type="pct"/>
            <w:tcBorders>
              <w:top w:val="nil"/>
              <w:left w:val="nil"/>
              <w:bottom w:val="nil"/>
              <w:right w:val="nil"/>
            </w:tcBorders>
            <w:shd w:val="clear" w:color="auto" w:fill="auto"/>
            <w:noWrap/>
            <w:vAlign w:val="center"/>
            <w:hideMark/>
          </w:tcPr>
          <w:p w14:paraId="5C547234"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0.089</w:t>
            </w:r>
          </w:p>
        </w:tc>
        <w:tc>
          <w:tcPr>
            <w:tcW w:w="548" w:type="pct"/>
            <w:tcBorders>
              <w:top w:val="nil"/>
              <w:left w:val="nil"/>
              <w:bottom w:val="nil"/>
              <w:right w:val="nil"/>
            </w:tcBorders>
            <w:shd w:val="clear" w:color="auto" w:fill="auto"/>
            <w:noWrap/>
            <w:vAlign w:val="center"/>
            <w:hideMark/>
          </w:tcPr>
          <w:p w14:paraId="2EAE0DE8"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2.460</w:t>
            </w:r>
          </w:p>
        </w:tc>
        <w:tc>
          <w:tcPr>
            <w:tcW w:w="493" w:type="pct"/>
            <w:tcBorders>
              <w:top w:val="nil"/>
              <w:left w:val="nil"/>
              <w:bottom w:val="nil"/>
              <w:right w:val="nil"/>
            </w:tcBorders>
            <w:shd w:val="clear" w:color="auto" w:fill="auto"/>
            <w:noWrap/>
            <w:vAlign w:val="center"/>
            <w:hideMark/>
          </w:tcPr>
          <w:p w14:paraId="66584F07" w14:textId="77777777" w:rsidR="009578BB" w:rsidRPr="009578BB" w:rsidRDefault="009578BB" w:rsidP="009578BB">
            <w:pPr>
              <w:spacing w:after="0" w:line="240" w:lineRule="auto"/>
              <w:jc w:val="right"/>
              <w:rPr>
                <w:rFonts w:eastAsia="Times New Roman"/>
                <w:b/>
                <w:bCs/>
                <w:color w:val="000000"/>
                <w:lang w:val="de-CH" w:eastAsia="de-CH"/>
              </w:rPr>
            </w:pPr>
            <w:r w:rsidRPr="009578BB">
              <w:rPr>
                <w:rFonts w:eastAsia="Times New Roman"/>
                <w:b/>
                <w:bCs/>
                <w:color w:val="000000"/>
                <w:lang w:val="de-CH" w:eastAsia="de-CH"/>
              </w:rPr>
              <w:t>0.014</w:t>
            </w:r>
          </w:p>
        </w:tc>
        <w:tc>
          <w:tcPr>
            <w:tcW w:w="678" w:type="pct"/>
            <w:tcBorders>
              <w:top w:val="nil"/>
              <w:left w:val="nil"/>
              <w:bottom w:val="nil"/>
              <w:right w:val="nil"/>
            </w:tcBorders>
            <w:shd w:val="clear" w:color="auto" w:fill="auto"/>
            <w:noWrap/>
            <w:vAlign w:val="center"/>
            <w:hideMark/>
          </w:tcPr>
          <w:p w14:paraId="64DC9FE6"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0.204</w:t>
            </w:r>
          </w:p>
        </w:tc>
      </w:tr>
      <w:tr w:rsidR="009578BB" w:rsidRPr="009578BB" w14:paraId="0B4FE6E4" w14:textId="77777777" w:rsidTr="009578BB">
        <w:trPr>
          <w:trHeight w:val="300"/>
        </w:trPr>
        <w:tc>
          <w:tcPr>
            <w:tcW w:w="1250" w:type="pct"/>
            <w:gridSpan w:val="2"/>
            <w:tcBorders>
              <w:top w:val="nil"/>
              <w:left w:val="nil"/>
              <w:bottom w:val="nil"/>
              <w:right w:val="nil"/>
            </w:tcBorders>
            <w:shd w:val="clear" w:color="auto" w:fill="auto"/>
            <w:noWrap/>
            <w:vAlign w:val="center"/>
            <w:hideMark/>
          </w:tcPr>
          <w:p w14:paraId="3852514F" w14:textId="77777777" w:rsidR="009578BB" w:rsidRPr="009578BB" w:rsidRDefault="009578BB" w:rsidP="009578BB">
            <w:pPr>
              <w:spacing w:after="0" w:line="240" w:lineRule="auto"/>
              <w:jc w:val="right"/>
              <w:rPr>
                <w:rFonts w:eastAsia="Times New Roman"/>
                <w:b/>
                <w:bCs/>
                <w:color w:val="000000"/>
                <w:lang w:val="de-CH" w:eastAsia="de-CH"/>
              </w:rPr>
            </w:pPr>
            <w:r w:rsidRPr="009578BB">
              <w:rPr>
                <w:rFonts w:eastAsia="Times New Roman"/>
                <w:b/>
                <w:bCs/>
                <w:color w:val="000000"/>
                <w:lang w:val="de-CH" w:eastAsia="de-CH"/>
              </w:rPr>
              <w:t>pH</w:t>
            </w:r>
          </w:p>
        </w:tc>
        <w:tc>
          <w:tcPr>
            <w:tcW w:w="781" w:type="pct"/>
            <w:tcBorders>
              <w:top w:val="nil"/>
              <w:left w:val="nil"/>
              <w:bottom w:val="nil"/>
              <w:right w:val="nil"/>
            </w:tcBorders>
            <w:shd w:val="clear" w:color="auto" w:fill="auto"/>
            <w:noWrap/>
            <w:vAlign w:val="center"/>
            <w:hideMark/>
          </w:tcPr>
          <w:p w14:paraId="49060C28"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0.373</w:t>
            </w:r>
          </w:p>
        </w:tc>
        <w:tc>
          <w:tcPr>
            <w:tcW w:w="625" w:type="pct"/>
            <w:tcBorders>
              <w:top w:val="nil"/>
              <w:left w:val="nil"/>
              <w:bottom w:val="nil"/>
              <w:right w:val="nil"/>
            </w:tcBorders>
            <w:shd w:val="clear" w:color="auto" w:fill="auto"/>
            <w:noWrap/>
            <w:vAlign w:val="center"/>
            <w:hideMark/>
          </w:tcPr>
          <w:p w14:paraId="080D26D0"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0.078</w:t>
            </w:r>
          </w:p>
        </w:tc>
        <w:tc>
          <w:tcPr>
            <w:tcW w:w="625" w:type="pct"/>
            <w:tcBorders>
              <w:top w:val="nil"/>
              <w:left w:val="nil"/>
              <w:bottom w:val="nil"/>
              <w:right w:val="nil"/>
            </w:tcBorders>
            <w:shd w:val="clear" w:color="auto" w:fill="auto"/>
            <w:noWrap/>
            <w:vAlign w:val="center"/>
            <w:hideMark/>
          </w:tcPr>
          <w:p w14:paraId="7B96A997"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0.080</w:t>
            </w:r>
          </w:p>
        </w:tc>
        <w:tc>
          <w:tcPr>
            <w:tcW w:w="548" w:type="pct"/>
            <w:tcBorders>
              <w:top w:val="nil"/>
              <w:left w:val="nil"/>
              <w:bottom w:val="nil"/>
              <w:right w:val="nil"/>
            </w:tcBorders>
            <w:shd w:val="clear" w:color="auto" w:fill="auto"/>
            <w:noWrap/>
            <w:vAlign w:val="center"/>
            <w:hideMark/>
          </w:tcPr>
          <w:p w14:paraId="5DF4F041"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4.642</w:t>
            </w:r>
          </w:p>
        </w:tc>
        <w:tc>
          <w:tcPr>
            <w:tcW w:w="493" w:type="pct"/>
            <w:tcBorders>
              <w:top w:val="nil"/>
              <w:left w:val="nil"/>
              <w:bottom w:val="nil"/>
              <w:right w:val="nil"/>
            </w:tcBorders>
            <w:shd w:val="clear" w:color="auto" w:fill="auto"/>
            <w:noWrap/>
            <w:vAlign w:val="center"/>
            <w:hideMark/>
          </w:tcPr>
          <w:p w14:paraId="18B1C4C2" w14:textId="77777777" w:rsidR="009578BB" w:rsidRPr="009578BB" w:rsidRDefault="009578BB" w:rsidP="009578BB">
            <w:pPr>
              <w:spacing w:after="0" w:line="240" w:lineRule="auto"/>
              <w:jc w:val="right"/>
              <w:rPr>
                <w:rFonts w:eastAsia="Times New Roman"/>
                <w:b/>
                <w:bCs/>
                <w:color w:val="000000"/>
                <w:lang w:val="de-CH" w:eastAsia="de-CH"/>
              </w:rPr>
            </w:pPr>
            <w:r w:rsidRPr="009578BB">
              <w:rPr>
                <w:rFonts w:eastAsia="Times New Roman"/>
                <w:b/>
                <w:bCs/>
                <w:color w:val="000000"/>
                <w:lang w:val="de-CH" w:eastAsia="de-CH"/>
              </w:rPr>
              <w:t>0.000</w:t>
            </w:r>
          </w:p>
        </w:tc>
        <w:tc>
          <w:tcPr>
            <w:tcW w:w="678" w:type="pct"/>
            <w:tcBorders>
              <w:top w:val="nil"/>
              <w:left w:val="nil"/>
              <w:bottom w:val="nil"/>
              <w:right w:val="nil"/>
            </w:tcBorders>
            <w:shd w:val="clear" w:color="auto" w:fill="auto"/>
            <w:noWrap/>
            <w:vAlign w:val="center"/>
            <w:hideMark/>
          </w:tcPr>
          <w:p w14:paraId="76D60377"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0.346</w:t>
            </w:r>
          </w:p>
        </w:tc>
      </w:tr>
      <w:tr w:rsidR="009578BB" w:rsidRPr="009578BB" w14:paraId="5E985E1D" w14:textId="77777777" w:rsidTr="009578BB">
        <w:trPr>
          <w:trHeight w:val="300"/>
        </w:trPr>
        <w:tc>
          <w:tcPr>
            <w:tcW w:w="1250" w:type="pct"/>
            <w:gridSpan w:val="2"/>
            <w:tcBorders>
              <w:top w:val="nil"/>
              <w:left w:val="nil"/>
              <w:bottom w:val="nil"/>
              <w:right w:val="nil"/>
            </w:tcBorders>
            <w:shd w:val="clear" w:color="auto" w:fill="auto"/>
            <w:noWrap/>
            <w:vAlign w:val="center"/>
            <w:hideMark/>
          </w:tcPr>
          <w:p w14:paraId="135979A5" w14:textId="77777777" w:rsidR="009578BB" w:rsidRPr="009578BB" w:rsidRDefault="009578BB" w:rsidP="009578BB">
            <w:pPr>
              <w:spacing w:after="0" w:line="240" w:lineRule="auto"/>
              <w:jc w:val="right"/>
              <w:rPr>
                <w:rFonts w:eastAsia="Times New Roman"/>
                <w:b/>
                <w:bCs/>
                <w:color w:val="000000"/>
                <w:lang w:val="de-CH" w:eastAsia="de-CH"/>
              </w:rPr>
            </w:pPr>
            <w:r w:rsidRPr="009578BB">
              <w:rPr>
                <w:rFonts w:eastAsia="Times New Roman"/>
                <w:b/>
                <w:bCs/>
                <w:color w:val="000000"/>
                <w:lang w:val="de-CH" w:eastAsia="de-CH"/>
              </w:rPr>
              <w:t>Olsen P</w:t>
            </w:r>
          </w:p>
        </w:tc>
        <w:tc>
          <w:tcPr>
            <w:tcW w:w="781" w:type="pct"/>
            <w:tcBorders>
              <w:top w:val="nil"/>
              <w:left w:val="nil"/>
              <w:bottom w:val="nil"/>
              <w:right w:val="nil"/>
            </w:tcBorders>
            <w:shd w:val="clear" w:color="auto" w:fill="auto"/>
            <w:noWrap/>
            <w:vAlign w:val="center"/>
            <w:hideMark/>
          </w:tcPr>
          <w:p w14:paraId="6A9C66FC"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-0.274</w:t>
            </w:r>
          </w:p>
        </w:tc>
        <w:tc>
          <w:tcPr>
            <w:tcW w:w="625" w:type="pct"/>
            <w:tcBorders>
              <w:top w:val="nil"/>
              <w:left w:val="nil"/>
              <w:bottom w:val="nil"/>
              <w:right w:val="nil"/>
            </w:tcBorders>
            <w:shd w:val="clear" w:color="auto" w:fill="auto"/>
            <w:noWrap/>
            <w:vAlign w:val="center"/>
            <w:hideMark/>
          </w:tcPr>
          <w:p w14:paraId="0D27CCA8"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0.067</w:t>
            </w:r>
          </w:p>
        </w:tc>
        <w:tc>
          <w:tcPr>
            <w:tcW w:w="625" w:type="pct"/>
            <w:tcBorders>
              <w:top w:val="nil"/>
              <w:left w:val="nil"/>
              <w:bottom w:val="nil"/>
              <w:right w:val="nil"/>
            </w:tcBorders>
            <w:shd w:val="clear" w:color="auto" w:fill="auto"/>
            <w:noWrap/>
            <w:vAlign w:val="center"/>
            <w:hideMark/>
          </w:tcPr>
          <w:p w14:paraId="4AE30D37"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0.068</w:t>
            </w:r>
          </w:p>
        </w:tc>
        <w:tc>
          <w:tcPr>
            <w:tcW w:w="548" w:type="pct"/>
            <w:tcBorders>
              <w:top w:val="nil"/>
              <w:left w:val="nil"/>
              <w:bottom w:val="nil"/>
              <w:right w:val="nil"/>
            </w:tcBorders>
            <w:shd w:val="clear" w:color="auto" w:fill="auto"/>
            <w:noWrap/>
            <w:vAlign w:val="center"/>
            <w:hideMark/>
          </w:tcPr>
          <w:p w14:paraId="037EDC10"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4.019</w:t>
            </w:r>
          </w:p>
        </w:tc>
        <w:tc>
          <w:tcPr>
            <w:tcW w:w="493" w:type="pct"/>
            <w:tcBorders>
              <w:top w:val="nil"/>
              <w:left w:val="nil"/>
              <w:bottom w:val="nil"/>
              <w:right w:val="nil"/>
            </w:tcBorders>
            <w:shd w:val="clear" w:color="auto" w:fill="auto"/>
            <w:noWrap/>
            <w:vAlign w:val="center"/>
            <w:hideMark/>
          </w:tcPr>
          <w:p w14:paraId="34CD0690" w14:textId="77777777" w:rsidR="009578BB" w:rsidRPr="009578BB" w:rsidRDefault="009578BB" w:rsidP="009578BB">
            <w:pPr>
              <w:spacing w:after="0" w:line="240" w:lineRule="auto"/>
              <w:jc w:val="right"/>
              <w:rPr>
                <w:rFonts w:eastAsia="Times New Roman"/>
                <w:b/>
                <w:bCs/>
                <w:color w:val="000000"/>
                <w:lang w:val="de-CH" w:eastAsia="de-CH"/>
              </w:rPr>
            </w:pPr>
            <w:r w:rsidRPr="009578BB">
              <w:rPr>
                <w:rFonts w:eastAsia="Times New Roman"/>
                <w:b/>
                <w:bCs/>
                <w:color w:val="000000"/>
                <w:lang w:val="de-CH" w:eastAsia="de-CH"/>
              </w:rPr>
              <w:t>0.000</w:t>
            </w:r>
          </w:p>
        </w:tc>
        <w:tc>
          <w:tcPr>
            <w:tcW w:w="678" w:type="pct"/>
            <w:tcBorders>
              <w:top w:val="nil"/>
              <w:left w:val="nil"/>
              <w:bottom w:val="nil"/>
              <w:right w:val="nil"/>
            </w:tcBorders>
            <w:shd w:val="clear" w:color="auto" w:fill="auto"/>
            <w:noWrap/>
            <w:vAlign w:val="center"/>
            <w:hideMark/>
          </w:tcPr>
          <w:p w14:paraId="3881975B"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0.254</w:t>
            </w:r>
          </w:p>
        </w:tc>
      </w:tr>
      <w:tr w:rsidR="009578BB" w:rsidRPr="009578BB" w14:paraId="79E8084C" w14:textId="77777777" w:rsidTr="009578BB">
        <w:trPr>
          <w:trHeight w:val="300"/>
        </w:trPr>
        <w:tc>
          <w:tcPr>
            <w:tcW w:w="1250" w:type="pct"/>
            <w:gridSpan w:val="2"/>
            <w:tcBorders>
              <w:top w:val="nil"/>
              <w:left w:val="nil"/>
              <w:bottom w:val="nil"/>
              <w:right w:val="nil"/>
            </w:tcBorders>
            <w:shd w:val="clear" w:color="auto" w:fill="auto"/>
            <w:noWrap/>
            <w:vAlign w:val="center"/>
            <w:hideMark/>
          </w:tcPr>
          <w:p w14:paraId="165F797F" w14:textId="77777777" w:rsidR="009578BB" w:rsidRPr="009578BB" w:rsidRDefault="009578BB" w:rsidP="009578BB">
            <w:pPr>
              <w:spacing w:after="0" w:line="240" w:lineRule="auto"/>
              <w:jc w:val="right"/>
              <w:rPr>
                <w:rFonts w:eastAsia="Times New Roman"/>
                <w:b/>
                <w:bCs/>
                <w:color w:val="000000"/>
                <w:lang w:val="de-CH" w:eastAsia="de-CH"/>
              </w:rPr>
            </w:pPr>
            <w:r w:rsidRPr="009578BB">
              <w:rPr>
                <w:rFonts w:eastAsia="Times New Roman"/>
                <w:b/>
                <w:bCs/>
                <w:color w:val="000000"/>
                <w:lang w:val="de-CH" w:eastAsia="de-CH"/>
              </w:rPr>
              <w:t>SOC</w:t>
            </w:r>
          </w:p>
        </w:tc>
        <w:tc>
          <w:tcPr>
            <w:tcW w:w="781" w:type="pct"/>
            <w:tcBorders>
              <w:top w:val="nil"/>
              <w:left w:val="nil"/>
              <w:bottom w:val="nil"/>
              <w:right w:val="nil"/>
            </w:tcBorders>
            <w:shd w:val="clear" w:color="auto" w:fill="auto"/>
            <w:noWrap/>
            <w:vAlign w:val="center"/>
            <w:hideMark/>
          </w:tcPr>
          <w:p w14:paraId="67C4B362"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0.149</w:t>
            </w:r>
          </w:p>
        </w:tc>
        <w:tc>
          <w:tcPr>
            <w:tcW w:w="625" w:type="pct"/>
            <w:tcBorders>
              <w:top w:val="nil"/>
              <w:left w:val="nil"/>
              <w:bottom w:val="nil"/>
              <w:right w:val="nil"/>
            </w:tcBorders>
            <w:shd w:val="clear" w:color="auto" w:fill="auto"/>
            <w:noWrap/>
            <w:vAlign w:val="center"/>
            <w:hideMark/>
          </w:tcPr>
          <w:p w14:paraId="0022A3ED"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0.071</w:t>
            </w:r>
          </w:p>
        </w:tc>
        <w:tc>
          <w:tcPr>
            <w:tcW w:w="625" w:type="pct"/>
            <w:tcBorders>
              <w:top w:val="nil"/>
              <w:left w:val="nil"/>
              <w:bottom w:val="nil"/>
              <w:right w:val="nil"/>
            </w:tcBorders>
            <w:shd w:val="clear" w:color="auto" w:fill="auto"/>
            <w:noWrap/>
            <w:vAlign w:val="center"/>
            <w:hideMark/>
          </w:tcPr>
          <w:p w14:paraId="4BF76F19"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0.072</w:t>
            </w:r>
          </w:p>
        </w:tc>
        <w:tc>
          <w:tcPr>
            <w:tcW w:w="548" w:type="pct"/>
            <w:tcBorders>
              <w:top w:val="nil"/>
              <w:left w:val="nil"/>
              <w:bottom w:val="nil"/>
              <w:right w:val="nil"/>
            </w:tcBorders>
            <w:shd w:val="clear" w:color="auto" w:fill="auto"/>
            <w:noWrap/>
            <w:vAlign w:val="center"/>
            <w:hideMark/>
          </w:tcPr>
          <w:p w14:paraId="6E6DEE2B"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2.065</w:t>
            </w:r>
          </w:p>
        </w:tc>
        <w:tc>
          <w:tcPr>
            <w:tcW w:w="493" w:type="pct"/>
            <w:tcBorders>
              <w:top w:val="nil"/>
              <w:left w:val="nil"/>
              <w:bottom w:val="nil"/>
              <w:right w:val="nil"/>
            </w:tcBorders>
            <w:shd w:val="clear" w:color="auto" w:fill="auto"/>
            <w:noWrap/>
            <w:vAlign w:val="center"/>
            <w:hideMark/>
          </w:tcPr>
          <w:p w14:paraId="0A56D8EB" w14:textId="77777777" w:rsidR="009578BB" w:rsidRPr="009578BB" w:rsidRDefault="009578BB" w:rsidP="009578BB">
            <w:pPr>
              <w:spacing w:after="0" w:line="240" w:lineRule="auto"/>
              <w:jc w:val="right"/>
              <w:rPr>
                <w:rFonts w:eastAsia="Times New Roman"/>
                <w:b/>
                <w:bCs/>
                <w:color w:val="000000"/>
                <w:lang w:val="de-CH" w:eastAsia="de-CH"/>
              </w:rPr>
            </w:pPr>
            <w:r w:rsidRPr="009578BB">
              <w:rPr>
                <w:rFonts w:eastAsia="Times New Roman"/>
                <w:b/>
                <w:bCs/>
                <w:color w:val="000000"/>
                <w:lang w:val="de-CH" w:eastAsia="de-CH"/>
              </w:rPr>
              <w:t>0.039</w:t>
            </w:r>
          </w:p>
        </w:tc>
        <w:tc>
          <w:tcPr>
            <w:tcW w:w="678" w:type="pct"/>
            <w:tcBorders>
              <w:top w:val="nil"/>
              <w:left w:val="nil"/>
              <w:bottom w:val="nil"/>
              <w:right w:val="nil"/>
            </w:tcBorders>
            <w:shd w:val="clear" w:color="auto" w:fill="auto"/>
            <w:noWrap/>
            <w:vAlign w:val="center"/>
            <w:hideMark/>
          </w:tcPr>
          <w:p w14:paraId="40CC550F"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0.138</w:t>
            </w:r>
          </w:p>
        </w:tc>
      </w:tr>
      <w:tr w:rsidR="009578BB" w:rsidRPr="009578BB" w14:paraId="14C83951" w14:textId="77777777" w:rsidTr="009578BB">
        <w:trPr>
          <w:trHeight w:val="300"/>
        </w:trPr>
        <w:tc>
          <w:tcPr>
            <w:tcW w:w="1250" w:type="pct"/>
            <w:gridSpan w:val="2"/>
            <w:tcBorders>
              <w:top w:val="nil"/>
              <w:left w:val="nil"/>
              <w:bottom w:val="nil"/>
              <w:right w:val="nil"/>
            </w:tcBorders>
            <w:shd w:val="clear" w:color="auto" w:fill="auto"/>
            <w:noWrap/>
            <w:vAlign w:val="center"/>
            <w:hideMark/>
          </w:tcPr>
          <w:p w14:paraId="5593425F" w14:textId="77777777" w:rsidR="009578BB" w:rsidRPr="009578BB" w:rsidRDefault="009578BB" w:rsidP="009578BB">
            <w:pPr>
              <w:spacing w:after="0" w:line="240" w:lineRule="auto"/>
              <w:jc w:val="right"/>
              <w:rPr>
                <w:rFonts w:eastAsia="Times New Roman"/>
                <w:b/>
                <w:bCs/>
                <w:color w:val="000000"/>
                <w:lang w:val="de-CH" w:eastAsia="de-CH"/>
              </w:rPr>
            </w:pPr>
            <w:r w:rsidRPr="009578BB">
              <w:rPr>
                <w:rFonts w:eastAsia="Times New Roman"/>
                <w:b/>
                <w:bCs/>
                <w:color w:val="000000"/>
                <w:lang w:val="de-CH" w:eastAsia="de-CH"/>
              </w:rPr>
              <w:t>Silt</w:t>
            </w:r>
          </w:p>
        </w:tc>
        <w:tc>
          <w:tcPr>
            <w:tcW w:w="781" w:type="pct"/>
            <w:tcBorders>
              <w:top w:val="nil"/>
              <w:left w:val="nil"/>
              <w:bottom w:val="nil"/>
              <w:right w:val="nil"/>
            </w:tcBorders>
            <w:shd w:val="clear" w:color="auto" w:fill="auto"/>
            <w:noWrap/>
            <w:vAlign w:val="center"/>
            <w:hideMark/>
          </w:tcPr>
          <w:p w14:paraId="0D660C9C"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-0.019</w:t>
            </w:r>
          </w:p>
        </w:tc>
        <w:tc>
          <w:tcPr>
            <w:tcW w:w="625" w:type="pct"/>
            <w:tcBorders>
              <w:top w:val="nil"/>
              <w:left w:val="nil"/>
              <w:bottom w:val="nil"/>
              <w:right w:val="nil"/>
            </w:tcBorders>
            <w:shd w:val="clear" w:color="auto" w:fill="auto"/>
            <w:noWrap/>
            <w:vAlign w:val="center"/>
            <w:hideMark/>
          </w:tcPr>
          <w:p w14:paraId="1EFE64D6"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0.047</w:t>
            </w:r>
          </w:p>
        </w:tc>
        <w:tc>
          <w:tcPr>
            <w:tcW w:w="625" w:type="pct"/>
            <w:tcBorders>
              <w:top w:val="nil"/>
              <w:left w:val="nil"/>
              <w:bottom w:val="nil"/>
              <w:right w:val="nil"/>
            </w:tcBorders>
            <w:shd w:val="clear" w:color="auto" w:fill="auto"/>
            <w:noWrap/>
            <w:vAlign w:val="center"/>
            <w:hideMark/>
          </w:tcPr>
          <w:p w14:paraId="206F2702"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0.048</w:t>
            </w:r>
          </w:p>
        </w:tc>
        <w:tc>
          <w:tcPr>
            <w:tcW w:w="548" w:type="pct"/>
            <w:tcBorders>
              <w:top w:val="nil"/>
              <w:left w:val="nil"/>
              <w:bottom w:val="nil"/>
              <w:right w:val="nil"/>
            </w:tcBorders>
            <w:shd w:val="clear" w:color="auto" w:fill="auto"/>
            <w:noWrap/>
            <w:vAlign w:val="center"/>
            <w:hideMark/>
          </w:tcPr>
          <w:p w14:paraId="63383338"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0.389</w:t>
            </w:r>
          </w:p>
        </w:tc>
        <w:tc>
          <w:tcPr>
            <w:tcW w:w="493" w:type="pct"/>
            <w:tcBorders>
              <w:top w:val="nil"/>
              <w:left w:val="nil"/>
              <w:bottom w:val="nil"/>
              <w:right w:val="nil"/>
            </w:tcBorders>
            <w:shd w:val="clear" w:color="auto" w:fill="auto"/>
            <w:noWrap/>
            <w:vAlign w:val="center"/>
            <w:hideMark/>
          </w:tcPr>
          <w:p w14:paraId="7E11CDB9"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0.697</w:t>
            </w:r>
          </w:p>
        </w:tc>
        <w:tc>
          <w:tcPr>
            <w:tcW w:w="678" w:type="pct"/>
            <w:tcBorders>
              <w:top w:val="nil"/>
              <w:left w:val="nil"/>
              <w:bottom w:val="nil"/>
              <w:right w:val="nil"/>
            </w:tcBorders>
            <w:shd w:val="clear" w:color="auto" w:fill="auto"/>
            <w:noWrap/>
            <w:vAlign w:val="center"/>
            <w:hideMark/>
          </w:tcPr>
          <w:p w14:paraId="0C0E1F02"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0.057</w:t>
            </w:r>
          </w:p>
        </w:tc>
      </w:tr>
      <w:tr w:rsidR="009578BB" w:rsidRPr="009578BB" w14:paraId="150592D3" w14:textId="77777777" w:rsidTr="009578BB">
        <w:trPr>
          <w:trHeight w:val="630"/>
        </w:trPr>
        <w:tc>
          <w:tcPr>
            <w:tcW w:w="198" w:type="pct"/>
            <w:tcBorders>
              <w:top w:val="single" w:sz="4" w:space="0" w:color="auto"/>
              <w:left w:val="nil"/>
              <w:bottom w:val="single" w:sz="8" w:space="0" w:color="auto"/>
              <w:right w:val="nil"/>
            </w:tcBorders>
            <w:shd w:val="clear" w:color="auto" w:fill="auto"/>
            <w:vAlign w:val="center"/>
            <w:hideMark/>
          </w:tcPr>
          <w:p w14:paraId="604B84A2" w14:textId="77777777" w:rsidR="009578BB" w:rsidRPr="009578BB" w:rsidRDefault="009578BB" w:rsidP="009578BB">
            <w:pPr>
              <w:spacing w:after="0" w:line="240" w:lineRule="auto"/>
              <w:rPr>
                <w:rFonts w:eastAsia="Times New Roman"/>
                <w:b/>
                <w:bCs/>
                <w:color w:val="000000"/>
                <w:lang w:val="de-CH" w:eastAsia="de-CH"/>
              </w:rPr>
            </w:pPr>
            <w:r w:rsidRPr="009578BB">
              <w:rPr>
                <w:rFonts w:eastAsia="Times New Roman"/>
                <w:b/>
                <w:bCs/>
                <w:color w:val="000000"/>
                <w:lang w:val="de-CH" w:eastAsia="de-CH"/>
              </w:rPr>
              <w:t xml:space="preserve">B. </w:t>
            </w:r>
          </w:p>
        </w:tc>
        <w:tc>
          <w:tcPr>
            <w:tcW w:w="1052" w:type="pct"/>
            <w:tcBorders>
              <w:top w:val="single" w:sz="4" w:space="0" w:color="auto"/>
              <w:left w:val="nil"/>
              <w:bottom w:val="single" w:sz="8" w:space="0" w:color="auto"/>
              <w:right w:val="nil"/>
            </w:tcBorders>
            <w:shd w:val="clear" w:color="auto" w:fill="auto"/>
            <w:vAlign w:val="center"/>
            <w:hideMark/>
          </w:tcPr>
          <w:p w14:paraId="4C2C1B22" w14:textId="77777777" w:rsidR="009578BB" w:rsidRPr="009578BB" w:rsidRDefault="009578BB" w:rsidP="009578BB">
            <w:pPr>
              <w:spacing w:after="0" w:line="240" w:lineRule="auto"/>
              <w:rPr>
                <w:rFonts w:eastAsia="Times New Roman"/>
                <w:color w:val="000000"/>
                <w:lang w:val="de-CH" w:eastAsia="de-CH"/>
              </w:rPr>
            </w:pPr>
            <w:r w:rsidRPr="009578BB">
              <w:rPr>
                <w:rFonts w:eastAsia="Times New Roman"/>
                <w:color w:val="000000"/>
                <w:lang w:val="de-CH" w:eastAsia="de-CH"/>
              </w:rPr>
              <w:t>Best mode</w:t>
            </w:r>
            <w:r w:rsidRPr="009578BB">
              <w:rPr>
                <w:rFonts w:eastAsia="Times New Roman"/>
                <w:lang w:val="de-CH" w:eastAsia="de-CH"/>
              </w:rPr>
              <w:t>l (R</w:t>
            </w:r>
            <w:r w:rsidRPr="009578BB">
              <w:rPr>
                <w:rFonts w:eastAsia="Times New Roman"/>
                <w:vertAlign w:val="superscript"/>
                <w:lang w:val="de-CH" w:eastAsia="de-CH"/>
              </w:rPr>
              <w:t>2</w:t>
            </w:r>
            <w:r w:rsidRPr="009578BB">
              <w:rPr>
                <w:rFonts w:eastAsia="Times New Roman"/>
                <w:lang w:val="de-CH" w:eastAsia="de-CH"/>
              </w:rPr>
              <w:t>adj. = 0.47)</w:t>
            </w:r>
          </w:p>
        </w:tc>
        <w:tc>
          <w:tcPr>
            <w:tcW w:w="781" w:type="pct"/>
            <w:tcBorders>
              <w:top w:val="single" w:sz="4" w:space="0" w:color="auto"/>
              <w:left w:val="nil"/>
              <w:bottom w:val="single" w:sz="8" w:space="0" w:color="auto"/>
              <w:right w:val="nil"/>
            </w:tcBorders>
            <w:shd w:val="clear" w:color="auto" w:fill="auto"/>
            <w:vAlign w:val="center"/>
            <w:hideMark/>
          </w:tcPr>
          <w:p w14:paraId="5319D0DA" w14:textId="77777777" w:rsidR="009578BB" w:rsidRPr="009578BB" w:rsidRDefault="009578BB" w:rsidP="009578BB">
            <w:pPr>
              <w:spacing w:after="0" w:line="240" w:lineRule="auto"/>
              <w:rPr>
                <w:rFonts w:eastAsia="Times New Roman"/>
                <w:color w:val="000000"/>
                <w:lang w:val="de-CH" w:eastAsia="de-CH"/>
              </w:rPr>
            </w:pPr>
            <w:r w:rsidRPr="009578BB">
              <w:rPr>
                <w:rFonts w:eastAsia="Times New Roman"/>
                <w:color w:val="000000"/>
                <w:lang w:val="de-CH" w:eastAsia="de-CH"/>
              </w:rPr>
              <w:t>Coefficient estimate</w:t>
            </w:r>
          </w:p>
        </w:tc>
        <w:tc>
          <w:tcPr>
            <w:tcW w:w="625" w:type="pct"/>
            <w:tcBorders>
              <w:top w:val="single" w:sz="4" w:space="0" w:color="auto"/>
              <w:left w:val="nil"/>
              <w:bottom w:val="single" w:sz="8" w:space="0" w:color="auto"/>
              <w:right w:val="nil"/>
            </w:tcBorders>
            <w:shd w:val="clear" w:color="auto" w:fill="auto"/>
            <w:vAlign w:val="center"/>
            <w:hideMark/>
          </w:tcPr>
          <w:p w14:paraId="206E0B72" w14:textId="77777777" w:rsidR="009578BB" w:rsidRPr="009578BB" w:rsidRDefault="009578BB" w:rsidP="009578BB">
            <w:pPr>
              <w:spacing w:after="0" w:line="240" w:lineRule="auto"/>
              <w:rPr>
                <w:rFonts w:eastAsia="Times New Roman"/>
                <w:color w:val="000000"/>
                <w:lang w:val="de-CH" w:eastAsia="de-CH"/>
              </w:rPr>
            </w:pPr>
            <w:r w:rsidRPr="009578BB">
              <w:rPr>
                <w:rFonts w:eastAsia="Times New Roman"/>
                <w:color w:val="000000"/>
                <w:lang w:val="de-CH" w:eastAsia="de-CH"/>
              </w:rPr>
              <w:t>Std. Error</w:t>
            </w:r>
          </w:p>
        </w:tc>
        <w:tc>
          <w:tcPr>
            <w:tcW w:w="1173" w:type="pct"/>
            <w:gridSpan w:val="2"/>
            <w:tcBorders>
              <w:top w:val="single" w:sz="4" w:space="0" w:color="auto"/>
              <w:left w:val="nil"/>
              <w:bottom w:val="single" w:sz="8" w:space="0" w:color="auto"/>
              <w:right w:val="nil"/>
            </w:tcBorders>
            <w:shd w:val="clear" w:color="auto" w:fill="auto"/>
            <w:vAlign w:val="center"/>
            <w:hideMark/>
          </w:tcPr>
          <w:p w14:paraId="38B9DC7F" w14:textId="77777777" w:rsidR="009578BB" w:rsidRPr="009578BB" w:rsidRDefault="009578BB" w:rsidP="009578BB">
            <w:pPr>
              <w:spacing w:after="0" w:line="240" w:lineRule="auto"/>
              <w:jc w:val="center"/>
              <w:rPr>
                <w:rFonts w:eastAsia="Times New Roman"/>
                <w:color w:val="000000"/>
                <w:lang w:val="de-CH" w:eastAsia="de-CH"/>
              </w:rPr>
            </w:pPr>
            <w:r w:rsidRPr="009578BB">
              <w:rPr>
                <w:rFonts w:eastAsia="Times New Roman"/>
                <w:color w:val="000000"/>
                <w:lang w:val="de-CH" w:eastAsia="de-CH"/>
              </w:rPr>
              <w:t>t-value</w:t>
            </w:r>
          </w:p>
        </w:tc>
        <w:tc>
          <w:tcPr>
            <w:tcW w:w="1170" w:type="pct"/>
            <w:gridSpan w:val="2"/>
            <w:tcBorders>
              <w:top w:val="single" w:sz="4" w:space="0" w:color="auto"/>
              <w:left w:val="nil"/>
              <w:bottom w:val="single" w:sz="8" w:space="0" w:color="auto"/>
              <w:right w:val="nil"/>
            </w:tcBorders>
            <w:shd w:val="clear" w:color="auto" w:fill="auto"/>
            <w:vAlign w:val="center"/>
            <w:hideMark/>
          </w:tcPr>
          <w:p w14:paraId="4D4CC3EF" w14:textId="77777777" w:rsidR="009578BB" w:rsidRPr="009578BB" w:rsidRDefault="009578BB" w:rsidP="009578BB">
            <w:pPr>
              <w:spacing w:after="0" w:line="240" w:lineRule="auto"/>
              <w:jc w:val="center"/>
              <w:rPr>
                <w:rFonts w:eastAsia="Times New Roman"/>
                <w:color w:val="000000"/>
                <w:lang w:val="de-CH" w:eastAsia="de-CH"/>
              </w:rPr>
            </w:pPr>
            <w:r w:rsidRPr="009578BB">
              <w:rPr>
                <w:rFonts w:eastAsia="Times New Roman"/>
                <w:color w:val="000000"/>
                <w:lang w:val="de-CH" w:eastAsia="de-CH"/>
              </w:rPr>
              <w:t>p-value</w:t>
            </w:r>
          </w:p>
        </w:tc>
      </w:tr>
      <w:tr w:rsidR="009578BB" w:rsidRPr="009578BB" w14:paraId="2198B538" w14:textId="77777777" w:rsidTr="009578BB">
        <w:trPr>
          <w:trHeight w:val="300"/>
        </w:trPr>
        <w:tc>
          <w:tcPr>
            <w:tcW w:w="1250" w:type="pct"/>
            <w:gridSpan w:val="2"/>
            <w:tcBorders>
              <w:top w:val="nil"/>
              <w:left w:val="nil"/>
              <w:bottom w:val="nil"/>
              <w:right w:val="nil"/>
            </w:tcBorders>
            <w:shd w:val="clear" w:color="auto" w:fill="auto"/>
            <w:noWrap/>
            <w:vAlign w:val="center"/>
            <w:hideMark/>
          </w:tcPr>
          <w:p w14:paraId="11DE6AD1" w14:textId="77777777" w:rsidR="009578BB" w:rsidRPr="009578BB" w:rsidRDefault="009578BB" w:rsidP="009578BB">
            <w:pPr>
              <w:spacing w:after="0" w:line="240" w:lineRule="auto"/>
              <w:jc w:val="right"/>
              <w:rPr>
                <w:rFonts w:eastAsia="Times New Roman"/>
                <w:b/>
                <w:bCs/>
                <w:color w:val="000000"/>
                <w:lang w:val="de-CH" w:eastAsia="de-CH"/>
              </w:rPr>
            </w:pPr>
            <w:r w:rsidRPr="009578BB">
              <w:rPr>
                <w:rFonts w:eastAsia="Times New Roman"/>
                <w:b/>
                <w:bCs/>
                <w:color w:val="000000"/>
                <w:lang w:val="de-CH" w:eastAsia="de-CH"/>
              </w:rPr>
              <w:t>(Intercept)</w:t>
            </w:r>
          </w:p>
        </w:tc>
        <w:tc>
          <w:tcPr>
            <w:tcW w:w="781" w:type="pct"/>
            <w:tcBorders>
              <w:top w:val="nil"/>
              <w:left w:val="nil"/>
              <w:bottom w:val="nil"/>
              <w:right w:val="nil"/>
            </w:tcBorders>
            <w:shd w:val="clear" w:color="auto" w:fill="auto"/>
            <w:noWrap/>
            <w:vAlign w:val="bottom"/>
            <w:hideMark/>
          </w:tcPr>
          <w:p w14:paraId="1CB49651"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1.279</w:t>
            </w:r>
          </w:p>
        </w:tc>
        <w:tc>
          <w:tcPr>
            <w:tcW w:w="625" w:type="pct"/>
            <w:tcBorders>
              <w:top w:val="nil"/>
              <w:left w:val="nil"/>
              <w:bottom w:val="nil"/>
              <w:right w:val="nil"/>
            </w:tcBorders>
            <w:shd w:val="clear" w:color="auto" w:fill="auto"/>
            <w:noWrap/>
            <w:vAlign w:val="bottom"/>
            <w:hideMark/>
          </w:tcPr>
          <w:p w14:paraId="56F7525A"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0.064</w:t>
            </w:r>
          </w:p>
        </w:tc>
        <w:tc>
          <w:tcPr>
            <w:tcW w:w="1173" w:type="pct"/>
            <w:gridSpan w:val="2"/>
            <w:tcBorders>
              <w:top w:val="nil"/>
              <w:left w:val="nil"/>
              <w:bottom w:val="nil"/>
              <w:right w:val="nil"/>
            </w:tcBorders>
            <w:shd w:val="clear" w:color="auto" w:fill="auto"/>
            <w:noWrap/>
            <w:vAlign w:val="bottom"/>
            <w:hideMark/>
          </w:tcPr>
          <w:p w14:paraId="691F37FC" w14:textId="77777777" w:rsidR="009578BB" w:rsidRPr="009578BB" w:rsidRDefault="009578BB" w:rsidP="009578BB">
            <w:pPr>
              <w:spacing w:after="0" w:line="240" w:lineRule="auto"/>
              <w:jc w:val="center"/>
              <w:rPr>
                <w:rFonts w:eastAsia="Times New Roman"/>
                <w:color w:val="000000"/>
                <w:lang w:val="de-CH" w:eastAsia="de-CH"/>
              </w:rPr>
            </w:pPr>
            <w:r w:rsidRPr="009578BB">
              <w:rPr>
                <w:rFonts w:eastAsia="Times New Roman"/>
                <w:color w:val="000000"/>
                <w:lang w:val="de-CH" w:eastAsia="de-CH"/>
              </w:rPr>
              <w:t>19.942</w:t>
            </w:r>
          </w:p>
        </w:tc>
        <w:tc>
          <w:tcPr>
            <w:tcW w:w="1170" w:type="pct"/>
            <w:gridSpan w:val="2"/>
            <w:tcBorders>
              <w:top w:val="nil"/>
              <w:left w:val="nil"/>
              <w:bottom w:val="nil"/>
              <w:right w:val="nil"/>
            </w:tcBorders>
            <w:shd w:val="clear" w:color="auto" w:fill="auto"/>
            <w:noWrap/>
            <w:vAlign w:val="bottom"/>
            <w:hideMark/>
          </w:tcPr>
          <w:p w14:paraId="6DB3B0F6" w14:textId="77777777" w:rsidR="009578BB" w:rsidRPr="009578BB" w:rsidRDefault="009578BB" w:rsidP="009578BB">
            <w:pPr>
              <w:spacing w:after="0" w:line="240" w:lineRule="auto"/>
              <w:jc w:val="center"/>
              <w:rPr>
                <w:rFonts w:eastAsia="Times New Roman"/>
                <w:color w:val="000000"/>
                <w:lang w:val="de-CH" w:eastAsia="de-CH"/>
              </w:rPr>
            </w:pPr>
            <w:r w:rsidRPr="009578BB">
              <w:rPr>
                <w:rFonts w:eastAsia="Times New Roman"/>
                <w:color w:val="000000"/>
                <w:lang w:val="de-CH" w:eastAsia="de-CH"/>
              </w:rPr>
              <w:t>0.000</w:t>
            </w:r>
          </w:p>
        </w:tc>
      </w:tr>
      <w:tr w:rsidR="009578BB" w:rsidRPr="009578BB" w14:paraId="15ACEF87" w14:textId="77777777" w:rsidTr="009578BB">
        <w:trPr>
          <w:trHeight w:val="300"/>
        </w:trPr>
        <w:tc>
          <w:tcPr>
            <w:tcW w:w="1250" w:type="pct"/>
            <w:gridSpan w:val="2"/>
            <w:tcBorders>
              <w:top w:val="nil"/>
              <w:left w:val="nil"/>
              <w:bottom w:val="nil"/>
              <w:right w:val="nil"/>
            </w:tcBorders>
            <w:shd w:val="clear" w:color="auto" w:fill="auto"/>
            <w:noWrap/>
            <w:vAlign w:val="center"/>
            <w:hideMark/>
          </w:tcPr>
          <w:p w14:paraId="7A6CF5E3" w14:textId="77777777" w:rsidR="009578BB" w:rsidRPr="009578BB" w:rsidRDefault="009578BB" w:rsidP="009578BB">
            <w:pPr>
              <w:spacing w:after="0" w:line="240" w:lineRule="auto"/>
              <w:jc w:val="right"/>
              <w:rPr>
                <w:rFonts w:eastAsia="Times New Roman"/>
                <w:b/>
                <w:bCs/>
                <w:color w:val="000000"/>
                <w:lang w:val="de-CH" w:eastAsia="de-CH"/>
              </w:rPr>
            </w:pPr>
            <w:r w:rsidRPr="009578BB">
              <w:rPr>
                <w:rFonts w:eastAsia="Times New Roman"/>
                <w:b/>
                <w:bCs/>
                <w:color w:val="000000"/>
                <w:lang w:val="de-CH" w:eastAsia="de-CH"/>
              </w:rPr>
              <w:t>Aridity</w:t>
            </w:r>
          </w:p>
        </w:tc>
        <w:tc>
          <w:tcPr>
            <w:tcW w:w="781" w:type="pct"/>
            <w:tcBorders>
              <w:top w:val="nil"/>
              <w:left w:val="nil"/>
              <w:bottom w:val="nil"/>
              <w:right w:val="nil"/>
            </w:tcBorders>
            <w:shd w:val="clear" w:color="auto" w:fill="auto"/>
            <w:noWrap/>
            <w:vAlign w:val="bottom"/>
            <w:hideMark/>
          </w:tcPr>
          <w:p w14:paraId="41220FC8"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-0.214</w:t>
            </w:r>
          </w:p>
        </w:tc>
        <w:tc>
          <w:tcPr>
            <w:tcW w:w="625" w:type="pct"/>
            <w:tcBorders>
              <w:top w:val="nil"/>
              <w:left w:val="nil"/>
              <w:bottom w:val="nil"/>
              <w:right w:val="nil"/>
            </w:tcBorders>
            <w:shd w:val="clear" w:color="auto" w:fill="auto"/>
            <w:noWrap/>
            <w:vAlign w:val="bottom"/>
            <w:hideMark/>
          </w:tcPr>
          <w:p w14:paraId="52C4517C"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0.086</w:t>
            </w:r>
          </w:p>
        </w:tc>
        <w:tc>
          <w:tcPr>
            <w:tcW w:w="1173" w:type="pct"/>
            <w:gridSpan w:val="2"/>
            <w:tcBorders>
              <w:top w:val="nil"/>
              <w:left w:val="nil"/>
              <w:bottom w:val="nil"/>
              <w:right w:val="nil"/>
            </w:tcBorders>
            <w:shd w:val="clear" w:color="auto" w:fill="auto"/>
            <w:noWrap/>
            <w:vAlign w:val="bottom"/>
            <w:hideMark/>
          </w:tcPr>
          <w:p w14:paraId="5076D61E" w14:textId="77777777" w:rsidR="009578BB" w:rsidRPr="009578BB" w:rsidRDefault="009578BB" w:rsidP="009578BB">
            <w:pPr>
              <w:spacing w:after="0" w:line="240" w:lineRule="auto"/>
              <w:jc w:val="center"/>
              <w:rPr>
                <w:rFonts w:eastAsia="Times New Roman"/>
                <w:color w:val="000000"/>
                <w:lang w:val="de-CH" w:eastAsia="de-CH"/>
              </w:rPr>
            </w:pPr>
            <w:r w:rsidRPr="009578BB">
              <w:rPr>
                <w:rFonts w:eastAsia="Times New Roman"/>
                <w:color w:val="000000"/>
                <w:lang w:val="de-CH" w:eastAsia="de-CH"/>
              </w:rPr>
              <w:t>-2.486</w:t>
            </w:r>
          </w:p>
        </w:tc>
        <w:tc>
          <w:tcPr>
            <w:tcW w:w="1170" w:type="pct"/>
            <w:gridSpan w:val="2"/>
            <w:tcBorders>
              <w:top w:val="nil"/>
              <w:left w:val="nil"/>
              <w:bottom w:val="nil"/>
              <w:right w:val="nil"/>
            </w:tcBorders>
            <w:shd w:val="clear" w:color="auto" w:fill="auto"/>
            <w:noWrap/>
            <w:vAlign w:val="bottom"/>
            <w:hideMark/>
          </w:tcPr>
          <w:p w14:paraId="7A010F17" w14:textId="77777777" w:rsidR="009578BB" w:rsidRPr="009578BB" w:rsidRDefault="009578BB" w:rsidP="009578BB">
            <w:pPr>
              <w:spacing w:after="0" w:line="240" w:lineRule="auto"/>
              <w:jc w:val="center"/>
              <w:rPr>
                <w:rFonts w:eastAsia="Times New Roman"/>
                <w:b/>
                <w:bCs/>
                <w:color w:val="000000"/>
                <w:lang w:val="de-CH" w:eastAsia="de-CH"/>
              </w:rPr>
            </w:pPr>
            <w:r w:rsidRPr="009578BB">
              <w:rPr>
                <w:rFonts w:eastAsia="Times New Roman"/>
                <w:b/>
                <w:bCs/>
                <w:color w:val="000000"/>
                <w:lang w:val="de-CH" w:eastAsia="de-CH"/>
              </w:rPr>
              <w:t>0.016</w:t>
            </w:r>
          </w:p>
        </w:tc>
      </w:tr>
      <w:tr w:rsidR="009578BB" w:rsidRPr="009578BB" w14:paraId="6D4C77C0" w14:textId="77777777" w:rsidTr="009578BB">
        <w:trPr>
          <w:trHeight w:val="300"/>
        </w:trPr>
        <w:tc>
          <w:tcPr>
            <w:tcW w:w="1250" w:type="pct"/>
            <w:gridSpan w:val="2"/>
            <w:tcBorders>
              <w:top w:val="nil"/>
              <w:left w:val="nil"/>
              <w:bottom w:val="nil"/>
              <w:right w:val="nil"/>
            </w:tcBorders>
            <w:shd w:val="clear" w:color="auto" w:fill="auto"/>
            <w:noWrap/>
            <w:vAlign w:val="center"/>
            <w:hideMark/>
          </w:tcPr>
          <w:p w14:paraId="266DBF6C" w14:textId="77777777" w:rsidR="009578BB" w:rsidRPr="009578BB" w:rsidRDefault="009578BB" w:rsidP="009578BB">
            <w:pPr>
              <w:spacing w:after="0" w:line="240" w:lineRule="auto"/>
              <w:jc w:val="right"/>
              <w:rPr>
                <w:rFonts w:eastAsia="Times New Roman"/>
                <w:b/>
                <w:bCs/>
                <w:color w:val="000000"/>
                <w:lang w:val="de-CH" w:eastAsia="de-CH"/>
              </w:rPr>
            </w:pPr>
            <w:r w:rsidRPr="009578BB">
              <w:rPr>
                <w:rFonts w:eastAsia="Times New Roman"/>
                <w:b/>
                <w:bCs/>
                <w:color w:val="000000"/>
                <w:lang w:val="de-CH" w:eastAsia="de-CH"/>
              </w:rPr>
              <w:t>pH</w:t>
            </w:r>
          </w:p>
        </w:tc>
        <w:tc>
          <w:tcPr>
            <w:tcW w:w="781" w:type="pct"/>
            <w:tcBorders>
              <w:top w:val="nil"/>
              <w:left w:val="nil"/>
              <w:bottom w:val="nil"/>
              <w:right w:val="nil"/>
            </w:tcBorders>
            <w:shd w:val="clear" w:color="auto" w:fill="auto"/>
            <w:noWrap/>
            <w:vAlign w:val="bottom"/>
            <w:hideMark/>
          </w:tcPr>
          <w:p w14:paraId="5B55609C"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0.370</w:t>
            </w:r>
          </w:p>
        </w:tc>
        <w:tc>
          <w:tcPr>
            <w:tcW w:w="625" w:type="pct"/>
            <w:tcBorders>
              <w:top w:val="nil"/>
              <w:left w:val="nil"/>
              <w:bottom w:val="nil"/>
              <w:right w:val="nil"/>
            </w:tcBorders>
            <w:shd w:val="clear" w:color="auto" w:fill="auto"/>
            <w:noWrap/>
            <w:vAlign w:val="bottom"/>
            <w:hideMark/>
          </w:tcPr>
          <w:p w14:paraId="75681A5C"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0.078</w:t>
            </w:r>
          </w:p>
        </w:tc>
        <w:tc>
          <w:tcPr>
            <w:tcW w:w="1173" w:type="pct"/>
            <w:gridSpan w:val="2"/>
            <w:tcBorders>
              <w:top w:val="nil"/>
              <w:left w:val="nil"/>
              <w:bottom w:val="nil"/>
              <w:right w:val="nil"/>
            </w:tcBorders>
            <w:shd w:val="clear" w:color="auto" w:fill="auto"/>
            <w:noWrap/>
            <w:vAlign w:val="bottom"/>
            <w:hideMark/>
          </w:tcPr>
          <w:p w14:paraId="35C82585" w14:textId="77777777" w:rsidR="009578BB" w:rsidRPr="009578BB" w:rsidRDefault="009578BB" w:rsidP="009578BB">
            <w:pPr>
              <w:spacing w:after="0" w:line="240" w:lineRule="auto"/>
              <w:jc w:val="center"/>
              <w:rPr>
                <w:rFonts w:eastAsia="Times New Roman"/>
                <w:color w:val="000000"/>
                <w:lang w:val="de-CH" w:eastAsia="de-CH"/>
              </w:rPr>
            </w:pPr>
            <w:r w:rsidRPr="009578BB">
              <w:rPr>
                <w:rFonts w:eastAsia="Times New Roman"/>
                <w:color w:val="000000"/>
                <w:lang w:val="de-CH" w:eastAsia="de-CH"/>
              </w:rPr>
              <w:t>4.733</w:t>
            </w:r>
          </w:p>
        </w:tc>
        <w:tc>
          <w:tcPr>
            <w:tcW w:w="1170" w:type="pct"/>
            <w:gridSpan w:val="2"/>
            <w:tcBorders>
              <w:top w:val="nil"/>
              <w:left w:val="nil"/>
              <w:bottom w:val="nil"/>
              <w:right w:val="nil"/>
            </w:tcBorders>
            <w:shd w:val="clear" w:color="auto" w:fill="auto"/>
            <w:noWrap/>
            <w:vAlign w:val="bottom"/>
            <w:hideMark/>
          </w:tcPr>
          <w:p w14:paraId="5A5440F2" w14:textId="77777777" w:rsidR="009578BB" w:rsidRPr="009578BB" w:rsidRDefault="009578BB" w:rsidP="009578BB">
            <w:pPr>
              <w:spacing w:after="0" w:line="240" w:lineRule="auto"/>
              <w:jc w:val="center"/>
              <w:rPr>
                <w:rFonts w:eastAsia="Times New Roman"/>
                <w:b/>
                <w:bCs/>
                <w:color w:val="000000"/>
                <w:lang w:val="de-CH" w:eastAsia="de-CH"/>
              </w:rPr>
            </w:pPr>
            <w:r w:rsidRPr="009578BB">
              <w:rPr>
                <w:rFonts w:eastAsia="Times New Roman"/>
                <w:b/>
                <w:bCs/>
                <w:color w:val="000000"/>
                <w:lang w:val="de-CH" w:eastAsia="de-CH"/>
              </w:rPr>
              <w:t>0.000</w:t>
            </w:r>
          </w:p>
        </w:tc>
      </w:tr>
      <w:tr w:rsidR="009578BB" w:rsidRPr="009578BB" w14:paraId="417E2CEE" w14:textId="77777777" w:rsidTr="009578BB">
        <w:trPr>
          <w:trHeight w:val="300"/>
        </w:trPr>
        <w:tc>
          <w:tcPr>
            <w:tcW w:w="1250" w:type="pct"/>
            <w:gridSpan w:val="2"/>
            <w:tcBorders>
              <w:top w:val="nil"/>
              <w:left w:val="nil"/>
              <w:bottom w:val="nil"/>
              <w:right w:val="nil"/>
            </w:tcBorders>
            <w:shd w:val="clear" w:color="auto" w:fill="auto"/>
            <w:noWrap/>
            <w:vAlign w:val="center"/>
            <w:hideMark/>
          </w:tcPr>
          <w:p w14:paraId="299AF9E9" w14:textId="77777777" w:rsidR="009578BB" w:rsidRPr="009578BB" w:rsidRDefault="009578BB" w:rsidP="009578BB">
            <w:pPr>
              <w:spacing w:after="0" w:line="240" w:lineRule="auto"/>
              <w:jc w:val="right"/>
              <w:rPr>
                <w:rFonts w:eastAsia="Times New Roman"/>
                <w:b/>
                <w:bCs/>
                <w:color w:val="000000"/>
                <w:lang w:val="de-CH" w:eastAsia="de-CH"/>
              </w:rPr>
            </w:pPr>
            <w:r w:rsidRPr="009578BB">
              <w:rPr>
                <w:rFonts w:eastAsia="Times New Roman"/>
                <w:b/>
                <w:bCs/>
                <w:color w:val="000000"/>
                <w:lang w:val="de-CH" w:eastAsia="de-CH"/>
              </w:rPr>
              <w:t>Olsen P</w:t>
            </w:r>
          </w:p>
        </w:tc>
        <w:tc>
          <w:tcPr>
            <w:tcW w:w="781" w:type="pct"/>
            <w:tcBorders>
              <w:top w:val="nil"/>
              <w:left w:val="nil"/>
              <w:bottom w:val="nil"/>
              <w:right w:val="nil"/>
            </w:tcBorders>
            <w:shd w:val="clear" w:color="auto" w:fill="auto"/>
            <w:noWrap/>
            <w:vAlign w:val="bottom"/>
            <w:hideMark/>
          </w:tcPr>
          <w:p w14:paraId="39722E8B"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-0.276</w:t>
            </w:r>
          </w:p>
        </w:tc>
        <w:tc>
          <w:tcPr>
            <w:tcW w:w="625" w:type="pct"/>
            <w:tcBorders>
              <w:top w:val="nil"/>
              <w:left w:val="nil"/>
              <w:bottom w:val="nil"/>
              <w:right w:val="nil"/>
            </w:tcBorders>
            <w:shd w:val="clear" w:color="auto" w:fill="auto"/>
            <w:noWrap/>
            <w:vAlign w:val="bottom"/>
            <w:hideMark/>
          </w:tcPr>
          <w:p w14:paraId="6C706E99"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0.066</w:t>
            </w:r>
          </w:p>
        </w:tc>
        <w:tc>
          <w:tcPr>
            <w:tcW w:w="1173" w:type="pct"/>
            <w:gridSpan w:val="2"/>
            <w:tcBorders>
              <w:top w:val="nil"/>
              <w:left w:val="nil"/>
              <w:bottom w:val="nil"/>
              <w:right w:val="nil"/>
            </w:tcBorders>
            <w:shd w:val="clear" w:color="auto" w:fill="auto"/>
            <w:noWrap/>
            <w:vAlign w:val="bottom"/>
            <w:hideMark/>
          </w:tcPr>
          <w:p w14:paraId="304FD733" w14:textId="77777777" w:rsidR="009578BB" w:rsidRPr="009578BB" w:rsidRDefault="009578BB" w:rsidP="009578BB">
            <w:pPr>
              <w:spacing w:after="0" w:line="240" w:lineRule="auto"/>
              <w:jc w:val="center"/>
              <w:rPr>
                <w:rFonts w:eastAsia="Times New Roman"/>
                <w:color w:val="000000"/>
                <w:lang w:val="de-CH" w:eastAsia="de-CH"/>
              </w:rPr>
            </w:pPr>
            <w:r w:rsidRPr="009578BB">
              <w:rPr>
                <w:rFonts w:eastAsia="Times New Roman"/>
                <w:color w:val="000000"/>
                <w:lang w:val="de-CH" w:eastAsia="de-CH"/>
              </w:rPr>
              <w:t>-4.175</w:t>
            </w:r>
          </w:p>
        </w:tc>
        <w:tc>
          <w:tcPr>
            <w:tcW w:w="1170" w:type="pct"/>
            <w:gridSpan w:val="2"/>
            <w:tcBorders>
              <w:top w:val="nil"/>
              <w:left w:val="nil"/>
              <w:bottom w:val="nil"/>
              <w:right w:val="nil"/>
            </w:tcBorders>
            <w:shd w:val="clear" w:color="auto" w:fill="auto"/>
            <w:noWrap/>
            <w:vAlign w:val="bottom"/>
            <w:hideMark/>
          </w:tcPr>
          <w:p w14:paraId="01FF7D7F" w14:textId="77777777" w:rsidR="009578BB" w:rsidRPr="009578BB" w:rsidRDefault="009578BB" w:rsidP="009578BB">
            <w:pPr>
              <w:spacing w:after="0" w:line="240" w:lineRule="auto"/>
              <w:jc w:val="center"/>
              <w:rPr>
                <w:rFonts w:eastAsia="Times New Roman"/>
                <w:b/>
                <w:bCs/>
                <w:color w:val="000000"/>
                <w:lang w:val="de-CH" w:eastAsia="de-CH"/>
              </w:rPr>
            </w:pPr>
            <w:r w:rsidRPr="009578BB">
              <w:rPr>
                <w:rFonts w:eastAsia="Times New Roman"/>
                <w:b/>
                <w:bCs/>
                <w:color w:val="000000"/>
                <w:lang w:val="de-CH" w:eastAsia="de-CH"/>
              </w:rPr>
              <w:t>0.000</w:t>
            </w:r>
          </w:p>
        </w:tc>
      </w:tr>
      <w:tr w:rsidR="009578BB" w:rsidRPr="009578BB" w14:paraId="0156C302" w14:textId="77777777" w:rsidTr="009578BB">
        <w:trPr>
          <w:trHeight w:val="300"/>
        </w:trPr>
        <w:tc>
          <w:tcPr>
            <w:tcW w:w="1250" w:type="pct"/>
            <w:gridSpan w:val="2"/>
            <w:tcBorders>
              <w:top w:val="nil"/>
              <w:left w:val="nil"/>
              <w:bottom w:val="nil"/>
              <w:right w:val="nil"/>
            </w:tcBorders>
            <w:shd w:val="clear" w:color="auto" w:fill="auto"/>
            <w:noWrap/>
            <w:vAlign w:val="center"/>
            <w:hideMark/>
          </w:tcPr>
          <w:p w14:paraId="208E7E5B" w14:textId="77777777" w:rsidR="009578BB" w:rsidRPr="009578BB" w:rsidRDefault="009578BB" w:rsidP="009578BB">
            <w:pPr>
              <w:spacing w:after="0" w:line="240" w:lineRule="auto"/>
              <w:jc w:val="right"/>
              <w:rPr>
                <w:rFonts w:eastAsia="Times New Roman"/>
                <w:b/>
                <w:bCs/>
                <w:color w:val="000000"/>
                <w:lang w:val="de-CH" w:eastAsia="de-CH"/>
              </w:rPr>
            </w:pPr>
            <w:r w:rsidRPr="009578BB">
              <w:rPr>
                <w:rFonts w:eastAsia="Times New Roman"/>
                <w:b/>
                <w:bCs/>
                <w:color w:val="000000"/>
                <w:lang w:val="de-CH" w:eastAsia="de-CH"/>
              </w:rPr>
              <w:t>SOC</w:t>
            </w:r>
          </w:p>
        </w:tc>
        <w:tc>
          <w:tcPr>
            <w:tcW w:w="781" w:type="pct"/>
            <w:tcBorders>
              <w:top w:val="nil"/>
              <w:left w:val="nil"/>
              <w:bottom w:val="nil"/>
              <w:right w:val="nil"/>
            </w:tcBorders>
            <w:shd w:val="clear" w:color="auto" w:fill="auto"/>
            <w:noWrap/>
            <w:vAlign w:val="bottom"/>
            <w:hideMark/>
          </w:tcPr>
          <w:p w14:paraId="15923603"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0.146</w:t>
            </w:r>
          </w:p>
        </w:tc>
        <w:tc>
          <w:tcPr>
            <w:tcW w:w="625" w:type="pct"/>
            <w:tcBorders>
              <w:top w:val="nil"/>
              <w:left w:val="nil"/>
              <w:bottom w:val="nil"/>
              <w:right w:val="nil"/>
            </w:tcBorders>
            <w:shd w:val="clear" w:color="auto" w:fill="auto"/>
            <w:noWrap/>
            <w:vAlign w:val="bottom"/>
            <w:hideMark/>
          </w:tcPr>
          <w:p w14:paraId="252ED979"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0.070</w:t>
            </w:r>
          </w:p>
        </w:tc>
        <w:tc>
          <w:tcPr>
            <w:tcW w:w="1173" w:type="pct"/>
            <w:gridSpan w:val="2"/>
            <w:tcBorders>
              <w:top w:val="nil"/>
              <w:left w:val="nil"/>
              <w:bottom w:val="nil"/>
              <w:right w:val="nil"/>
            </w:tcBorders>
            <w:shd w:val="clear" w:color="auto" w:fill="auto"/>
            <w:noWrap/>
            <w:vAlign w:val="bottom"/>
            <w:hideMark/>
          </w:tcPr>
          <w:p w14:paraId="1159BC45" w14:textId="77777777" w:rsidR="009578BB" w:rsidRPr="009578BB" w:rsidRDefault="009578BB" w:rsidP="009578BB">
            <w:pPr>
              <w:spacing w:after="0" w:line="240" w:lineRule="auto"/>
              <w:jc w:val="center"/>
              <w:rPr>
                <w:rFonts w:eastAsia="Times New Roman"/>
                <w:color w:val="000000"/>
                <w:lang w:val="de-CH" w:eastAsia="de-CH"/>
              </w:rPr>
            </w:pPr>
            <w:r w:rsidRPr="009578BB">
              <w:rPr>
                <w:rFonts w:eastAsia="Times New Roman"/>
                <w:color w:val="000000"/>
                <w:lang w:val="de-CH" w:eastAsia="de-CH"/>
              </w:rPr>
              <w:t>2.084</w:t>
            </w:r>
          </w:p>
        </w:tc>
        <w:tc>
          <w:tcPr>
            <w:tcW w:w="1170" w:type="pct"/>
            <w:gridSpan w:val="2"/>
            <w:tcBorders>
              <w:top w:val="nil"/>
              <w:left w:val="nil"/>
              <w:bottom w:val="nil"/>
              <w:right w:val="nil"/>
            </w:tcBorders>
            <w:shd w:val="clear" w:color="auto" w:fill="auto"/>
            <w:noWrap/>
            <w:vAlign w:val="bottom"/>
            <w:hideMark/>
          </w:tcPr>
          <w:p w14:paraId="3A985738" w14:textId="77777777" w:rsidR="009578BB" w:rsidRPr="009578BB" w:rsidRDefault="009578BB" w:rsidP="009578BB">
            <w:pPr>
              <w:spacing w:after="0" w:line="240" w:lineRule="auto"/>
              <w:jc w:val="center"/>
              <w:rPr>
                <w:rFonts w:eastAsia="Times New Roman"/>
                <w:b/>
                <w:bCs/>
                <w:color w:val="000000"/>
                <w:lang w:val="de-CH" w:eastAsia="de-CH"/>
              </w:rPr>
            </w:pPr>
            <w:r w:rsidRPr="009578BB">
              <w:rPr>
                <w:rFonts w:eastAsia="Times New Roman"/>
                <w:b/>
                <w:bCs/>
                <w:color w:val="000000"/>
                <w:lang w:val="de-CH" w:eastAsia="de-CH"/>
              </w:rPr>
              <w:t>0.042</w:t>
            </w:r>
          </w:p>
        </w:tc>
      </w:tr>
    </w:tbl>
    <w:p w14:paraId="32882C05" w14:textId="648E286A" w:rsidR="009578BB" w:rsidRDefault="009578BB">
      <w:pPr>
        <w:spacing w:line="259" w:lineRule="auto"/>
      </w:pPr>
    </w:p>
    <w:p w14:paraId="3CB1526F" w14:textId="77777777" w:rsidR="009578BB" w:rsidRDefault="009578BB">
      <w:pPr>
        <w:spacing w:line="259" w:lineRule="auto"/>
      </w:pPr>
      <w:r>
        <w:br w:type="page"/>
      </w:r>
    </w:p>
    <w:p w14:paraId="7D709EEF" w14:textId="54B057FF" w:rsidR="00E65A55" w:rsidRDefault="00DE056B" w:rsidP="009578BB">
      <w:r>
        <w:rPr>
          <w:rFonts w:eastAsia="Times New Roman"/>
          <w:b/>
          <w:bCs/>
          <w:color w:val="000000"/>
          <w:lang w:eastAsia="de-CH"/>
        </w:rPr>
        <w:lastRenderedPageBreak/>
        <w:t>Table S6</w:t>
      </w:r>
      <w:r w:rsidR="009578BB" w:rsidRPr="009578BB">
        <w:rPr>
          <w:rFonts w:eastAsia="Times New Roman"/>
          <w:b/>
          <w:bCs/>
          <w:color w:val="000000"/>
          <w:lang w:eastAsia="de-CH"/>
        </w:rPr>
        <w:t>: A.</w:t>
      </w:r>
      <w:r w:rsidR="009578BB" w:rsidRPr="009578BB">
        <w:rPr>
          <w:rFonts w:eastAsia="Times New Roman"/>
          <w:color w:val="000000"/>
          <w:lang w:eastAsia="de-CH"/>
        </w:rPr>
        <w:t xml:space="preserve"> Averaged, unconditional coefficients of the b</w:t>
      </w:r>
      <w:r w:rsidR="009578BB">
        <w:rPr>
          <w:rFonts w:eastAsia="Times New Roman"/>
          <w:color w:val="000000"/>
          <w:lang w:eastAsia="de-CH"/>
        </w:rPr>
        <w:t xml:space="preserve">est models within an AICc range </w:t>
      </w:r>
      <w:r w:rsidR="009578BB" w:rsidRPr="009578BB">
        <w:rPr>
          <w:rFonts w:eastAsia="Times New Roman"/>
          <w:color w:val="000000"/>
          <w:lang w:eastAsia="de-CH"/>
        </w:rPr>
        <w:t>&lt;</w:t>
      </w:r>
      <w:r w:rsidR="009578BB">
        <w:rPr>
          <w:rFonts w:eastAsia="Times New Roman"/>
          <w:color w:val="000000"/>
          <w:lang w:eastAsia="de-CH"/>
        </w:rPr>
        <w:t xml:space="preserve"> </w:t>
      </w:r>
      <w:r w:rsidR="009578BB" w:rsidRPr="009578BB">
        <w:rPr>
          <w:rFonts w:eastAsia="Times New Roman"/>
          <w:color w:val="000000"/>
          <w:lang w:eastAsia="de-CH"/>
        </w:rPr>
        <w:t>2 (</w:t>
      </w:r>
      <w:r w:rsidR="009578BB" w:rsidRPr="009578BB">
        <w:rPr>
          <w:rFonts w:eastAsia="Times New Roman"/>
          <w:i/>
          <w:iCs/>
          <w:color w:val="000000"/>
          <w:lang w:eastAsia="de-CH"/>
        </w:rPr>
        <w:t>i.e.</w:t>
      </w:r>
      <w:r w:rsidR="009578BB" w:rsidRPr="009578BB">
        <w:rPr>
          <w:rFonts w:eastAsia="Times New Roman"/>
          <w:color w:val="000000"/>
          <w:lang w:eastAsia="de-CH"/>
        </w:rPr>
        <w:t>, 15 models), used to explain hyphal P transfer in cropland soils (Fig. 3 B). Additionally, the parameters of the best model (highest AICc), including the model fit (adjusted R</w:t>
      </w:r>
      <w:r w:rsidR="009578BB" w:rsidRPr="009578BB">
        <w:rPr>
          <w:rFonts w:eastAsia="Times New Roman"/>
          <w:color w:val="000000"/>
          <w:vertAlign w:val="superscript"/>
          <w:lang w:eastAsia="de-CH"/>
        </w:rPr>
        <w:t>2</w:t>
      </w:r>
      <w:r w:rsidR="009578BB" w:rsidRPr="009578BB">
        <w:rPr>
          <w:rFonts w:eastAsia="Times New Roman"/>
          <w:color w:val="000000"/>
          <w:lang w:eastAsia="de-CH"/>
        </w:rPr>
        <w:t>) are shown (</w:t>
      </w:r>
      <w:r w:rsidR="009578BB" w:rsidRPr="009578BB">
        <w:rPr>
          <w:rFonts w:eastAsia="Times New Roman"/>
          <w:b/>
          <w:bCs/>
          <w:color w:val="000000"/>
          <w:lang w:eastAsia="de-CH"/>
        </w:rPr>
        <w:t>B.</w:t>
      </w:r>
      <w:r w:rsidR="009578BB" w:rsidRPr="009578BB">
        <w:rPr>
          <w:rFonts w:eastAsia="Times New Roman"/>
          <w:color w:val="000000"/>
          <w:lang w:eastAsia="de-CH"/>
        </w:rPr>
        <w:t xml:space="preserve">) </w:t>
      </w:r>
      <w:r w:rsidR="009578BB" w:rsidRPr="009578BB">
        <w:rPr>
          <w:rFonts w:eastAsia="Times New Roman"/>
          <w:color w:val="000000"/>
          <w:lang w:val="de-CH" w:eastAsia="de-CH"/>
        </w:rPr>
        <w:t>Significant p-values (p&lt;0.05) are highlighted in bold.</w:t>
      </w:r>
    </w:p>
    <w:tbl>
      <w:tblPr>
        <w:tblW w:w="5000" w:type="pct"/>
        <w:tblCellMar>
          <w:left w:w="70" w:type="dxa"/>
          <w:right w:w="70" w:type="dxa"/>
        </w:tblCellMar>
        <w:tblLook w:val="04A0" w:firstRow="1" w:lastRow="0" w:firstColumn="1" w:lastColumn="0" w:noHBand="0" w:noVBand="1"/>
      </w:tblPr>
      <w:tblGrid>
        <w:gridCol w:w="360"/>
        <w:gridCol w:w="2404"/>
        <w:gridCol w:w="1400"/>
        <w:gridCol w:w="892"/>
        <w:gridCol w:w="998"/>
        <w:gridCol w:w="894"/>
        <w:gridCol w:w="892"/>
        <w:gridCol w:w="1230"/>
      </w:tblGrid>
      <w:tr w:rsidR="009578BB" w:rsidRPr="009578BB" w14:paraId="7EF3A411" w14:textId="77777777" w:rsidTr="009578BB">
        <w:trPr>
          <w:trHeight w:val="585"/>
        </w:trPr>
        <w:tc>
          <w:tcPr>
            <w:tcW w:w="198" w:type="pct"/>
            <w:tcBorders>
              <w:top w:val="single" w:sz="4" w:space="0" w:color="auto"/>
              <w:left w:val="nil"/>
              <w:bottom w:val="single" w:sz="8" w:space="0" w:color="auto"/>
              <w:right w:val="nil"/>
            </w:tcBorders>
            <w:shd w:val="clear" w:color="auto" w:fill="auto"/>
            <w:vAlign w:val="center"/>
            <w:hideMark/>
          </w:tcPr>
          <w:p w14:paraId="10EF079E" w14:textId="77777777" w:rsidR="009578BB" w:rsidRPr="009578BB" w:rsidRDefault="009578BB" w:rsidP="009578BB">
            <w:pPr>
              <w:spacing w:after="0" w:line="240" w:lineRule="auto"/>
              <w:rPr>
                <w:rFonts w:eastAsia="Times New Roman"/>
                <w:b/>
                <w:bCs/>
                <w:color w:val="000000"/>
                <w:lang w:val="de-CH" w:eastAsia="de-CH"/>
              </w:rPr>
            </w:pPr>
            <w:r w:rsidRPr="009578BB">
              <w:rPr>
                <w:rFonts w:eastAsia="Times New Roman"/>
                <w:b/>
                <w:bCs/>
                <w:color w:val="000000"/>
                <w:lang w:val="de-CH" w:eastAsia="de-CH"/>
              </w:rPr>
              <w:t>A.</w:t>
            </w:r>
          </w:p>
        </w:tc>
        <w:tc>
          <w:tcPr>
            <w:tcW w:w="1325" w:type="pct"/>
            <w:tcBorders>
              <w:top w:val="single" w:sz="4" w:space="0" w:color="auto"/>
              <w:left w:val="nil"/>
              <w:bottom w:val="single" w:sz="8" w:space="0" w:color="auto"/>
              <w:right w:val="nil"/>
            </w:tcBorders>
            <w:shd w:val="clear" w:color="auto" w:fill="auto"/>
            <w:vAlign w:val="center"/>
            <w:hideMark/>
          </w:tcPr>
          <w:p w14:paraId="3D0401C1" w14:textId="77777777" w:rsidR="009578BB" w:rsidRPr="009578BB" w:rsidRDefault="009578BB" w:rsidP="009578BB">
            <w:pPr>
              <w:spacing w:after="0" w:line="240" w:lineRule="auto"/>
              <w:rPr>
                <w:rFonts w:eastAsia="Times New Roman"/>
                <w:color w:val="000000"/>
                <w:lang w:val="de-CH" w:eastAsia="de-CH"/>
              </w:rPr>
            </w:pPr>
            <w:r w:rsidRPr="009578BB">
              <w:rPr>
                <w:rFonts w:eastAsia="Times New Roman"/>
                <w:color w:val="000000"/>
                <w:lang w:val="de-CH" w:eastAsia="de-CH"/>
              </w:rPr>
              <w:t>Averaged coefficients (unconditional)</w:t>
            </w:r>
          </w:p>
        </w:tc>
        <w:tc>
          <w:tcPr>
            <w:tcW w:w="772" w:type="pct"/>
            <w:tcBorders>
              <w:top w:val="single" w:sz="4" w:space="0" w:color="auto"/>
              <w:left w:val="nil"/>
              <w:bottom w:val="single" w:sz="8" w:space="0" w:color="auto"/>
              <w:right w:val="nil"/>
            </w:tcBorders>
            <w:shd w:val="clear" w:color="auto" w:fill="auto"/>
            <w:vAlign w:val="center"/>
            <w:hideMark/>
          </w:tcPr>
          <w:p w14:paraId="5DC41C48" w14:textId="77777777" w:rsidR="009578BB" w:rsidRPr="009578BB" w:rsidRDefault="009578BB" w:rsidP="009578BB">
            <w:pPr>
              <w:spacing w:after="0" w:line="240" w:lineRule="auto"/>
              <w:rPr>
                <w:rFonts w:eastAsia="Times New Roman"/>
                <w:color w:val="000000"/>
                <w:lang w:val="de-CH" w:eastAsia="de-CH"/>
              </w:rPr>
            </w:pPr>
            <w:r w:rsidRPr="009578BB">
              <w:rPr>
                <w:rFonts w:eastAsia="Times New Roman"/>
                <w:color w:val="000000"/>
                <w:lang w:val="de-CH" w:eastAsia="de-CH"/>
              </w:rPr>
              <w:t>Coefficient estimate</w:t>
            </w:r>
          </w:p>
        </w:tc>
        <w:tc>
          <w:tcPr>
            <w:tcW w:w="492" w:type="pct"/>
            <w:tcBorders>
              <w:top w:val="single" w:sz="4" w:space="0" w:color="auto"/>
              <w:left w:val="nil"/>
              <w:bottom w:val="single" w:sz="8" w:space="0" w:color="auto"/>
              <w:right w:val="nil"/>
            </w:tcBorders>
            <w:shd w:val="clear" w:color="auto" w:fill="auto"/>
            <w:vAlign w:val="center"/>
            <w:hideMark/>
          </w:tcPr>
          <w:p w14:paraId="477DE7D3" w14:textId="77777777" w:rsidR="009578BB" w:rsidRPr="009578BB" w:rsidRDefault="009578BB" w:rsidP="009578BB">
            <w:pPr>
              <w:spacing w:after="0" w:line="240" w:lineRule="auto"/>
              <w:rPr>
                <w:rFonts w:eastAsia="Times New Roman"/>
                <w:color w:val="000000"/>
                <w:lang w:val="de-CH" w:eastAsia="de-CH"/>
              </w:rPr>
            </w:pPr>
            <w:r w:rsidRPr="009578BB">
              <w:rPr>
                <w:rFonts w:eastAsia="Times New Roman"/>
                <w:color w:val="000000"/>
                <w:lang w:val="de-CH" w:eastAsia="de-CH"/>
              </w:rPr>
              <w:t>Std. Error</w:t>
            </w:r>
          </w:p>
        </w:tc>
        <w:tc>
          <w:tcPr>
            <w:tcW w:w="550" w:type="pct"/>
            <w:tcBorders>
              <w:top w:val="single" w:sz="4" w:space="0" w:color="auto"/>
              <w:left w:val="nil"/>
              <w:bottom w:val="single" w:sz="8" w:space="0" w:color="auto"/>
              <w:right w:val="nil"/>
            </w:tcBorders>
            <w:shd w:val="clear" w:color="auto" w:fill="auto"/>
            <w:vAlign w:val="center"/>
            <w:hideMark/>
          </w:tcPr>
          <w:p w14:paraId="4433522F" w14:textId="77777777" w:rsidR="009578BB" w:rsidRPr="009578BB" w:rsidRDefault="009578BB" w:rsidP="009578BB">
            <w:pPr>
              <w:spacing w:after="0" w:line="240" w:lineRule="auto"/>
              <w:rPr>
                <w:rFonts w:eastAsia="Times New Roman"/>
                <w:color w:val="000000"/>
                <w:lang w:val="de-CH" w:eastAsia="de-CH"/>
              </w:rPr>
            </w:pPr>
            <w:r w:rsidRPr="009578BB">
              <w:rPr>
                <w:rFonts w:eastAsia="Times New Roman"/>
                <w:color w:val="000000"/>
                <w:lang w:val="de-CH" w:eastAsia="de-CH"/>
              </w:rPr>
              <w:t>Adjusted Std. Error</w:t>
            </w:r>
          </w:p>
        </w:tc>
        <w:tc>
          <w:tcPr>
            <w:tcW w:w="493" w:type="pct"/>
            <w:tcBorders>
              <w:top w:val="single" w:sz="4" w:space="0" w:color="auto"/>
              <w:left w:val="nil"/>
              <w:bottom w:val="single" w:sz="8" w:space="0" w:color="auto"/>
              <w:right w:val="nil"/>
            </w:tcBorders>
            <w:shd w:val="clear" w:color="auto" w:fill="auto"/>
            <w:vAlign w:val="center"/>
            <w:hideMark/>
          </w:tcPr>
          <w:p w14:paraId="7FE4A851" w14:textId="77777777" w:rsidR="009578BB" w:rsidRPr="009578BB" w:rsidRDefault="009578BB" w:rsidP="009578BB">
            <w:pPr>
              <w:spacing w:after="0" w:line="240" w:lineRule="auto"/>
              <w:rPr>
                <w:rFonts w:eastAsia="Times New Roman"/>
                <w:color w:val="000000"/>
                <w:lang w:val="de-CH" w:eastAsia="de-CH"/>
              </w:rPr>
            </w:pPr>
            <w:r w:rsidRPr="009578BB">
              <w:rPr>
                <w:rFonts w:eastAsia="Times New Roman"/>
                <w:color w:val="000000"/>
                <w:lang w:val="de-CH" w:eastAsia="de-CH"/>
              </w:rPr>
              <w:t>z-value</w:t>
            </w:r>
          </w:p>
        </w:tc>
        <w:tc>
          <w:tcPr>
            <w:tcW w:w="492" w:type="pct"/>
            <w:tcBorders>
              <w:top w:val="single" w:sz="4" w:space="0" w:color="auto"/>
              <w:left w:val="nil"/>
              <w:bottom w:val="single" w:sz="8" w:space="0" w:color="auto"/>
              <w:right w:val="nil"/>
            </w:tcBorders>
            <w:shd w:val="clear" w:color="auto" w:fill="auto"/>
            <w:vAlign w:val="center"/>
            <w:hideMark/>
          </w:tcPr>
          <w:p w14:paraId="021A2410" w14:textId="77777777" w:rsidR="009578BB" w:rsidRPr="009578BB" w:rsidRDefault="009578BB" w:rsidP="009578BB">
            <w:pPr>
              <w:spacing w:after="0" w:line="240" w:lineRule="auto"/>
              <w:rPr>
                <w:rFonts w:eastAsia="Times New Roman"/>
                <w:color w:val="000000"/>
                <w:lang w:val="de-CH" w:eastAsia="de-CH"/>
              </w:rPr>
            </w:pPr>
            <w:r w:rsidRPr="009578BB">
              <w:rPr>
                <w:rFonts w:eastAsia="Times New Roman"/>
                <w:color w:val="000000"/>
                <w:lang w:val="de-CH" w:eastAsia="de-CH"/>
              </w:rPr>
              <w:t>p-value</w:t>
            </w:r>
          </w:p>
        </w:tc>
        <w:tc>
          <w:tcPr>
            <w:tcW w:w="678" w:type="pct"/>
            <w:tcBorders>
              <w:top w:val="single" w:sz="4" w:space="0" w:color="auto"/>
              <w:left w:val="nil"/>
              <w:bottom w:val="single" w:sz="8" w:space="0" w:color="auto"/>
              <w:right w:val="nil"/>
            </w:tcBorders>
            <w:shd w:val="clear" w:color="auto" w:fill="auto"/>
            <w:vAlign w:val="center"/>
            <w:hideMark/>
          </w:tcPr>
          <w:p w14:paraId="3FE63E5F" w14:textId="77777777" w:rsidR="009578BB" w:rsidRPr="009578BB" w:rsidRDefault="009578BB" w:rsidP="009578BB">
            <w:pPr>
              <w:spacing w:after="0" w:line="240" w:lineRule="auto"/>
              <w:rPr>
                <w:rFonts w:eastAsia="Times New Roman"/>
                <w:color w:val="000000"/>
                <w:lang w:val="de-CH" w:eastAsia="de-CH"/>
              </w:rPr>
            </w:pPr>
            <w:r w:rsidRPr="009578BB">
              <w:rPr>
                <w:rFonts w:eastAsia="Times New Roman"/>
                <w:color w:val="000000"/>
                <w:lang w:val="de-CH" w:eastAsia="de-CH"/>
              </w:rPr>
              <w:t>Relative importance</w:t>
            </w:r>
          </w:p>
        </w:tc>
      </w:tr>
      <w:tr w:rsidR="009578BB" w:rsidRPr="009578BB" w14:paraId="63A5BD77" w14:textId="77777777" w:rsidTr="009578BB">
        <w:trPr>
          <w:trHeight w:val="300"/>
        </w:trPr>
        <w:tc>
          <w:tcPr>
            <w:tcW w:w="1523" w:type="pct"/>
            <w:gridSpan w:val="2"/>
            <w:tcBorders>
              <w:top w:val="nil"/>
              <w:left w:val="nil"/>
              <w:bottom w:val="nil"/>
              <w:right w:val="nil"/>
            </w:tcBorders>
            <w:shd w:val="clear" w:color="auto" w:fill="auto"/>
            <w:noWrap/>
            <w:vAlign w:val="center"/>
            <w:hideMark/>
          </w:tcPr>
          <w:p w14:paraId="63EA240C"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(Intercept)</w:t>
            </w:r>
          </w:p>
        </w:tc>
        <w:tc>
          <w:tcPr>
            <w:tcW w:w="772" w:type="pct"/>
            <w:tcBorders>
              <w:top w:val="nil"/>
              <w:left w:val="nil"/>
              <w:bottom w:val="nil"/>
              <w:right w:val="nil"/>
            </w:tcBorders>
            <w:shd w:val="clear" w:color="auto" w:fill="auto"/>
            <w:noWrap/>
            <w:vAlign w:val="bottom"/>
            <w:hideMark/>
          </w:tcPr>
          <w:p w14:paraId="2875D493"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2.745</w:t>
            </w:r>
          </w:p>
        </w:tc>
        <w:tc>
          <w:tcPr>
            <w:tcW w:w="492" w:type="pct"/>
            <w:tcBorders>
              <w:top w:val="nil"/>
              <w:left w:val="nil"/>
              <w:bottom w:val="nil"/>
              <w:right w:val="nil"/>
            </w:tcBorders>
            <w:shd w:val="clear" w:color="auto" w:fill="auto"/>
            <w:noWrap/>
            <w:vAlign w:val="bottom"/>
            <w:hideMark/>
          </w:tcPr>
          <w:p w14:paraId="4B68DAAD"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0.155</w:t>
            </w:r>
          </w:p>
        </w:tc>
        <w:tc>
          <w:tcPr>
            <w:tcW w:w="550" w:type="pct"/>
            <w:tcBorders>
              <w:top w:val="nil"/>
              <w:left w:val="nil"/>
              <w:bottom w:val="nil"/>
              <w:right w:val="nil"/>
            </w:tcBorders>
            <w:shd w:val="clear" w:color="auto" w:fill="auto"/>
            <w:noWrap/>
            <w:vAlign w:val="bottom"/>
            <w:hideMark/>
          </w:tcPr>
          <w:p w14:paraId="1099FF6F"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0.156</w:t>
            </w:r>
          </w:p>
        </w:tc>
        <w:tc>
          <w:tcPr>
            <w:tcW w:w="493" w:type="pct"/>
            <w:tcBorders>
              <w:top w:val="nil"/>
              <w:left w:val="nil"/>
              <w:bottom w:val="nil"/>
              <w:right w:val="nil"/>
            </w:tcBorders>
            <w:shd w:val="clear" w:color="auto" w:fill="auto"/>
            <w:noWrap/>
            <w:vAlign w:val="bottom"/>
            <w:hideMark/>
          </w:tcPr>
          <w:p w14:paraId="7EE8FDF7"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17.57</w:t>
            </w:r>
          </w:p>
        </w:tc>
        <w:tc>
          <w:tcPr>
            <w:tcW w:w="492" w:type="pct"/>
            <w:tcBorders>
              <w:top w:val="nil"/>
              <w:left w:val="nil"/>
              <w:bottom w:val="nil"/>
              <w:right w:val="nil"/>
            </w:tcBorders>
            <w:shd w:val="clear" w:color="auto" w:fill="auto"/>
            <w:noWrap/>
            <w:vAlign w:val="bottom"/>
            <w:hideMark/>
          </w:tcPr>
          <w:p w14:paraId="4B63F938" w14:textId="77777777" w:rsidR="009578BB" w:rsidRPr="009578BB" w:rsidRDefault="009578BB" w:rsidP="009578BB">
            <w:pPr>
              <w:spacing w:after="0" w:line="240" w:lineRule="auto"/>
              <w:jc w:val="right"/>
              <w:rPr>
                <w:rFonts w:eastAsia="Times New Roman"/>
                <w:b/>
                <w:bCs/>
                <w:color w:val="000000"/>
                <w:lang w:val="de-CH" w:eastAsia="de-CH"/>
              </w:rPr>
            </w:pPr>
            <w:r w:rsidRPr="009578BB">
              <w:rPr>
                <w:rFonts w:eastAsia="Times New Roman"/>
                <w:b/>
                <w:bCs/>
                <w:color w:val="000000"/>
                <w:lang w:val="de-CH" w:eastAsia="de-CH"/>
              </w:rPr>
              <w:t>0.000</w:t>
            </w:r>
          </w:p>
        </w:tc>
        <w:tc>
          <w:tcPr>
            <w:tcW w:w="678" w:type="pct"/>
            <w:tcBorders>
              <w:top w:val="nil"/>
              <w:left w:val="nil"/>
              <w:bottom w:val="nil"/>
              <w:right w:val="nil"/>
            </w:tcBorders>
            <w:shd w:val="clear" w:color="auto" w:fill="auto"/>
            <w:noWrap/>
            <w:vAlign w:val="bottom"/>
            <w:hideMark/>
          </w:tcPr>
          <w:p w14:paraId="555CC95C" w14:textId="77777777" w:rsidR="009578BB" w:rsidRPr="009578BB" w:rsidRDefault="009578BB" w:rsidP="009578BB">
            <w:pPr>
              <w:spacing w:after="0" w:line="240" w:lineRule="auto"/>
              <w:jc w:val="right"/>
              <w:rPr>
                <w:rFonts w:eastAsia="Times New Roman"/>
                <w:b/>
                <w:bCs/>
                <w:color w:val="000000"/>
                <w:lang w:val="de-CH" w:eastAsia="de-CH"/>
              </w:rPr>
            </w:pPr>
          </w:p>
        </w:tc>
      </w:tr>
      <w:tr w:rsidR="009578BB" w:rsidRPr="009578BB" w14:paraId="6A2F2758" w14:textId="77777777" w:rsidTr="009578BB">
        <w:trPr>
          <w:trHeight w:val="300"/>
        </w:trPr>
        <w:tc>
          <w:tcPr>
            <w:tcW w:w="1523" w:type="pct"/>
            <w:gridSpan w:val="2"/>
            <w:tcBorders>
              <w:top w:val="nil"/>
              <w:left w:val="nil"/>
              <w:bottom w:val="nil"/>
              <w:right w:val="nil"/>
            </w:tcBorders>
            <w:shd w:val="clear" w:color="auto" w:fill="auto"/>
            <w:noWrap/>
            <w:vAlign w:val="center"/>
            <w:hideMark/>
          </w:tcPr>
          <w:p w14:paraId="68625F69"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pH</w:t>
            </w:r>
          </w:p>
        </w:tc>
        <w:tc>
          <w:tcPr>
            <w:tcW w:w="772" w:type="pct"/>
            <w:tcBorders>
              <w:top w:val="nil"/>
              <w:left w:val="nil"/>
              <w:bottom w:val="nil"/>
              <w:right w:val="nil"/>
            </w:tcBorders>
            <w:shd w:val="clear" w:color="auto" w:fill="auto"/>
            <w:noWrap/>
            <w:vAlign w:val="bottom"/>
            <w:hideMark/>
          </w:tcPr>
          <w:p w14:paraId="20F32F8A"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0.514</w:t>
            </w:r>
          </w:p>
        </w:tc>
        <w:tc>
          <w:tcPr>
            <w:tcW w:w="492" w:type="pct"/>
            <w:tcBorders>
              <w:top w:val="nil"/>
              <w:left w:val="nil"/>
              <w:bottom w:val="nil"/>
              <w:right w:val="nil"/>
            </w:tcBorders>
            <w:shd w:val="clear" w:color="auto" w:fill="auto"/>
            <w:noWrap/>
            <w:vAlign w:val="bottom"/>
            <w:hideMark/>
          </w:tcPr>
          <w:p w14:paraId="2C73864B"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0.180</w:t>
            </w:r>
          </w:p>
        </w:tc>
        <w:tc>
          <w:tcPr>
            <w:tcW w:w="550" w:type="pct"/>
            <w:tcBorders>
              <w:top w:val="nil"/>
              <w:left w:val="nil"/>
              <w:bottom w:val="nil"/>
              <w:right w:val="nil"/>
            </w:tcBorders>
            <w:shd w:val="clear" w:color="auto" w:fill="auto"/>
            <w:noWrap/>
            <w:vAlign w:val="bottom"/>
            <w:hideMark/>
          </w:tcPr>
          <w:p w14:paraId="66F3B7D2"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0.181</w:t>
            </w:r>
          </w:p>
        </w:tc>
        <w:tc>
          <w:tcPr>
            <w:tcW w:w="493" w:type="pct"/>
            <w:tcBorders>
              <w:top w:val="nil"/>
              <w:left w:val="nil"/>
              <w:bottom w:val="nil"/>
              <w:right w:val="nil"/>
            </w:tcBorders>
            <w:shd w:val="clear" w:color="auto" w:fill="auto"/>
            <w:noWrap/>
            <w:vAlign w:val="bottom"/>
            <w:hideMark/>
          </w:tcPr>
          <w:p w14:paraId="2EDFE58E"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2.842</w:t>
            </w:r>
          </w:p>
        </w:tc>
        <w:tc>
          <w:tcPr>
            <w:tcW w:w="492" w:type="pct"/>
            <w:tcBorders>
              <w:top w:val="nil"/>
              <w:left w:val="nil"/>
              <w:bottom w:val="nil"/>
              <w:right w:val="nil"/>
            </w:tcBorders>
            <w:shd w:val="clear" w:color="auto" w:fill="auto"/>
            <w:noWrap/>
            <w:vAlign w:val="bottom"/>
            <w:hideMark/>
          </w:tcPr>
          <w:p w14:paraId="5E765280" w14:textId="77777777" w:rsidR="009578BB" w:rsidRPr="009578BB" w:rsidRDefault="009578BB" w:rsidP="009578BB">
            <w:pPr>
              <w:spacing w:after="0" w:line="240" w:lineRule="auto"/>
              <w:jc w:val="right"/>
              <w:rPr>
                <w:rFonts w:eastAsia="Times New Roman"/>
                <w:b/>
                <w:bCs/>
                <w:color w:val="000000"/>
                <w:lang w:val="de-CH" w:eastAsia="de-CH"/>
              </w:rPr>
            </w:pPr>
            <w:r w:rsidRPr="009578BB">
              <w:rPr>
                <w:rFonts w:eastAsia="Times New Roman"/>
                <w:b/>
                <w:bCs/>
                <w:color w:val="000000"/>
                <w:lang w:val="de-CH" w:eastAsia="de-CH"/>
              </w:rPr>
              <w:t>0.004</w:t>
            </w:r>
          </w:p>
        </w:tc>
        <w:tc>
          <w:tcPr>
            <w:tcW w:w="678" w:type="pct"/>
            <w:tcBorders>
              <w:top w:val="nil"/>
              <w:left w:val="nil"/>
              <w:bottom w:val="nil"/>
              <w:right w:val="nil"/>
            </w:tcBorders>
            <w:shd w:val="clear" w:color="auto" w:fill="auto"/>
            <w:noWrap/>
            <w:vAlign w:val="bottom"/>
            <w:hideMark/>
          </w:tcPr>
          <w:p w14:paraId="7C47D123"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0.108</w:t>
            </w:r>
          </w:p>
        </w:tc>
      </w:tr>
      <w:tr w:rsidR="009578BB" w:rsidRPr="009578BB" w14:paraId="04734366" w14:textId="77777777" w:rsidTr="009578BB">
        <w:trPr>
          <w:trHeight w:val="300"/>
        </w:trPr>
        <w:tc>
          <w:tcPr>
            <w:tcW w:w="1523" w:type="pct"/>
            <w:gridSpan w:val="2"/>
            <w:tcBorders>
              <w:top w:val="nil"/>
              <w:left w:val="nil"/>
              <w:bottom w:val="nil"/>
              <w:right w:val="nil"/>
            </w:tcBorders>
            <w:shd w:val="clear" w:color="auto" w:fill="auto"/>
            <w:noWrap/>
            <w:vAlign w:val="center"/>
            <w:hideMark/>
          </w:tcPr>
          <w:p w14:paraId="2E055015"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Soil bacteria Shannon</w:t>
            </w:r>
          </w:p>
        </w:tc>
        <w:tc>
          <w:tcPr>
            <w:tcW w:w="772" w:type="pct"/>
            <w:tcBorders>
              <w:top w:val="nil"/>
              <w:left w:val="nil"/>
              <w:bottom w:val="nil"/>
              <w:right w:val="nil"/>
            </w:tcBorders>
            <w:shd w:val="clear" w:color="auto" w:fill="auto"/>
            <w:noWrap/>
            <w:vAlign w:val="bottom"/>
            <w:hideMark/>
          </w:tcPr>
          <w:p w14:paraId="1CDE0BCD"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-0.327</w:t>
            </w:r>
          </w:p>
        </w:tc>
        <w:tc>
          <w:tcPr>
            <w:tcW w:w="492" w:type="pct"/>
            <w:tcBorders>
              <w:top w:val="nil"/>
              <w:left w:val="nil"/>
              <w:bottom w:val="nil"/>
              <w:right w:val="nil"/>
            </w:tcBorders>
            <w:shd w:val="clear" w:color="auto" w:fill="auto"/>
            <w:noWrap/>
            <w:vAlign w:val="bottom"/>
            <w:hideMark/>
          </w:tcPr>
          <w:p w14:paraId="0D77669B"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0.252</w:t>
            </w:r>
          </w:p>
        </w:tc>
        <w:tc>
          <w:tcPr>
            <w:tcW w:w="550" w:type="pct"/>
            <w:tcBorders>
              <w:top w:val="nil"/>
              <w:left w:val="nil"/>
              <w:bottom w:val="nil"/>
              <w:right w:val="nil"/>
            </w:tcBorders>
            <w:shd w:val="clear" w:color="auto" w:fill="auto"/>
            <w:noWrap/>
            <w:vAlign w:val="bottom"/>
            <w:hideMark/>
          </w:tcPr>
          <w:p w14:paraId="38A80573"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0.254</w:t>
            </w:r>
          </w:p>
        </w:tc>
        <w:tc>
          <w:tcPr>
            <w:tcW w:w="493" w:type="pct"/>
            <w:tcBorders>
              <w:top w:val="nil"/>
              <w:left w:val="nil"/>
              <w:bottom w:val="nil"/>
              <w:right w:val="nil"/>
            </w:tcBorders>
            <w:shd w:val="clear" w:color="auto" w:fill="auto"/>
            <w:noWrap/>
            <w:vAlign w:val="bottom"/>
            <w:hideMark/>
          </w:tcPr>
          <w:p w14:paraId="20E5EF03"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1.287</w:t>
            </w:r>
          </w:p>
        </w:tc>
        <w:tc>
          <w:tcPr>
            <w:tcW w:w="492" w:type="pct"/>
            <w:tcBorders>
              <w:top w:val="nil"/>
              <w:left w:val="nil"/>
              <w:bottom w:val="nil"/>
              <w:right w:val="nil"/>
            </w:tcBorders>
            <w:shd w:val="clear" w:color="auto" w:fill="auto"/>
            <w:noWrap/>
            <w:vAlign w:val="bottom"/>
            <w:hideMark/>
          </w:tcPr>
          <w:p w14:paraId="300EFE96"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0.198</w:t>
            </w:r>
          </w:p>
        </w:tc>
        <w:tc>
          <w:tcPr>
            <w:tcW w:w="678" w:type="pct"/>
            <w:tcBorders>
              <w:top w:val="nil"/>
              <w:left w:val="nil"/>
              <w:bottom w:val="nil"/>
              <w:right w:val="nil"/>
            </w:tcBorders>
            <w:shd w:val="clear" w:color="auto" w:fill="auto"/>
            <w:noWrap/>
            <w:vAlign w:val="bottom"/>
            <w:hideMark/>
          </w:tcPr>
          <w:p w14:paraId="4A4998AF"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0.085</w:t>
            </w:r>
          </w:p>
        </w:tc>
      </w:tr>
      <w:tr w:rsidR="009578BB" w:rsidRPr="009578BB" w14:paraId="4F7AFFC3" w14:textId="77777777" w:rsidTr="009578BB">
        <w:trPr>
          <w:trHeight w:val="300"/>
        </w:trPr>
        <w:tc>
          <w:tcPr>
            <w:tcW w:w="1523" w:type="pct"/>
            <w:gridSpan w:val="2"/>
            <w:tcBorders>
              <w:top w:val="nil"/>
              <w:left w:val="nil"/>
              <w:bottom w:val="nil"/>
              <w:right w:val="nil"/>
            </w:tcBorders>
            <w:shd w:val="clear" w:color="auto" w:fill="auto"/>
            <w:noWrap/>
            <w:vAlign w:val="center"/>
            <w:hideMark/>
          </w:tcPr>
          <w:p w14:paraId="54ED6104"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Soil cercozoa Shannon</w:t>
            </w:r>
          </w:p>
        </w:tc>
        <w:tc>
          <w:tcPr>
            <w:tcW w:w="772" w:type="pct"/>
            <w:tcBorders>
              <w:top w:val="nil"/>
              <w:left w:val="nil"/>
              <w:bottom w:val="nil"/>
              <w:right w:val="nil"/>
            </w:tcBorders>
            <w:shd w:val="clear" w:color="auto" w:fill="auto"/>
            <w:noWrap/>
            <w:vAlign w:val="bottom"/>
            <w:hideMark/>
          </w:tcPr>
          <w:p w14:paraId="31AFC2CD"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0.339</w:t>
            </w:r>
          </w:p>
        </w:tc>
        <w:tc>
          <w:tcPr>
            <w:tcW w:w="492" w:type="pct"/>
            <w:tcBorders>
              <w:top w:val="nil"/>
              <w:left w:val="nil"/>
              <w:bottom w:val="nil"/>
              <w:right w:val="nil"/>
            </w:tcBorders>
            <w:shd w:val="clear" w:color="auto" w:fill="auto"/>
            <w:noWrap/>
            <w:vAlign w:val="bottom"/>
            <w:hideMark/>
          </w:tcPr>
          <w:p w14:paraId="3ED0FEFA"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0.191</w:t>
            </w:r>
          </w:p>
        </w:tc>
        <w:tc>
          <w:tcPr>
            <w:tcW w:w="550" w:type="pct"/>
            <w:tcBorders>
              <w:top w:val="nil"/>
              <w:left w:val="nil"/>
              <w:bottom w:val="nil"/>
              <w:right w:val="nil"/>
            </w:tcBorders>
            <w:shd w:val="clear" w:color="auto" w:fill="auto"/>
            <w:noWrap/>
            <w:vAlign w:val="bottom"/>
            <w:hideMark/>
          </w:tcPr>
          <w:p w14:paraId="72D281C0"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0.192</w:t>
            </w:r>
          </w:p>
        </w:tc>
        <w:tc>
          <w:tcPr>
            <w:tcW w:w="493" w:type="pct"/>
            <w:tcBorders>
              <w:top w:val="nil"/>
              <w:left w:val="nil"/>
              <w:bottom w:val="nil"/>
              <w:right w:val="nil"/>
            </w:tcBorders>
            <w:shd w:val="clear" w:color="auto" w:fill="auto"/>
            <w:noWrap/>
            <w:vAlign w:val="bottom"/>
            <w:hideMark/>
          </w:tcPr>
          <w:p w14:paraId="10C8A727"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1.760</w:t>
            </w:r>
          </w:p>
        </w:tc>
        <w:tc>
          <w:tcPr>
            <w:tcW w:w="492" w:type="pct"/>
            <w:tcBorders>
              <w:top w:val="nil"/>
              <w:left w:val="nil"/>
              <w:bottom w:val="nil"/>
              <w:right w:val="nil"/>
            </w:tcBorders>
            <w:shd w:val="clear" w:color="auto" w:fill="auto"/>
            <w:noWrap/>
            <w:vAlign w:val="bottom"/>
            <w:hideMark/>
          </w:tcPr>
          <w:p w14:paraId="7CC13524"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0.078</w:t>
            </w:r>
          </w:p>
        </w:tc>
        <w:tc>
          <w:tcPr>
            <w:tcW w:w="678" w:type="pct"/>
            <w:tcBorders>
              <w:top w:val="nil"/>
              <w:left w:val="nil"/>
              <w:bottom w:val="nil"/>
              <w:right w:val="nil"/>
            </w:tcBorders>
            <w:shd w:val="clear" w:color="auto" w:fill="auto"/>
            <w:noWrap/>
            <w:vAlign w:val="bottom"/>
            <w:hideMark/>
          </w:tcPr>
          <w:p w14:paraId="1B20AC34"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0.074</w:t>
            </w:r>
          </w:p>
        </w:tc>
      </w:tr>
      <w:tr w:rsidR="009578BB" w:rsidRPr="009578BB" w14:paraId="74702AFB" w14:textId="77777777" w:rsidTr="009578BB">
        <w:trPr>
          <w:trHeight w:val="300"/>
        </w:trPr>
        <w:tc>
          <w:tcPr>
            <w:tcW w:w="1523" w:type="pct"/>
            <w:gridSpan w:val="2"/>
            <w:tcBorders>
              <w:top w:val="nil"/>
              <w:left w:val="nil"/>
              <w:bottom w:val="nil"/>
              <w:right w:val="nil"/>
            </w:tcBorders>
            <w:shd w:val="clear" w:color="auto" w:fill="auto"/>
            <w:noWrap/>
            <w:vAlign w:val="center"/>
            <w:hideMark/>
          </w:tcPr>
          <w:p w14:paraId="3CB2B082"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Crop Shannon</w:t>
            </w:r>
          </w:p>
        </w:tc>
        <w:tc>
          <w:tcPr>
            <w:tcW w:w="772" w:type="pct"/>
            <w:tcBorders>
              <w:top w:val="nil"/>
              <w:left w:val="nil"/>
              <w:bottom w:val="nil"/>
              <w:right w:val="nil"/>
            </w:tcBorders>
            <w:shd w:val="clear" w:color="auto" w:fill="auto"/>
            <w:noWrap/>
            <w:vAlign w:val="bottom"/>
            <w:hideMark/>
          </w:tcPr>
          <w:p w14:paraId="2E2A4ECF"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0.399</w:t>
            </w:r>
          </w:p>
        </w:tc>
        <w:tc>
          <w:tcPr>
            <w:tcW w:w="492" w:type="pct"/>
            <w:tcBorders>
              <w:top w:val="nil"/>
              <w:left w:val="nil"/>
              <w:bottom w:val="nil"/>
              <w:right w:val="nil"/>
            </w:tcBorders>
            <w:shd w:val="clear" w:color="auto" w:fill="auto"/>
            <w:noWrap/>
            <w:vAlign w:val="bottom"/>
            <w:hideMark/>
          </w:tcPr>
          <w:p w14:paraId="281E1E09"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0.194</w:t>
            </w:r>
          </w:p>
        </w:tc>
        <w:tc>
          <w:tcPr>
            <w:tcW w:w="550" w:type="pct"/>
            <w:tcBorders>
              <w:top w:val="nil"/>
              <w:left w:val="nil"/>
              <w:bottom w:val="nil"/>
              <w:right w:val="nil"/>
            </w:tcBorders>
            <w:shd w:val="clear" w:color="auto" w:fill="auto"/>
            <w:noWrap/>
            <w:vAlign w:val="bottom"/>
            <w:hideMark/>
          </w:tcPr>
          <w:p w14:paraId="26731A02"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0.195</w:t>
            </w:r>
          </w:p>
        </w:tc>
        <w:tc>
          <w:tcPr>
            <w:tcW w:w="493" w:type="pct"/>
            <w:tcBorders>
              <w:top w:val="nil"/>
              <w:left w:val="nil"/>
              <w:bottom w:val="nil"/>
              <w:right w:val="nil"/>
            </w:tcBorders>
            <w:shd w:val="clear" w:color="auto" w:fill="auto"/>
            <w:noWrap/>
            <w:vAlign w:val="bottom"/>
            <w:hideMark/>
          </w:tcPr>
          <w:p w14:paraId="28B9974B"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2.043</w:t>
            </w:r>
          </w:p>
        </w:tc>
        <w:tc>
          <w:tcPr>
            <w:tcW w:w="492" w:type="pct"/>
            <w:tcBorders>
              <w:top w:val="nil"/>
              <w:left w:val="nil"/>
              <w:bottom w:val="nil"/>
              <w:right w:val="nil"/>
            </w:tcBorders>
            <w:shd w:val="clear" w:color="auto" w:fill="auto"/>
            <w:noWrap/>
            <w:vAlign w:val="bottom"/>
            <w:hideMark/>
          </w:tcPr>
          <w:p w14:paraId="72EDE68B" w14:textId="77777777" w:rsidR="009578BB" w:rsidRPr="009578BB" w:rsidRDefault="009578BB" w:rsidP="009578BB">
            <w:pPr>
              <w:spacing w:after="0" w:line="240" w:lineRule="auto"/>
              <w:jc w:val="right"/>
              <w:rPr>
                <w:rFonts w:eastAsia="Times New Roman"/>
                <w:b/>
                <w:bCs/>
                <w:color w:val="000000"/>
                <w:lang w:val="de-CH" w:eastAsia="de-CH"/>
              </w:rPr>
            </w:pPr>
            <w:r w:rsidRPr="009578BB">
              <w:rPr>
                <w:rFonts w:eastAsia="Times New Roman"/>
                <w:b/>
                <w:bCs/>
                <w:color w:val="000000"/>
                <w:lang w:val="de-CH" w:eastAsia="de-CH"/>
              </w:rPr>
              <w:t>0.041</w:t>
            </w:r>
          </w:p>
        </w:tc>
        <w:tc>
          <w:tcPr>
            <w:tcW w:w="678" w:type="pct"/>
            <w:tcBorders>
              <w:top w:val="nil"/>
              <w:left w:val="nil"/>
              <w:bottom w:val="nil"/>
              <w:right w:val="nil"/>
            </w:tcBorders>
            <w:shd w:val="clear" w:color="auto" w:fill="auto"/>
            <w:noWrap/>
            <w:vAlign w:val="bottom"/>
            <w:hideMark/>
          </w:tcPr>
          <w:p w14:paraId="2BB25B95"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0.084</w:t>
            </w:r>
          </w:p>
        </w:tc>
      </w:tr>
      <w:tr w:rsidR="009578BB" w:rsidRPr="009578BB" w14:paraId="355C6D39" w14:textId="77777777" w:rsidTr="009578BB">
        <w:trPr>
          <w:trHeight w:val="300"/>
        </w:trPr>
        <w:tc>
          <w:tcPr>
            <w:tcW w:w="1523" w:type="pct"/>
            <w:gridSpan w:val="2"/>
            <w:tcBorders>
              <w:top w:val="nil"/>
              <w:left w:val="nil"/>
              <w:bottom w:val="nil"/>
              <w:right w:val="nil"/>
            </w:tcBorders>
            <w:shd w:val="clear" w:color="auto" w:fill="auto"/>
            <w:noWrap/>
            <w:vAlign w:val="center"/>
            <w:hideMark/>
          </w:tcPr>
          <w:p w14:paraId="0E2DE6CF"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Tillage intensity</w:t>
            </w:r>
          </w:p>
        </w:tc>
        <w:tc>
          <w:tcPr>
            <w:tcW w:w="772" w:type="pct"/>
            <w:tcBorders>
              <w:top w:val="nil"/>
              <w:left w:val="nil"/>
              <w:bottom w:val="nil"/>
              <w:right w:val="nil"/>
            </w:tcBorders>
            <w:shd w:val="clear" w:color="auto" w:fill="auto"/>
            <w:noWrap/>
            <w:vAlign w:val="bottom"/>
            <w:hideMark/>
          </w:tcPr>
          <w:p w14:paraId="11FC3DFD"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0.286</w:t>
            </w:r>
          </w:p>
        </w:tc>
        <w:tc>
          <w:tcPr>
            <w:tcW w:w="492" w:type="pct"/>
            <w:tcBorders>
              <w:top w:val="nil"/>
              <w:left w:val="nil"/>
              <w:bottom w:val="nil"/>
              <w:right w:val="nil"/>
            </w:tcBorders>
            <w:shd w:val="clear" w:color="auto" w:fill="auto"/>
            <w:noWrap/>
            <w:vAlign w:val="bottom"/>
            <w:hideMark/>
          </w:tcPr>
          <w:p w14:paraId="14E2BB86"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0.168</w:t>
            </w:r>
          </w:p>
        </w:tc>
        <w:tc>
          <w:tcPr>
            <w:tcW w:w="550" w:type="pct"/>
            <w:tcBorders>
              <w:top w:val="nil"/>
              <w:left w:val="nil"/>
              <w:bottom w:val="nil"/>
              <w:right w:val="nil"/>
            </w:tcBorders>
            <w:shd w:val="clear" w:color="auto" w:fill="auto"/>
            <w:noWrap/>
            <w:vAlign w:val="bottom"/>
            <w:hideMark/>
          </w:tcPr>
          <w:p w14:paraId="5940C863"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0.169</w:t>
            </w:r>
          </w:p>
        </w:tc>
        <w:tc>
          <w:tcPr>
            <w:tcW w:w="493" w:type="pct"/>
            <w:tcBorders>
              <w:top w:val="nil"/>
              <w:left w:val="nil"/>
              <w:bottom w:val="nil"/>
              <w:right w:val="nil"/>
            </w:tcBorders>
            <w:shd w:val="clear" w:color="auto" w:fill="auto"/>
            <w:noWrap/>
            <w:vAlign w:val="bottom"/>
            <w:hideMark/>
          </w:tcPr>
          <w:p w14:paraId="25546D76"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1.690</w:t>
            </w:r>
          </w:p>
        </w:tc>
        <w:tc>
          <w:tcPr>
            <w:tcW w:w="492" w:type="pct"/>
            <w:tcBorders>
              <w:top w:val="nil"/>
              <w:left w:val="nil"/>
              <w:bottom w:val="nil"/>
              <w:right w:val="nil"/>
            </w:tcBorders>
            <w:shd w:val="clear" w:color="auto" w:fill="auto"/>
            <w:noWrap/>
            <w:vAlign w:val="bottom"/>
            <w:hideMark/>
          </w:tcPr>
          <w:p w14:paraId="32F80622"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0.091</w:t>
            </w:r>
          </w:p>
        </w:tc>
        <w:tc>
          <w:tcPr>
            <w:tcW w:w="678" w:type="pct"/>
            <w:tcBorders>
              <w:top w:val="nil"/>
              <w:left w:val="nil"/>
              <w:bottom w:val="nil"/>
              <w:right w:val="nil"/>
            </w:tcBorders>
            <w:shd w:val="clear" w:color="auto" w:fill="auto"/>
            <w:noWrap/>
            <w:vAlign w:val="bottom"/>
            <w:hideMark/>
          </w:tcPr>
          <w:p w14:paraId="70101E04"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0.063</w:t>
            </w:r>
          </w:p>
        </w:tc>
      </w:tr>
      <w:tr w:rsidR="009578BB" w:rsidRPr="009578BB" w14:paraId="2AB84825" w14:textId="77777777" w:rsidTr="009578BB">
        <w:trPr>
          <w:trHeight w:val="300"/>
        </w:trPr>
        <w:tc>
          <w:tcPr>
            <w:tcW w:w="1523" w:type="pct"/>
            <w:gridSpan w:val="2"/>
            <w:tcBorders>
              <w:top w:val="nil"/>
              <w:left w:val="nil"/>
              <w:bottom w:val="nil"/>
              <w:right w:val="nil"/>
            </w:tcBorders>
            <w:shd w:val="clear" w:color="auto" w:fill="auto"/>
            <w:noWrap/>
            <w:vAlign w:val="center"/>
            <w:hideMark/>
          </w:tcPr>
          <w:p w14:paraId="35D70198"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Fungicide applications</w:t>
            </w:r>
          </w:p>
        </w:tc>
        <w:tc>
          <w:tcPr>
            <w:tcW w:w="772" w:type="pct"/>
            <w:tcBorders>
              <w:top w:val="nil"/>
              <w:left w:val="nil"/>
              <w:bottom w:val="nil"/>
              <w:right w:val="nil"/>
            </w:tcBorders>
            <w:shd w:val="clear" w:color="auto" w:fill="auto"/>
            <w:noWrap/>
            <w:vAlign w:val="bottom"/>
            <w:hideMark/>
          </w:tcPr>
          <w:p w14:paraId="1464EE8D"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-0.701</w:t>
            </w:r>
          </w:p>
        </w:tc>
        <w:tc>
          <w:tcPr>
            <w:tcW w:w="492" w:type="pct"/>
            <w:tcBorders>
              <w:top w:val="nil"/>
              <w:left w:val="nil"/>
              <w:bottom w:val="nil"/>
              <w:right w:val="nil"/>
            </w:tcBorders>
            <w:shd w:val="clear" w:color="auto" w:fill="auto"/>
            <w:noWrap/>
            <w:vAlign w:val="bottom"/>
            <w:hideMark/>
          </w:tcPr>
          <w:p w14:paraId="7F2051E3"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0.176</w:t>
            </w:r>
          </w:p>
        </w:tc>
        <w:tc>
          <w:tcPr>
            <w:tcW w:w="550" w:type="pct"/>
            <w:tcBorders>
              <w:top w:val="nil"/>
              <w:left w:val="nil"/>
              <w:bottom w:val="nil"/>
              <w:right w:val="nil"/>
            </w:tcBorders>
            <w:shd w:val="clear" w:color="auto" w:fill="auto"/>
            <w:noWrap/>
            <w:vAlign w:val="bottom"/>
            <w:hideMark/>
          </w:tcPr>
          <w:p w14:paraId="15F27A49"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0.177</w:t>
            </w:r>
          </w:p>
        </w:tc>
        <w:tc>
          <w:tcPr>
            <w:tcW w:w="493" w:type="pct"/>
            <w:tcBorders>
              <w:top w:val="nil"/>
              <w:left w:val="nil"/>
              <w:bottom w:val="nil"/>
              <w:right w:val="nil"/>
            </w:tcBorders>
            <w:shd w:val="clear" w:color="auto" w:fill="auto"/>
            <w:noWrap/>
            <w:vAlign w:val="bottom"/>
            <w:hideMark/>
          </w:tcPr>
          <w:p w14:paraId="124A1013"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3.963</w:t>
            </w:r>
          </w:p>
        </w:tc>
        <w:tc>
          <w:tcPr>
            <w:tcW w:w="492" w:type="pct"/>
            <w:tcBorders>
              <w:top w:val="nil"/>
              <w:left w:val="nil"/>
              <w:bottom w:val="nil"/>
              <w:right w:val="nil"/>
            </w:tcBorders>
            <w:shd w:val="clear" w:color="auto" w:fill="auto"/>
            <w:noWrap/>
            <w:vAlign w:val="bottom"/>
            <w:hideMark/>
          </w:tcPr>
          <w:p w14:paraId="3E575C4E" w14:textId="77777777" w:rsidR="009578BB" w:rsidRPr="009578BB" w:rsidRDefault="009578BB" w:rsidP="009578BB">
            <w:pPr>
              <w:spacing w:after="0" w:line="240" w:lineRule="auto"/>
              <w:jc w:val="right"/>
              <w:rPr>
                <w:rFonts w:eastAsia="Times New Roman"/>
                <w:b/>
                <w:bCs/>
                <w:color w:val="000000"/>
                <w:lang w:val="de-CH" w:eastAsia="de-CH"/>
              </w:rPr>
            </w:pPr>
            <w:r w:rsidRPr="009578BB">
              <w:rPr>
                <w:rFonts w:eastAsia="Times New Roman"/>
                <w:b/>
                <w:bCs/>
                <w:color w:val="000000"/>
                <w:lang w:val="de-CH" w:eastAsia="de-CH"/>
              </w:rPr>
              <w:t>0.000</w:t>
            </w:r>
          </w:p>
        </w:tc>
        <w:tc>
          <w:tcPr>
            <w:tcW w:w="678" w:type="pct"/>
            <w:tcBorders>
              <w:top w:val="nil"/>
              <w:left w:val="nil"/>
              <w:bottom w:val="nil"/>
              <w:right w:val="nil"/>
            </w:tcBorders>
            <w:shd w:val="clear" w:color="auto" w:fill="auto"/>
            <w:noWrap/>
            <w:vAlign w:val="bottom"/>
            <w:hideMark/>
          </w:tcPr>
          <w:p w14:paraId="387CE70A"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0.147</w:t>
            </w:r>
          </w:p>
        </w:tc>
      </w:tr>
      <w:tr w:rsidR="009578BB" w:rsidRPr="009578BB" w14:paraId="7BFA45CB" w14:textId="77777777" w:rsidTr="009578BB">
        <w:trPr>
          <w:trHeight w:val="300"/>
        </w:trPr>
        <w:tc>
          <w:tcPr>
            <w:tcW w:w="1523" w:type="pct"/>
            <w:gridSpan w:val="2"/>
            <w:tcBorders>
              <w:top w:val="nil"/>
              <w:left w:val="nil"/>
              <w:bottom w:val="nil"/>
              <w:right w:val="nil"/>
            </w:tcBorders>
            <w:shd w:val="clear" w:color="auto" w:fill="auto"/>
            <w:noWrap/>
            <w:vAlign w:val="center"/>
            <w:hideMark/>
          </w:tcPr>
          <w:p w14:paraId="7AB4814A"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Silt</w:t>
            </w:r>
          </w:p>
        </w:tc>
        <w:tc>
          <w:tcPr>
            <w:tcW w:w="772" w:type="pct"/>
            <w:tcBorders>
              <w:top w:val="nil"/>
              <w:left w:val="nil"/>
              <w:bottom w:val="nil"/>
              <w:right w:val="nil"/>
            </w:tcBorders>
            <w:shd w:val="clear" w:color="auto" w:fill="auto"/>
            <w:noWrap/>
            <w:vAlign w:val="bottom"/>
            <w:hideMark/>
          </w:tcPr>
          <w:p w14:paraId="79D0E984"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0.013</w:t>
            </w:r>
          </w:p>
        </w:tc>
        <w:tc>
          <w:tcPr>
            <w:tcW w:w="492" w:type="pct"/>
            <w:tcBorders>
              <w:top w:val="nil"/>
              <w:left w:val="nil"/>
              <w:bottom w:val="nil"/>
              <w:right w:val="nil"/>
            </w:tcBorders>
            <w:shd w:val="clear" w:color="auto" w:fill="auto"/>
            <w:noWrap/>
            <w:vAlign w:val="bottom"/>
            <w:hideMark/>
          </w:tcPr>
          <w:p w14:paraId="5E9B740C"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0.064</w:t>
            </w:r>
          </w:p>
        </w:tc>
        <w:tc>
          <w:tcPr>
            <w:tcW w:w="550" w:type="pct"/>
            <w:tcBorders>
              <w:top w:val="nil"/>
              <w:left w:val="nil"/>
              <w:bottom w:val="nil"/>
              <w:right w:val="nil"/>
            </w:tcBorders>
            <w:shd w:val="clear" w:color="auto" w:fill="auto"/>
            <w:noWrap/>
            <w:vAlign w:val="bottom"/>
            <w:hideMark/>
          </w:tcPr>
          <w:p w14:paraId="0CBFDD62"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0.064</w:t>
            </w:r>
          </w:p>
        </w:tc>
        <w:tc>
          <w:tcPr>
            <w:tcW w:w="493" w:type="pct"/>
            <w:tcBorders>
              <w:top w:val="nil"/>
              <w:left w:val="nil"/>
              <w:bottom w:val="nil"/>
              <w:right w:val="nil"/>
            </w:tcBorders>
            <w:shd w:val="clear" w:color="auto" w:fill="auto"/>
            <w:noWrap/>
            <w:vAlign w:val="bottom"/>
            <w:hideMark/>
          </w:tcPr>
          <w:p w14:paraId="379CB718"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0.199</w:t>
            </w:r>
          </w:p>
        </w:tc>
        <w:tc>
          <w:tcPr>
            <w:tcW w:w="492" w:type="pct"/>
            <w:tcBorders>
              <w:top w:val="nil"/>
              <w:left w:val="nil"/>
              <w:bottom w:val="nil"/>
              <w:right w:val="nil"/>
            </w:tcBorders>
            <w:shd w:val="clear" w:color="auto" w:fill="auto"/>
            <w:noWrap/>
            <w:vAlign w:val="bottom"/>
            <w:hideMark/>
          </w:tcPr>
          <w:p w14:paraId="1228D9EE"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0.842</w:t>
            </w:r>
          </w:p>
        </w:tc>
        <w:tc>
          <w:tcPr>
            <w:tcW w:w="678" w:type="pct"/>
            <w:tcBorders>
              <w:top w:val="nil"/>
              <w:left w:val="nil"/>
              <w:bottom w:val="nil"/>
              <w:right w:val="nil"/>
            </w:tcBorders>
            <w:shd w:val="clear" w:color="auto" w:fill="auto"/>
            <w:noWrap/>
            <w:vAlign w:val="bottom"/>
            <w:hideMark/>
          </w:tcPr>
          <w:p w14:paraId="443D3A81"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0.039</w:t>
            </w:r>
          </w:p>
        </w:tc>
      </w:tr>
      <w:tr w:rsidR="009578BB" w:rsidRPr="009578BB" w14:paraId="466FE030" w14:textId="77777777" w:rsidTr="009578BB">
        <w:trPr>
          <w:trHeight w:val="300"/>
        </w:trPr>
        <w:tc>
          <w:tcPr>
            <w:tcW w:w="1523" w:type="pct"/>
            <w:gridSpan w:val="2"/>
            <w:tcBorders>
              <w:top w:val="nil"/>
              <w:left w:val="nil"/>
              <w:bottom w:val="nil"/>
              <w:right w:val="nil"/>
            </w:tcBorders>
            <w:shd w:val="clear" w:color="auto" w:fill="auto"/>
            <w:noWrap/>
            <w:vAlign w:val="center"/>
            <w:hideMark/>
          </w:tcPr>
          <w:p w14:paraId="4B548245"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Annual temperature</w:t>
            </w:r>
          </w:p>
        </w:tc>
        <w:tc>
          <w:tcPr>
            <w:tcW w:w="772" w:type="pct"/>
            <w:tcBorders>
              <w:top w:val="nil"/>
              <w:left w:val="nil"/>
              <w:bottom w:val="nil"/>
              <w:right w:val="nil"/>
            </w:tcBorders>
            <w:shd w:val="clear" w:color="auto" w:fill="auto"/>
            <w:noWrap/>
            <w:vAlign w:val="bottom"/>
            <w:hideMark/>
          </w:tcPr>
          <w:p w14:paraId="04165EEC"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-0.013</w:t>
            </w:r>
          </w:p>
        </w:tc>
        <w:tc>
          <w:tcPr>
            <w:tcW w:w="492" w:type="pct"/>
            <w:tcBorders>
              <w:top w:val="nil"/>
              <w:left w:val="nil"/>
              <w:bottom w:val="nil"/>
              <w:right w:val="nil"/>
            </w:tcBorders>
            <w:shd w:val="clear" w:color="auto" w:fill="auto"/>
            <w:noWrap/>
            <w:vAlign w:val="bottom"/>
            <w:hideMark/>
          </w:tcPr>
          <w:p w14:paraId="69442CA5"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0.074</w:t>
            </w:r>
          </w:p>
        </w:tc>
        <w:tc>
          <w:tcPr>
            <w:tcW w:w="550" w:type="pct"/>
            <w:tcBorders>
              <w:top w:val="nil"/>
              <w:left w:val="nil"/>
              <w:bottom w:val="nil"/>
              <w:right w:val="nil"/>
            </w:tcBorders>
            <w:shd w:val="clear" w:color="auto" w:fill="auto"/>
            <w:noWrap/>
            <w:vAlign w:val="bottom"/>
            <w:hideMark/>
          </w:tcPr>
          <w:p w14:paraId="77719685"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0.074</w:t>
            </w:r>
          </w:p>
        </w:tc>
        <w:tc>
          <w:tcPr>
            <w:tcW w:w="493" w:type="pct"/>
            <w:tcBorders>
              <w:top w:val="nil"/>
              <w:left w:val="nil"/>
              <w:bottom w:val="nil"/>
              <w:right w:val="nil"/>
            </w:tcBorders>
            <w:shd w:val="clear" w:color="auto" w:fill="auto"/>
            <w:noWrap/>
            <w:vAlign w:val="bottom"/>
            <w:hideMark/>
          </w:tcPr>
          <w:p w14:paraId="5BA871B0"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0.169</w:t>
            </w:r>
          </w:p>
        </w:tc>
        <w:tc>
          <w:tcPr>
            <w:tcW w:w="492" w:type="pct"/>
            <w:tcBorders>
              <w:top w:val="nil"/>
              <w:left w:val="nil"/>
              <w:bottom w:val="nil"/>
              <w:right w:val="nil"/>
            </w:tcBorders>
            <w:shd w:val="clear" w:color="auto" w:fill="auto"/>
            <w:noWrap/>
            <w:vAlign w:val="bottom"/>
            <w:hideMark/>
          </w:tcPr>
          <w:p w14:paraId="681E5310"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0.866</w:t>
            </w:r>
          </w:p>
        </w:tc>
        <w:tc>
          <w:tcPr>
            <w:tcW w:w="678" w:type="pct"/>
            <w:tcBorders>
              <w:top w:val="nil"/>
              <w:left w:val="nil"/>
              <w:bottom w:val="nil"/>
              <w:right w:val="nil"/>
            </w:tcBorders>
            <w:shd w:val="clear" w:color="auto" w:fill="auto"/>
            <w:noWrap/>
            <w:vAlign w:val="bottom"/>
            <w:hideMark/>
          </w:tcPr>
          <w:p w14:paraId="6E657CC1"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0.045</w:t>
            </w:r>
          </w:p>
        </w:tc>
      </w:tr>
      <w:tr w:rsidR="009578BB" w:rsidRPr="009578BB" w14:paraId="0747110A" w14:textId="77777777" w:rsidTr="009578BB">
        <w:trPr>
          <w:trHeight w:val="300"/>
        </w:trPr>
        <w:tc>
          <w:tcPr>
            <w:tcW w:w="1523" w:type="pct"/>
            <w:gridSpan w:val="2"/>
            <w:tcBorders>
              <w:top w:val="nil"/>
              <w:left w:val="nil"/>
              <w:bottom w:val="nil"/>
              <w:right w:val="nil"/>
            </w:tcBorders>
            <w:shd w:val="clear" w:color="auto" w:fill="auto"/>
            <w:noWrap/>
            <w:vAlign w:val="center"/>
            <w:hideMark/>
          </w:tcPr>
          <w:p w14:paraId="4CF876D1"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Nmin</w:t>
            </w:r>
          </w:p>
        </w:tc>
        <w:tc>
          <w:tcPr>
            <w:tcW w:w="772" w:type="pct"/>
            <w:tcBorders>
              <w:top w:val="nil"/>
              <w:left w:val="nil"/>
              <w:bottom w:val="nil"/>
              <w:right w:val="nil"/>
            </w:tcBorders>
            <w:shd w:val="clear" w:color="auto" w:fill="auto"/>
            <w:noWrap/>
            <w:vAlign w:val="bottom"/>
            <w:hideMark/>
          </w:tcPr>
          <w:p w14:paraId="72F3008C"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-0.080</w:t>
            </w:r>
          </w:p>
        </w:tc>
        <w:tc>
          <w:tcPr>
            <w:tcW w:w="492" w:type="pct"/>
            <w:tcBorders>
              <w:top w:val="nil"/>
              <w:left w:val="nil"/>
              <w:bottom w:val="nil"/>
              <w:right w:val="nil"/>
            </w:tcBorders>
            <w:shd w:val="clear" w:color="auto" w:fill="auto"/>
            <w:noWrap/>
            <w:vAlign w:val="bottom"/>
            <w:hideMark/>
          </w:tcPr>
          <w:p w14:paraId="6F68E5C8"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0.177</w:t>
            </w:r>
          </w:p>
        </w:tc>
        <w:tc>
          <w:tcPr>
            <w:tcW w:w="550" w:type="pct"/>
            <w:tcBorders>
              <w:top w:val="nil"/>
              <w:left w:val="nil"/>
              <w:bottom w:val="nil"/>
              <w:right w:val="nil"/>
            </w:tcBorders>
            <w:shd w:val="clear" w:color="auto" w:fill="auto"/>
            <w:noWrap/>
            <w:vAlign w:val="bottom"/>
            <w:hideMark/>
          </w:tcPr>
          <w:p w14:paraId="26440B4A"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0.178</w:t>
            </w:r>
          </w:p>
        </w:tc>
        <w:tc>
          <w:tcPr>
            <w:tcW w:w="493" w:type="pct"/>
            <w:tcBorders>
              <w:top w:val="nil"/>
              <w:left w:val="nil"/>
              <w:bottom w:val="nil"/>
              <w:right w:val="nil"/>
            </w:tcBorders>
            <w:shd w:val="clear" w:color="auto" w:fill="auto"/>
            <w:noWrap/>
            <w:vAlign w:val="bottom"/>
            <w:hideMark/>
          </w:tcPr>
          <w:p w14:paraId="1B71E370"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0.447</w:t>
            </w:r>
          </w:p>
        </w:tc>
        <w:tc>
          <w:tcPr>
            <w:tcW w:w="492" w:type="pct"/>
            <w:tcBorders>
              <w:top w:val="nil"/>
              <w:left w:val="nil"/>
              <w:bottom w:val="nil"/>
              <w:right w:val="nil"/>
            </w:tcBorders>
            <w:shd w:val="clear" w:color="auto" w:fill="auto"/>
            <w:noWrap/>
            <w:vAlign w:val="bottom"/>
            <w:hideMark/>
          </w:tcPr>
          <w:p w14:paraId="7B2EF316"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0.655</w:t>
            </w:r>
          </w:p>
        </w:tc>
        <w:tc>
          <w:tcPr>
            <w:tcW w:w="678" w:type="pct"/>
            <w:tcBorders>
              <w:top w:val="nil"/>
              <w:left w:val="nil"/>
              <w:bottom w:val="nil"/>
              <w:right w:val="nil"/>
            </w:tcBorders>
            <w:shd w:val="clear" w:color="auto" w:fill="auto"/>
            <w:noWrap/>
            <w:vAlign w:val="bottom"/>
            <w:hideMark/>
          </w:tcPr>
          <w:p w14:paraId="5330840F"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0.069</w:t>
            </w:r>
          </w:p>
        </w:tc>
      </w:tr>
      <w:tr w:rsidR="009578BB" w:rsidRPr="009578BB" w14:paraId="4BCF71DB" w14:textId="77777777" w:rsidTr="009578BB">
        <w:trPr>
          <w:trHeight w:val="300"/>
        </w:trPr>
        <w:tc>
          <w:tcPr>
            <w:tcW w:w="1523" w:type="pct"/>
            <w:gridSpan w:val="2"/>
            <w:tcBorders>
              <w:top w:val="nil"/>
              <w:left w:val="nil"/>
              <w:bottom w:val="nil"/>
              <w:right w:val="nil"/>
            </w:tcBorders>
            <w:shd w:val="clear" w:color="auto" w:fill="auto"/>
            <w:noWrap/>
            <w:vAlign w:val="center"/>
            <w:hideMark/>
          </w:tcPr>
          <w:p w14:paraId="4C655B17"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Fertilizer Nmin added</w:t>
            </w:r>
          </w:p>
        </w:tc>
        <w:tc>
          <w:tcPr>
            <w:tcW w:w="772" w:type="pct"/>
            <w:tcBorders>
              <w:top w:val="nil"/>
              <w:left w:val="nil"/>
              <w:bottom w:val="nil"/>
              <w:right w:val="nil"/>
            </w:tcBorders>
            <w:shd w:val="clear" w:color="auto" w:fill="auto"/>
            <w:noWrap/>
            <w:vAlign w:val="bottom"/>
            <w:hideMark/>
          </w:tcPr>
          <w:p w14:paraId="67644C82"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-0.009</w:t>
            </w:r>
          </w:p>
        </w:tc>
        <w:tc>
          <w:tcPr>
            <w:tcW w:w="492" w:type="pct"/>
            <w:tcBorders>
              <w:top w:val="nil"/>
              <w:left w:val="nil"/>
              <w:bottom w:val="nil"/>
              <w:right w:val="nil"/>
            </w:tcBorders>
            <w:shd w:val="clear" w:color="auto" w:fill="auto"/>
            <w:noWrap/>
            <w:vAlign w:val="bottom"/>
            <w:hideMark/>
          </w:tcPr>
          <w:p w14:paraId="0DD7F830"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0.061</w:t>
            </w:r>
          </w:p>
        </w:tc>
        <w:tc>
          <w:tcPr>
            <w:tcW w:w="550" w:type="pct"/>
            <w:tcBorders>
              <w:top w:val="nil"/>
              <w:left w:val="nil"/>
              <w:bottom w:val="nil"/>
              <w:right w:val="nil"/>
            </w:tcBorders>
            <w:shd w:val="clear" w:color="auto" w:fill="auto"/>
            <w:noWrap/>
            <w:vAlign w:val="bottom"/>
            <w:hideMark/>
          </w:tcPr>
          <w:p w14:paraId="3158FE90"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0.061</w:t>
            </w:r>
          </w:p>
        </w:tc>
        <w:tc>
          <w:tcPr>
            <w:tcW w:w="493" w:type="pct"/>
            <w:tcBorders>
              <w:top w:val="nil"/>
              <w:left w:val="nil"/>
              <w:bottom w:val="nil"/>
              <w:right w:val="nil"/>
            </w:tcBorders>
            <w:shd w:val="clear" w:color="auto" w:fill="auto"/>
            <w:noWrap/>
            <w:vAlign w:val="bottom"/>
            <w:hideMark/>
          </w:tcPr>
          <w:p w14:paraId="3E2AABD6"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0.146</w:t>
            </w:r>
          </w:p>
        </w:tc>
        <w:tc>
          <w:tcPr>
            <w:tcW w:w="492" w:type="pct"/>
            <w:tcBorders>
              <w:top w:val="nil"/>
              <w:left w:val="nil"/>
              <w:bottom w:val="nil"/>
              <w:right w:val="nil"/>
            </w:tcBorders>
            <w:shd w:val="clear" w:color="auto" w:fill="auto"/>
            <w:noWrap/>
            <w:vAlign w:val="bottom"/>
            <w:hideMark/>
          </w:tcPr>
          <w:p w14:paraId="060EFC33"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0.884</w:t>
            </w:r>
          </w:p>
        </w:tc>
        <w:tc>
          <w:tcPr>
            <w:tcW w:w="678" w:type="pct"/>
            <w:tcBorders>
              <w:top w:val="nil"/>
              <w:left w:val="nil"/>
              <w:bottom w:val="nil"/>
              <w:right w:val="nil"/>
            </w:tcBorders>
            <w:shd w:val="clear" w:color="auto" w:fill="auto"/>
            <w:noWrap/>
            <w:vAlign w:val="bottom"/>
            <w:hideMark/>
          </w:tcPr>
          <w:p w14:paraId="07EDE0A3"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0.036</w:t>
            </w:r>
          </w:p>
        </w:tc>
      </w:tr>
      <w:tr w:rsidR="009578BB" w:rsidRPr="009578BB" w14:paraId="4D3592AD" w14:textId="77777777" w:rsidTr="009578BB">
        <w:trPr>
          <w:trHeight w:val="300"/>
        </w:trPr>
        <w:tc>
          <w:tcPr>
            <w:tcW w:w="1523" w:type="pct"/>
            <w:gridSpan w:val="2"/>
            <w:tcBorders>
              <w:top w:val="nil"/>
              <w:left w:val="nil"/>
              <w:bottom w:val="nil"/>
              <w:right w:val="nil"/>
            </w:tcBorders>
            <w:shd w:val="clear" w:color="auto" w:fill="auto"/>
            <w:noWrap/>
            <w:vAlign w:val="center"/>
            <w:hideMark/>
          </w:tcPr>
          <w:p w14:paraId="704FB194"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Nmin:Pmin</w:t>
            </w:r>
          </w:p>
        </w:tc>
        <w:tc>
          <w:tcPr>
            <w:tcW w:w="772" w:type="pct"/>
            <w:tcBorders>
              <w:top w:val="nil"/>
              <w:left w:val="nil"/>
              <w:bottom w:val="nil"/>
              <w:right w:val="nil"/>
            </w:tcBorders>
            <w:shd w:val="clear" w:color="auto" w:fill="auto"/>
            <w:noWrap/>
            <w:vAlign w:val="bottom"/>
            <w:hideMark/>
          </w:tcPr>
          <w:p w14:paraId="3C5C5E7F"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0.073</w:t>
            </w:r>
          </w:p>
        </w:tc>
        <w:tc>
          <w:tcPr>
            <w:tcW w:w="492" w:type="pct"/>
            <w:tcBorders>
              <w:top w:val="nil"/>
              <w:left w:val="nil"/>
              <w:bottom w:val="nil"/>
              <w:right w:val="nil"/>
            </w:tcBorders>
            <w:shd w:val="clear" w:color="auto" w:fill="auto"/>
            <w:noWrap/>
            <w:vAlign w:val="bottom"/>
            <w:hideMark/>
          </w:tcPr>
          <w:p w14:paraId="3EA1FEFC"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0.172</w:t>
            </w:r>
          </w:p>
        </w:tc>
        <w:tc>
          <w:tcPr>
            <w:tcW w:w="550" w:type="pct"/>
            <w:tcBorders>
              <w:top w:val="nil"/>
              <w:left w:val="nil"/>
              <w:bottom w:val="nil"/>
              <w:right w:val="nil"/>
            </w:tcBorders>
            <w:shd w:val="clear" w:color="auto" w:fill="auto"/>
            <w:noWrap/>
            <w:vAlign w:val="bottom"/>
            <w:hideMark/>
          </w:tcPr>
          <w:p w14:paraId="67BFE302"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0.172</w:t>
            </w:r>
          </w:p>
        </w:tc>
        <w:tc>
          <w:tcPr>
            <w:tcW w:w="493" w:type="pct"/>
            <w:tcBorders>
              <w:top w:val="nil"/>
              <w:left w:val="nil"/>
              <w:bottom w:val="nil"/>
              <w:right w:val="nil"/>
            </w:tcBorders>
            <w:shd w:val="clear" w:color="auto" w:fill="auto"/>
            <w:noWrap/>
            <w:vAlign w:val="bottom"/>
            <w:hideMark/>
          </w:tcPr>
          <w:p w14:paraId="4774BF48"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0.426</w:t>
            </w:r>
          </w:p>
        </w:tc>
        <w:tc>
          <w:tcPr>
            <w:tcW w:w="492" w:type="pct"/>
            <w:tcBorders>
              <w:top w:val="nil"/>
              <w:left w:val="nil"/>
              <w:bottom w:val="nil"/>
              <w:right w:val="nil"/>
            </w:tcBorders>
            <w:shd w:val="clear" w:color="auto" w:fill="auto"/>
            <w:noWrap/>
            <w:vAlign w:val="bottom"/>
            <w:hideMark/>
          </w:tcPr>
          <w:p w14:paraId="64DB1B26"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0.670</w:t>
            </w:r>
          </w:p>
        </w:tc>
        <w:tc>
          <w:tcPr>
            <w:tcW w:w="678" w:type="pct"/>
            <w:tcBorders>
              <w:top w:val="nil"/>
              <w:left w:val="nil"/>
              <w:bottom w:val="nil"/>
              <w:right w:val="nil"/>
            </w:tcBorders>
            <w:shd w:val="clear" w:color="auto" w:fill="auto"/>
            <w:noWrap/>
            <w:vAlign w:val="bottom"/>
            <w:hideMark/>
          </w:tcPr>
          <w:p w14:paraId="44AD7385"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0.066</w:t>
            </w:r>
          </w:p>
        </w:tc>
      </w:tr>
      <w:tr w:rsidR="009578BB" w:rsidRPr="009578BB" w14:paraId="4379BD14" w14:textId="77777777" w:rsidTr="009578BB">
        <w:trPr>
          <w:trHeight w:val="300"/>
        </w:trPr>
        <w:tc>
          <w:tcPr>
            <w:tcW w:w="1523" w:type="pct"/>
            <w:gridSpan w:val="2"/>
            <w:tcBorders>
              <w:top w:val="nil"/>
              <w:left w:val="nil"/>
              <w:bottom w:val="nil"/>
              <w:right w:val="nil"/>
            </w:tcBorders>
            <w:shd w:val="clear" w:color="auto" w:fill="auto"/>
            <w:noWrap/>
            <w:vAlign w:val="center"/>
            <w:hideMark/>
          </w:tcPr>
          <w:p w14:paraId="1B48DD21"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Soil archaea Shannon</w:t>
            </w:r>
          </w:p>
        </w:tc>
        <w:tc>
          <w:tcPr>
            <w:tcW w:w="772" w:type="pct"/>
            <w:tcBorders>
              <w:top w:val="nil"/>
              <w:left w:val="nil"/>
              <w:bottom w:val="nil"/>
              <w:right w:val="nil"/>
            </w:tcBorders>
            <w:shd w:val="clear" w:color="auto" w:fill="auto"/>
            <w:noWrap/>
            <w:vAlign w:val="bottom"/>
            <w:hideMark/>
          </w:tcPr>
          <w:p w14:paraId="5557EC24"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-0.007</w:t>
            </w:r>
          </w:p>
        </w:tc>
        <w:tc>
          <w:tcPr>
            <w:tcW w:w="492" w:type="pct"/>
            <w:tcBorders>
              <w:top w:val="nil"/>
              <w:left w:val="nil"/>
              <w:bottom w:val="nil"/>
              <w:right w:val="nil"/>
            </w:tcBorders>
            <w:shd w:val="clear" w:color="auto" w:fill="auto"/>
            <w:noWrap/>
            <w:vAlign w:val="bottom"/>
            <w:hideMark/>
          </w:tcPr>
          <w:p w14:paraId="290B00EA"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0.047</w:t>
            </w:r>
          </w:p>
        </w:tc>
        <w:tc>
          <w:tcPr>
            <w:tcW w:w="550" w:type="pct"/>
            <w:tcBorders>
              <w:top w:val="nil"/>
              <w:left w:val="nil"/>
              <w:bottom w:val="nil"/>
              <w:right w:val="nil"/>
            </w:tcBorders>
            <w:shd w:val="clear" w:color="auto" w:fill="auto"/>
            <w:noWrap/>
            <w:vAlign w:val="bottom"/>
            <w:hideMark/>
          </w:tcPr>
          <w:p w14:paraId="262ED0B3"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0.048</w:t>
            </w:r>
          </w:p>
        </w:tc>
        <w:tc>
          <w:tcPr>
            <w:tcW w:w="493" w:type="pct"/>
            <w:tcBorders>
              <w:top w:val="nil"/>
              <w:left w:val="nil"/>
              <w:bottom w:val="nil"/>
              <w:right w:val="nil"/>
            </w:tcBorders>
            <w:shd w:val="clear" w:color="auto" w:fill="auto"/>
            <w:noWrap/>
            <w:vAlign w:val="bottom"/>
            <w:hideMark/>
          </w:tcPr>
          <w:p w14:paraId="6D0925A3"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0.137</w:t>
            </w:r>
          </w:p>
        </w:tc>
        <w:tc>
          <w:tcPr>
            <w:tcW w:w="492" w:type="pct"/>
            <w:tcBorders>
              <w:top w:val="nil"/>
              <w:left w:val="nil"/>
              <w:bottom w:val="nil"/>
              <w:right w:val="nil"/>
            </w:tcBorders>
            <w:shd w:val="clear" w:color="auto" w:fill="auto"/>
            <w:noWrap/>
            <w:vAlign w:val="bottom"/>
            <w:hideMark/>
          </w:tcPr>
          <w:p w14:paraId="12F5CA6A"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0.891</w:t>
            </w:r>
          </w:p>
        </w:tc>
        <w:tc>
          <w:tcPr>
            <w:tcW w:w="678" w:type="pct"/>
            <w:tcBorders>
              <w:top w:val="nil"/>
              <w:left w:val="nil"/>
              <w:bottom w:val="nil"/>
              <w:right w:val="nil"/>
            </w:tcBorders>
            <w:shd w:val="clear" w:color="auto" w:fill="auto"/>
            <w:noWrap/>
            <w:vAlign w:val="bottom"/>
            <w:hideMark/>
          </w:tcPr>
          <w:p w14:paraId="7A630312"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0.028</w:t>
            </w:r>
          </w:p>
        </w:tc>
      </w:tr>
      <w:tr w:rsidR="009578BB" w:rsidRPr="009578BB" w14:paraId="45B49AEE" w14:textId="77777777" w:rsidTr="009578BB">
        <w:trPr>
          <w:trHeight w:val="300"/>
        </w:trPr>
        <w:tc>
          <w:tcPr>
            <w:tcW w:w="1523" w:type="pct"/>
            <w:gridSpan w:val="2"/>
            <w:tcBorders>
              <w:top w:val="nil"/>
              <w:left w:val="nil"/>
              <w:bottom w:val="nil"/>
              <w:right w:val="nil"/>
            </w:tcBorders>
            <w:shd w:val="clear" w:color="auto" w:fill="auto"/>
            <w:noWrap/>
            <w:vAlign w:val="center"/>
            <w:hideMark/>
          </w:tcPr>
          <w:p w14:paraId="305785B4"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Soil C:N</w:t>
            </w:r>
          </w:p>
        </w:tc>
        <w:tc>
          <w:tcPr>
            <w:tcW w:w="772" w:type="pct"/>
            <w:tcBorders>
              <w:top w:val="nil"/>
              <w:left w:val="nil"/>
              <w:bottom w:val="nil"/>
              <w:right w:val="nil"/>
            </w:tcBorders>
            <w:shd w:val="clear" w:color="auto" w:fill="auto"/>
            <w:noWrap/>
            <w:vAlign w:val="bottom"/>
            <w:hideMark/>
          </w:tcPr>
          <w:p w14:paraId="28B11146"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-0.006</w:t>
            </w:r>
          </w:p>
        </w:tc>
        <w:tc>
          <w:tcPr>
            <w:tcW w:w="492" w:type="pct"/>
            <w:tcBorders>
              <w:top w:val="nil"/>
              <w:left w:val="nil"/>
              <w:bottom w:val="nil"/>
              <w:right w:val="nil"/>
            </w:tcBorders>
            <w:shd w:val="clear" w:color="auto" w:fill="auto"/>
            <w:noWrap/>
            <w:vAlign w:val="bottom"/>
            <w:hideMark/>
          </w:tcPr>
          <w:p w14:paraId="2BF07DD4"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0.045</w:t>
            </w:r>
          </w:p>
        </w:tc>
        <w:tc>
          <w:tcPr>
            <w:tcW w:w="550" w:type="pct"/>
            <w:tcBorders>
              <w:top w:val="nil"/>
              <w:left w:val="nil"/>
              <w:bottom w:val="nil"/>
              <w:right w:val="nil"/>
            </w:tcBorders>
            <w:shd w:val="clear" w:color="auto" w:fill="auto"/>
            <w:noWrap/>
            <w:vAlign w:val="bottom"/>
            <w:hideMark/>
          </w:tcPr>
          <w:p w14:paraId="4417E7DC"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0.045</w:t>
            </w:r>
          </w:p>
        </w:tc>
        <w:tc>
          <w:tcPr>
            <w:tcW w:w="493" w:type="pct"/>
            <w:tcBorders>
              <w:top w:val="nil"/>
              <w:left w:val="nil"/>
              <w:bottom w:val="nil"/>
              <w:right w:val="nil"/>
            </w:tcBorders>
            <w:shd w:val="clear" w:color="auto" w:fill="auto"/>
            <w:noWrap/>
            <w:vAlign w:val="bottom"/>
            <w:hideMark/>
          </w:tcPr>
          <w:p w14:paraId="6426C573"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0.128</w:t>
            </w:r>
          </w:p>
        </w:tc>
        <w:tc>
          <w:tcPr>
            <w:tcW w:w="492" w:type="pct"/>
            <w:tcBorders>
              <w:top w:val="nil"/>
              <w:left w:val="nil"/>
              <w:bottom w:val="nil"/>
              <w:right w:val="nil"/>
            </w:tcBorders>
            <w:shd w:val="clear" w:color="auto" w:fill="auto"/>
            <w:noWrap/>
            <w:vAlign w:val="bottom"/>
            <w:hideMark/>
          </w:tcPr>
          <w:p w14:paraId="3E71C783"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0.898</w:t>
            </w:r>
          </w:p>
        </w:tc>
        <w:tc>
          <w:tcPr>
            <w:tcW w:w="678" w:type="pct"/>
            <w:tcBorders>
              <w:top w:val="nil"/>
              <w:left w:val="nil"/>
              <w:bottom w:val="nil"/>
              <w:right w:val="nil"/>
            </w:tcBorders>
            <w:shd w:val="clear" w:color="auto" w:fill="auto"/>
            <w:noWrap/>
            <w:vAlign w:val="bottom"/>
            <w:hideMark/>
          </w:tcPr>
          <w:p w14:paraId="2DFFB44C"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0.025</w:t>
            </w:r>
          </w:p>
        </w:tc>
      </w:tr>
      <w:tr w:rsidR="009578BB" w:rsidRPr="009578BB" w14:paraId="73463D69" w14:textId="77777777" w:rsidTr="009578BB">
        <w:trPr>
          <w:trHeight w:val="300"/>
        </w:trPr>
        <w:tc>
          <w:tcPr>
            <w:tcW w:w="1523" w:type="pct"/>
            <w:gridSpan w:val="2"/>
            <w:tcBorders>
              <w:top w:val="nil"/>
              <w:left w:val="nil"/>
              <w:bottom w:val="nil"/>
              <w:right w:val="nil"/>
            </w:tcBorders>
            <w:shd w:val="clear" w:color="auto" w:fill="auto"/>
            <w:noWrap/>
            <w:vAlign w:val="center"/>
            <w:hideMark/>
          </w:tcPr>
          <w:p w14:paraId="3CA875B3"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Soil N:P</w:t>
            </w:r>
          </w:p>
        </w:tc>
        <w:tc>
          <w:tcPr>
            <w:tcW w:w="772" w:type="pct"/>
            <w:tcBorders>
              <w:top w:val="nil"/>
              <w:left w:val="nil"/>
              <w:bottom w:val="nil"/>
              <w:right w:val="nil"/>
            </w:tcBorders>
            <w:shd w:val="clear" w:color="auto" w:fill="auto"/>
            <w:noWrap/>
            <w:vAlign w:val="bottom"/>
            <w:hideMark/>
          </w:tcPr>
          <w:p w14:paraId="25B83AAE"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-0.030</w:t>
            </w:r>
          </w:p>
        </w:tc>
        <w:tc>
          <w:tcPr>
            <w:tcW w:w="492" w:type="pct"/>
            <w:tcBorders>
              <w:top w:val="nil"/>
              <w:left w:val="nil"/>
              <w:bottom w:val="nil"/>
              <w:right w:val="nil"/>
            </w:tcBorders>
            <w:shd w:val="clear" w:color="auto" w:fill="auto"/>
            <w:noWrap/>
            <w:vAlign w:val="bottom"/>
            <w:hideMark/>
          </w:tcPr>
          <w:p w14:paraId="27AFF935"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0.104</w:t>
            </w:r>
          </w:p>
        </w:tc>
        <w:tc>
          <w:tcPr>
            <w:tcW w:w="550" w:type="pct"/>
            <w:tcBorders>
              <w:top w:val="nil"/>
              <w:left w:val="nil"/>
              <w:bottom w:val="nil"/>
              <w:right w:val="nil"/>
            </w:tcBorders>
            <w:shd w:val="clear" w:color="auto" w:fill="auto"/>
            <w:noWrap/>
            <w:vAlign w:val="bottom"/>
            <w:hideMark/>
          </w:tcPr>
          <w:p w14:paraId="24F8317C"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0.104</w:t>
            </w:r>
          </w:p>
        </w:tc>
        <w:tc>
          <w:tcPr>
            <w:tcW w:w="493" w:type="pct"/>
            <w:tcBorders>
              <w:top w:val="nil"/>
              <w:left w:val="nil"/>
              <w:bottom w:val="nil"/>
              <w:right w:val="nil"/>
            </w:tcBorders>
            <w:shd w:val="clear" w:color="auto" w:fill="auto"/>
            <w:noWrap/>
            <w:vAlign w:val="bottom"/>
            <w:hideMark/>
          </w:tcPr>
          <w:p w14:paraId="608F239C"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0.286</w:t>
            </w:r>
          </w:p>
        </w:tc>
        <w:tc>
          <w:tcPr>
            <w:tcW w:w="492" w:type="pct"/>
            <w:tcBorders>
              <w:top w:val="nil"/>
              <w:left w:val="nil"/>
              <w:bottom w:val="nil"/>
              <w:right w:val="nil"/>
            </w:tcBorders>
            <w:shd w:val="clear" w:color="auto" w:fill="auto"/>
            <w:noWrap/>
            <w:vAlign w:val="bottom"/>
            <w:hideMark/>
          </w:tcPr>
          <w:p w14:paraId="6E55EF09"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0.775</w:t>
            </w:r>
          </w:p>
        </w:tc>
        <w:tc>
          <w:tcPr>
            <w:tcW w:w="678" w:type="pct"/>
            <w:tcBorders>
              <w:top w:val="nil"/>
              <w:left w:val="nil"/>
              <w:bottom w:val="nil"/>
              <w:right w:val="nil"/>
            </w:tcBorders>
            <w:shd w:val="clear" w:color="auto" w:fill="auto"/>
            <w:noWrap/>
            <w:vAlign w:val="bottom"/>
            <w:hideMark/>
          </w:tcPr>
          <w:p w14:paraId="71C02487"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0.047</w:t>
            </w:r>
          </w:p>
        </w:tc>
      </w:tr>
      <w:tr w:rsidR="009578BB" w:rsidRPr="009578BB" w14:paraId="0DCD8C3E" w14:textId="77777777" w:rsidTr="009578BB">
        <w:trPr>
          <w:trHeight w:val="300"/>
        </w:trPr>
        <w:tc>
          <w:tcPr>
            <w:tcW w:w="1523" w:type="pct"/>
            <w:gridSpan w:val="2"/>
            <w:tcBorders>
              <w:top w:val="nil"/>
              <w:left w:val="nil"/>
              <w:bottom w:val="nil"/>
              <w:right w:val="nil"/>
            </w:tcBorders>
            <w:shd w:val="clear" w:color="auto" w:fill="auto"/>
            <w:noWrap/>
            <w:vAlign w:val="center"/>
            <w:hideMark/>
          </w:tcPr>
          <w:p w14:paraId="68AED469"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Olsen P</w:t>
            </w:r>
          </w:p>
        </w:tc>
        <w:tc>
          <w:tcPr>
            <w:tcW w:w="772" w:type="pct"/>
            <w:tcBorders>
              <w:top w:val="nil"/>
              <w:left w:val="nil"/>
              <w:bottom w:val="nil"/>
              <w:right w:val="nil"/>
            </w:tcBorders>
            <w:shd w:val="clear" w:color="auto" w:fill="auto"/>
            <w:noWrap/>
            <w:vAlign w:val="bottom"/>
            <w:hideMark/>
          </w:tcPr>
          <w:p w14:paraId="1617B64F"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-0.005</w:t>
            </w:r>
          </w:p>
        </w:tc>
        <w:tc>
          <w:tcPr>
            <w:tcW w:w="492" w:type="pct"/>
            <w:tcBorders>
              <w:top w:val="nil"/>
              <w:left w:val="nil"/>
              <w:bottom w:val="nil"/>
              <w:right w:val="nil"/>
            </w:tcBorders>
            <w:shd w:val="clear" w:color="auto" w:fill="auto"/>
            <w:noWrap/>
            <w:vAlign w:val="bottom"/>
            <w:hideMark/>
          </w:tcPr>
          <w:p w14:paraId="26B9B956"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0.041</w:t>
            </w:r>
          </w:p>
        </w:tc>
        <w:tc>
          <w:tcPr>
            <w:tcW w:w="550" w:type="pct"/>
            <w:tcBorders>
              <w:top w:val="nil"/>
              <w:left w:val="nil"/>
              <w:bottom w:val="nil"/>
              <w:right w:val="nil"/>
            </w:tcBorders>
            <w:shd w:val="clear" w:color="auto" w:fill="auto"/>
            <w:noWrap/>
            <w:vAlign w:val="bottom"/>
            <w:hideMark/>
          </w:tcPr>
          <w:p w14:paraId="3E07DA68"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0.041</w:t>
            </w:r>
          </w:p>
        </w:tc>
        <w:tc>
          <w:tcPr>
            <w:tcW w:w="493" w:type="pct"/>
            <w:tcBorders>
              <w:top w:val="nil"/>
              <w:left w:val="nil"/>
              <w:bottom w:val="nil"/>
              <w:right w:val="nil"/>
            </w:tcBorders>
            <w:shd w:val="clear" w:color="auto" w:fill="auto"/>
            <w:noWrap/>
            <w:vAlign w:val="bottom"/>
            <w:hideMark/>
          </w:tcPr>
          <w:p w14:paraId="4E528A2B"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0.113</w:t>
            </w:r>
          </w:p>
        </w:tc>
        <w:tc>
          <w:tcPr>
            <w:tcW w:w="492" w:type="pct"/>
            <w:tcBorders>
              <w:top w:val="nil"/>
              <w:left w:val="nil"/>
              <w:bottom w:val="nil"/>
              <w:right w:val="nil"/>
            </w:tcBorders>
            <w:shd w:val="clear" w:color="auto" w:fill="auto"/>
            <w:noWrap/>
            <w:vAlign w:val="bottom"/>
            <w:hideMark/>
          </w:tcPr>
          <w:p w14:paraId="4F8B6AE9"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0.910</w:t>
            </w:r>
          </w:p>
        </w:tc>
        <w:tc>
          <w:tcPr>
            <w:tcW w:w="678" w:type="pct"/>
            <w:tcBorders>
              <w:top w:val="nil"/>
              <w:left w:val="nil"/>
              <w:bottom w:val="nil"/>
              <w:right w:val="nil"/>
            </w:tcBorders>
            <w:shd w:val="clear" w:color="auto" w:fill="auto"/>
            <w:noWrap/>
            <w:vAlign w:val="bottom"/>
            <w:hideMark/>
          </w:tcPr>
          <w:p w14:paraId="32915DF0"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0.022</w:t>
            </w:r>
          </w:p>
        </w:tc>
      </w:tr>
      <w:tr w:rsidR="009578BB" w:rsidRPr="009578BB" w14:paraId="78F86006" w14:textId="77777777" w:rsidTr="009578BB">
        <w:trPr>
          <w:trHeight w:val="300"/>
        </w:trPr>
        <w:tc>
          <w:tcPr>
            <w:tcW w:w="1523" w:type="pct"/>
            <w:gridSpan w:val="2"/>
            <w:tcBorders>
              <w:top w:val="nil"/>
              <w:left w:val="nil"/>
              <w:bottom w:val="nil"/>
              <w:right w:val="nil"/>
            </w:tcBorders>
            <w:shd w:val="clear" w:color="auto" w:fill="auto"/>
            <w:noWrap/>
            <w:vAlign w:val="center"/>
            <w:hideMark/>
          </w:tcPr>
          <w:p w14:paraId="2189E803"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SOC</w:t>
            </w:r>
          </w:p>
        </w:tc>
        <w:tc>
          <w:tcPr>
            <w:tcW w:w="772" w:type="pct"/>
            <w:tcBorders>
              <w:top w:val="nil"/>
              <w:left w:val="nil"/>
              <w:bottom w:val="nil"/>
              <w:right w:val="nil"/>
            </w:tcBorders>
            <w:shd w:val="clear" w:color="auto" w:fill="auto"/>
            <w:noWrap/>
            <w:vAlign w:val="bottom"/>
            <w:hideMark/>
          </w:tcPr>
          <w:p w14:paraId="42968B7D"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-0.004</w:t>
            </w:r>
          </w:p>
        </w:tc>
        <w:tc>
          <w:tcPr>
            <w:tcW w:w="492" w:type="pct"/>
            <w:tcBorders>
              <w:top w:val="nil"/>
              <w:left w:val="nil"/>
              <w:bottom w:val="nil"/>
              <w:right w:val="nil"/>
            </w:tcBorders>
            <w:shd w:val="clear" w:color="auto" w:fill="auto"/>
            <w:noWrap/>
            <w:vAlign w:val="bottom"/>
            <w:hideMark/>
          </w:tcPr>
          <w:p w14:paraId="2472106E"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0.041</w:t>
            </w:r>
          </w:p>
        </w:tc>
        <w:tc>
          <w:tcPr>
            <w:tcW w:w="550" w:type="pct"/>
            <w:tcBorders>
              <w:top w:val="nil"/>
              <w:left w:val="nil"/>
              <w:bottom w:val="nil"/>
              <w:right w:val="nil"/>
            </w:tcBorders>
            <w:shd w:val="clear" w:color="auto" w:fill="auto"/>
            <w:noWrap/>
            <w:vAlign w:val="bottom"/>
            <w:hideMark/>
          </w:tcPr>
          <w:p w14:paraId="46ED1384"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0.041</w:t>
            </w:r>
          </w:p>
        </w:tc>
        <w:tc>
          <w:tcPr>
            <w:tcW w:w="493" w:type="pct"/>
            <w:tcBorders>
              <w:top w:val="nil"/>
              <w:left w:val="nil"/>
              <w:bottom w:val="nil"/>
              <w:right w:val="nil"/>
            </w:tcBorders>
            <w:shd w:val="clear" w:color="auto" w:fill="auto"/>
            <w:noWrap/>
            <w:vAlign w:val="bottom"/>
            <w:hideMark/>
          </w:tcPr>
          <w:p w14:paraId="10129AB4"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0.109</w:t>
            </w:r>
          </w:p>
        </w:tc>
        <w:tc>
          <w:tcPr>
            <w:tcW w:w="492" w:type="pct"/>
            <w:tcBorders>
              <w:top w:val="nil"/>
              <w:left w:val="nil"/>
              <w:bottom w:val="nil"/>
              <w:right w:val="nil"/>
            </w:tcBorders>
            <w:shd w:val="clear" w:color="auto" w:fill="auto"/>
            <w:noWrap/>
            <w:vAlign w:val="bottom"/>
            <w:hideMark/>
          </w:tcPr>
          <w:p w14:paraId="34C5A683"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0.913</w:t>
            </w:r>
          </w:p>
        </w:tc>
        <w:tc>
          <w:tcPr>
            <w:tcW w:w="678" w:type="pct"/>
            <w:tcBorders>
              <w:top w:val="nil"/>
              <w:left w:val="nil"/>
              <w:bottom w:val="nil"/>
              <w:right w:val="nil"/>
            </w:tcBorders>
            <w:shd w:val="clear" w:color="auto" w:fill="auto"/>
            <w:noWrap/>
            <w:vAlign w:val="bottom"/>
            <w:hideMark/>
          </w:tcPr>
          <w:p w14:paraId="1D91AF22"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0.021</w:t>
            </w:r>
          </w:p>
        </w:tc>
      </w:tr>
      <w:tr w:rsidR="009578BB" w:rsidRPr="009578BB" w14:paraId="00F43F1B" w14:textId="77777777" w:rsidTr="009578BB">
        <w:trPr>
          <w:trHeight w:val="300"/>
        </w:trPr>
        <w:tc>
          <w:tcPr>
            <w:tcW w:w="1523" w:type="pct"/>
            <w:gridSpan w:val="2"/>
            <w:tcBorders>
              <w:top w:val="nil"/>
              <w:left w:val="nil"/>
              <w:bottom w:val="nil"/>
              <w:right w:val="nil"/>
            </w:tcBorders>
            <w:shd w:val="clear" w:color="auto" w:fill="auto"/>
            <w:noWrap/>
            <w:vAlign w:val="center"/>
            <w:hideMark/>
          </w:tcPr>
          <w:p w14:paraId="6B88BA9E"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Organic fertilization</w:t>
            </w:r>
          </w:p>
        </w:tc>
        <w:tc>
          <w:tcPr>
            <w:tcW w:w="772" w:type="pct"/>
            <w:tcBorders>
              <w:top w:val="nil"/>
              <w:left w:val="nil"/>
              <w:bottom w:val="nil"/>
              <w:right w:val="nil"/>
            </w:tcBorders>
            <w:shd w:val="clear" w:color="auto" w:fill="auto"/>
            <w:noWrap/>
            <w:vAlign w:val="bottom"/>
            <w:hideMark/>
          </w:tcPr>
          <w:p w14:paraId="776C23B9"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0.005</w:t>
            </w:r>
          </w:p>
        </w:tc>
        <w:tc>
          <w:tcPr>
            <w:tcW w:w="492" w:type="pct"/>
            <w:tcBorders>
              <w:top w:val="nil"/>
              <w:left w:val="nil"/>
              <w:bottom w:val="nil"/>
              <w:right w:val="nil"/>
            </w:tcBorders>
            <w:shd w:val="clear" w:color="auto" w:fill="auto"/>
            <w:noWrap/>
            <w:vAlign w:val="bottom"/>
            <w:hideMark/>
          </w:tcPr>
          <w:p w14:paraId="0AA378CE"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0.043</w:t>
            </w:r>
          </w:p>
        </w:tc>
        <w:tc>
          <w:tcPr>
            <w:tcW w:w="550" w:type="pct"/>
            <w:tcBorders>
              <w:top w:val="nil"/>
              <w:left w:val="nil"/>
              <w:bottom w:val="nil"/>
              <w:right w:val="nil"/>
            </w:tcBorders>
            <w:shd w:val="clear" w:color="auto" w:fill="auto"/>
            <w:noWrap/>
            <w:vAlign w:val="bottom"/>
            <w:hideMark/>
          </w:tcPr>
          <w:p w14:paraId="3C5E2F68"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0.044</w:t>
            </w:r>
          </w:p>
        </w:tc>
        <w:tc>
          <w:tcPr>
            <w:tcW w:w="493" w:type="pct"/>
            <w:tcBorders>
              <w:top w:val="nil"/>
              <w:left w:val="nil"/>
              <w:bottom w:val="nil"/>
              <w:right w:val="nil"/>
            </w:tcBorders>
            <w:shd w:val="clear" w:color="auto" w:fill="auto"/>
            <w:noWrap/>
            <w:vAlign w:val="bottom"/>
            <w:hideMark/>
          </w:tcPr>
          <w:p w14:paraId="044D87F2"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0.107</w:t>
            </w:r>
          </w:p>
        </w:tc>
        <w:tc>
          <w:tcPr>
            <w:tcW w:w="492" w:type="pct"/>
            <w:tcBorders>
              <w:top w:val="nil"/>
              <w:left w:val="nil"/>
              <w:bottom w:val="nil"/>
              <w:right w:val="nil"/>
            </w:tcBorders>
            <w:shd w:val="clear" w:color="auto" w:fill="auto"/>
            <w:noWrap/>
            <w:vAlign w:val="bottom"/>
            <w:hideMark/>
          </w:tcPr>
          <w:p w14:paraId="2D64F641"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0.915</w:t>
            </w:r>
          </w:p>
        </w:tc>
        <w:tc>
          <w:tcPr>
            <w:tcW w:w="678" w:type="pct"/>
            <w:tcBorders>
              <w:top w:val="nil"/>
              <w:left w:val="nil"/>
              <w:bottom w:val="nil"/>
              <w:right w:val="nil"/>
            </w:tcBorders>
            <w:shd w:val="clear" w:color="auto" w:fill="auto"/>
            <w:noWrap/>
            <w:vAlign w:val="bottom"/>
            <w:hideMark/>
          </w:tcPr>
          <w:p w14:paraId="1547DCF4"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0.022</w:t>
            </w:r>
          </w:p>
        </w:tc>
      </w:tr>
      <w:tr w:rsidR="009578BB" w:rsidRPr="009578BB" w14:paraId="18CB1433" w14:textId="77777777" w:rsidTr="009578BB">
        <w:trPr>
          <w:trHeight w:val="300"/>
        </w:trPr>
        <w:tc>
          <w:tcPr>
            <w:tcW w:w="1523" w:type="pct"/>
            <w:gridSpan w:val="2"/>
            <w:tcBorders>
              <w:top w:val="nil"/>
              <w:left w:val="nil"/>
              <w:bottom w:val="nil"/>
              <w:right w:val="nil"/>
            </w:tcBorders>
            <w:shd w:val="clear" w:color="auto" w:fill="auto"/>
            <w:noWrap/>
            <w:vAlign w:val="center"/>
            <w:hideMark/>
          </w:tcPr>
          <w:p w14:paraId="3525A6B5"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Clay</w:t>
            </w:r>
          </w:p>
        </w:tc>
        <w:tc>
          <w:tcPr>
            <w:tcW w:w="772" w:type="pct"/>
            <w:tcBorders>
              <w:top w:val="nil"/>
              <w:left w:val="nil"/>
              <w:bottom w:val="nil"/>
              <w:right w:val="nil"/>
            </w:tcBorders>
            <w:shd w:val="clear" w:color="auto" w:fill="auto"/>
            <w:noWrap/>
            <w:vAlign w:val="bottom"/>
            <w:hideMark/>
          </w:tcPr>
          <w:p w14:paraId="00793491"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-0.004</w:t>
            </w:r>
          </w:p>
        </w:tc>
        <w:tc>
          <w:tcPr>
            <w:tcW w:w="492" w:type="pct"/>
            <w:tcBorders>
              <w:top w:val="nil"/>
              <w:left w:val="nil"/>
              <w:bottom w:val="nil"/>
              <w:right w:val="nil"/>
            </w:tcBorders>
            <w:shd w:val="clear" w:color="auto" w:fill="auto"/>
            <w:noWrap/>
            <w:vAlign w:val="bottom"/>
            <w:hideMark/>
          </w:tcPr>
          <w:p w14:paraId="44E2503E"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0.039</w:t>
            </w:r>
          </w:p>
        </w:tc>
        <w:tc>
          <w:tcPr>
            <w:tcW w:w="550" w:type="pct"/>
            <w:tcBorders>
              <w:top w:val="nil"/>
              <w:left w:val="nil"/>
              <w:bottom w:val="nil"/>
              <w:right w:val="nil"/>
            </w:tcBorders>
            <w:shd w:val="clear" w:color="auto" w:fill="auto"/>
            <w:noWrap/>
            <w:vAlign w:val="bottom"/>
            <w:hideMark/>
          </w:tcPr>
          <w:p w14:paraId="392D2724"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0.039</w:t>
            </w:r>
          </w:p>
        </w:tc>
        <w:tc>
          <w:tcPr>
            <w:tcW w:w="493" w:type="pct"/>
            <w:tcBorders>
              <w:top w:val="nil"/>
              <w:left w:val="nil"/>
              <w:bottom w:val="nil"/>
              <w:right w:val="nil"/>
            </w:tcBorders>
            <w:shd w:val="clear" w:color="auto" w:fill="auto"/>
            <w:noWrap/>
            <w:vAlign w:val="bottom"/>
            <w:hideMark/>
          </w:tcPr>
          <w:p w14:paraId="144357CA"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0.100</w:t>
            </w:r>
          </w:p>
        </w:tc>
        <w:tc>
          <w:tcPr>
            <w:tcW w:w="492" w:type="pct"/>
            <w:tcBorders>
              <w:top w:val="nil"/>
              <w:left w:val="nil"/>
              <w:bottom w:val="nil"/>
              <w:right w:val="nil"/>
            </w:tcBorders>
            <w:shd w:val="clear" w:color="auto" w:fill="auto"/>
            <w:noWrap/>
            <w:vAlign w:val="bottom"/>
            <w:hideMark/>
          </w:tcPr>
          <w:p w14:paraId="768B8D56"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0.921</w:t>
            </w:r>
          </w:p>
        </w:tc>
        <w:tc>
          <w:tcPr>
            <w:tcW w:w="678" w:type="pct"/>
            <w:tcBorders>
              <w:top w:val="nil"/>
              <w:left w:val="nil"/>
              <w:bottom w:val="nil"/>
              <w:right w:val="nil"/>
            </w:tcBorders>
            <w:shd w:val="clear" w:color="auto" w:fill="auto"/>
            <w:noWrap/>
            <w:vAlign w:val="bottom"/>
            <w:hideMark/>
          </w:tcPr>
          <w:p w14:paraId="62BA1BD8"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0.019</w:t>
            </w:r>
          </w:p>
        </w:tc>
      </w:tr>
      <w:tr w:rsidR="009578BB" w:rsidRPr="009578BB" w14:paraId="46E71667" w14:textId="77777777" w:rsidTr="009578BB">
        <w:trPr>
          <w:trHeight w:val="585"/>
        </w:trPr>
        <w:tc>
          <w:tcPr>
            <w:tcW w:w="198" w:type="pct"/>
            <w:tcBorders>
              <w:top w:val="single" w:sz="4" w:space="0" w:color="auto"/>
              <w:left w:val="nil"/>
              <w:bottom w:val="single" w:sz="8" w:space="0" w:color="auto"/>
              <w:right w:val="nil"/>
            </w:tcBorders>
            <w:shd w:val="clear" w:color="auto" w:fill="auto"/>
            <w:vAlign w:val="center"/>
            <w:hideMark/>
          </w:tcPr>
          <w:p w14:paraId="41D29D21" w14:textId="77777777" w:rsidR="009578BB" w:rsidRPr="009578BB" w:rsidRDefault="009578BB" w:rsidP="009578BB">
            <w:pPr>
              <w:spacing w:after="0" w:line="240" w:lineRule="auto"/>
              <w:rPr>
                <w:rFonts w:eastAsia="Times New Roman"/>
                <w:b/>
                <w:bCs/>
                <w:color w:val="000000"/>
                <w:lang w:val="de-CH" w:eastAsia="de-CH"/>
              </w:rPr>
            </w:pPr>
            <w:r w:rsidRPr="009578BB">
              <w:rPr>
                <w:rFonts w:eastAsia="Times New Roman"/>
                <w:b/>
                <w:bCs/>
                <w:color w:val="000000"/>
                <w:lang w:val="de-CH" w:eastAsia="de-CH"/>
              </w:rPr>
              <w:t xml:space="preserve">B. </w:t>
            </w:r>
          </w:p>
        </w:tc>
        <w:tc>
          <w:tcPr>
            <w:tcW w:w="1325" w:type="pct"/>
            <w:tcBorders>
              <w:top w:val="single" w:sz="4" w:space="0" w:color="auto"/>
              <w:left w:val="nil"/>
              <w:bottom w:val="single" w:sz="8" w:space="0" w:color="auto"/>
              <w:right w:val="nil"/>
            </w:tcBorders>
            <w:shd w:val="clear" w:color="auto" w:fill="auto"/>
            <w:vAlign w:val="center"/>
            <w:hideMark/>
          </w:tcPr>
          <w:p w14:paraId="47E2C218" w14:textId="77777777" w:rsidR="009578BB" w:rsidRPr="009578BB" w:rsidRDefault="009578BB" w:rsidP="009578BB">
            <w:pPr>
              <w:spacing w:after="0" w:line="240" w:lineRule="auto"/>
              <w:rPr>
                <w:rFonts w:eastAsia="Times New Roman"/>
                <w:color w:val="000000"/>
                <w:lang w:val="de-CH" w:eastAsia="de-CH"/>
              </w:rPr>
            </w:pPr>
            <w:r w:rsidRPr="009578BB">
              <w:rPr>
                <w:rFonts w:eastAsia="Times New Roman"/>
                <w:color w:val="000000"/>
                <w:lang w:val="de-CH" w:eastAsia="de-CH"/>
              </w:rPr>
              <w:t>Best mode</w:t>
            </w:r>
            <w:r w:rsidRPr="009578BB">
              <w:rPr>
                <w:rFonts w:eastAsia="Times New Roman"/>
                <w:lang w:val="de-CH" w:eastAsia="de-CH"/>
              </w:rPr>
              <w:t>l (R</w:t>
            </w:r>
            <w:r w:rsidRPr="009578BB">
              <w:rPr>
                <w:rFonts w:eastAsia="Times New Roman"/>
                <w:vertAlign w:val="superscript"/>
                <w:lang w:val="de-CH" w:eastAsia="de-CH"/>
              </w:rPr>
              <w:t>2</w:t>
            </w:r>
            <w:r w:rsidRPr="009578BB">
              <w:rPr>
                <w:rFonts w:eastAsia="Times New Roman"/>
                <w:lang w:val="de-CH" w:eastAsia="de-CH"/>
              </w:rPr>
              <w:t>adj. = 0.18)</w:t>
            </w:r>
          </w:p>
        </w:tc>
        <w:tc>
          <w:tcPr>
            <w:tcW w:w="772" w:type="pct"/>
            <w:tcBorders>
              <w:top w:val="single" w:sz="4" w:space="0" w:color="auto"/>
              <w:left w:val="nil"/>
              <w:bottom w:val="single" w:sz="8" w:space="0" w:color="auto"/>
              <w:right w:val="nil"/>
            </w:tcBorders>
            <w:shd w:val="clear" w:color="auto" w:fill="auto"/>
            <w:vAlign w:val="center"/>
            <w:hideMark/>
          </w:tcPr>
          <w:p w14:paraId="613CFB04" w14:textId="77777777" w:rsidR="009578BB" w:rsidRPr="009578BB" w:rsidRDefault="009578BB" w:rsidP="009578BB">
            <w:pPr>
              <w:spacing w:after="0" w:line="240" w:lineRule="auto"/>
              <w:rPr>
                <w:rFonts w:eastAsia="Times New Roman"/>
                <w:color w:val="000000"/>
                <w:lang w:val="de-CH" w:eastAsia="de-CH"/>
              </w:rPr>
            </w:pPr>
            <w:r w:rsidRPr="009578BB">
              <w:rPr>
                <w:rFonts w:eastAsia="Times New Roman"/>
                <w:color w:val="000000"/>
                <w:lang w:val="de-CH" w:eastAsia="de-CH"/>
              </w:rPr>
              <w:t>Coefficient estimate</w:t>
            </w:r>
          </w:p>
        </w:tc>
        <w:tc>
          <w:tcPr>
            <w:tcW w:w="492" w:type="pct"/>
            <w:tcBorders>
              <w:top w:val="single" w:sz="4" w:space="0" w:color="auto"/>
              <w:left w:val="nil"/>
              <w:bottom w:val="single" w:sz="8" w:space="0" w:color="auto"/>
              <w:right w:val="nil"/>
            </w:tcBorders>
            <w:shd w:val="clear" w:color="auto" w:fill="auto"/>
            <w:vAlign w:val="center"/>
            <w:hideMark/>
          </w:tcPr>
          <w:p w14:paraId="7B76C2A8" w14:textId="77777777" w:rsidR="009578BB" w:rsidRPr="009578BB" w:rsidRDefault="009578BB" w:rsidP="009578BB">
            <w:pPr>
              <w:spacing w:after="0" w:line="240" w:lineRule="auto"/>
              <w:rPr>
                <w:rFonts w:eastAsia="Times New Roman"/>
                <w:color w:val="000000"/>
                <w:lang w:val="de-CH" w:eastAsia="de-CH"/>
              </w:rPr>
            </w:pPr>
            <w:r w:rsidRPr="009578BB">
              <w:rPr>
                <w:rFonts w:eastAsia="Times New Roman"/>
                <w:color w:val="000000"/>
                <w:lang w:val="de-CH" w:eastAsia="de-CH"/>
              </w:rPr>
              <w:t>Std. Error</w:t>
            </w:r>
          </w:p>
        </w:tc>
        <w:tc>
          <w:tcPr>
            <w:tcW w:w="1043" w:type="pct"/>
            <w:gridSpan w:val="2"/>
            <w:tcBorders>
              <w:top w:val="single" w:sz="4" w:space="0" w:color="auto"/>
              <w:left w:val="nil"/>
              <w:bottom w:val="single" w:sz="8" w:space="0" w:color="auto"/>
              <w:right w:val="nil"/>
            </w:tcBorders>
            <w:shd w:val="clear" w:color="auto" w:fill="auto"/>
            <w:vAlign w:val="center"/>
            <w:hideMark/>
          </w:tcPr>
          <w:p w14:paraId="1616B10D" w14:textId="77777777" w:rsidR="009578BB" w:rsidRPr="009578BB" w:rsidRDefault="009578BB" w:rsidP="009578BB">
            <w:pPr>
              <w:spacing w:after="0" w:line="240" w:lineRule="auto"/>
              <w:jc w:val="center"/>
              <w:rPr>
                <w:rFonts w:eastAsia="Times New Roman"/>
                <w:color w:val="000000"/>
                <w:lang w:val="de-CH" w:eastAsia="de-CH"/>
              </w:rPr>
            </w:pPr>
            <w:r w:rsidRPr="009578BB">
              <w:rPr>
                <w:rFonts w:eastAsia="Times New Roman"/>
                <w:color w:val="000000"/>
                <w:lang w:val="de-CH" w:eastAsia="de-CH"/>
              </w:rPr>
              <w:t>t-value</w:t>
            </w:r>
          </w:p>
        </w:tc>
        <w:tc>
          <w:tcPr>
            <w:tcW w:w="1170" w:type="pct"/>
            <w:gridSpan w:val="2"/>
            <w:tcBorders>
              <w:top w:val="single" w:sz="4" w:space="0" w:color="auto"/>
              <w:left w:val="nil"/>
              <w:bottom w:val="single" w:sz="8" w:space="0" w:color="auto"/>
              <w:right w:val="nil"/>
            </w:tcBorders>
            <w:shd w:val="clear" w:color="auto" w:fill="auto"/>
            <w:vAlign w:val="center"/>
            <w:hideMark/>
          </w:tcPr>
          <w:p w14:paraId="7F9309AC" w14:textId="77777777" w:rsidR="009578BB" w:rsidRPr="009578BB" w:rsidRDefault="009578BB" w:rsidP="009578BB">
            <w:pPr>
              <w:spacing w:after="0" w:line="240" w:lineRule="auto"/>
              <w:jc w:val="center"/>
              <w:rPr>
                <w:rFonts w:eastAsia="Times New Roman"/>
                <w:color w:val="000000"/>
                <w:lang w:val="de-CH" w:eastAsia="de-CH"/>
              </w:rPr>
            </w:pPr>
            <w:r w:rsidRPr="009578BB">
              <w:rPr>
                <w:rFonts w:eastAsia="Times New Roman"/>
                <w:color w:val="000000"/>
                <w:lang w:val="de-CH" w:eastAsia="de-CH"/>
              </w:rPr>
              <w:t>p-value</w:t>
            </w:r>
          </w:p>
        </w:tc>
      </w:tr>
      <w:tr w:rsidR="009578BB" w:rsidRPr="009578BB" w14:paraId="75B60855" w14:textId="77777777" w:rsidTr="009578BB">
        <w:trPr>
          <w:trHeight w:val="300"/>
        </w:trPr>
        <w:tc>
          <w:tcPr>
            <w:tcW w:w="1523" w:type="pct"/>
            <w:gridSpan w:val="2"/>
            <w:tcBorders>
              <w:top w:val="nil"/>
              <w:left w:val="nil"/>
              <w:bottom w:val="nil"/>
              <w:right w:val="nil"/>
            </w:tcBorders>
            <w:shd w:val="clear" w:color="auto" w:fill="auto"/>
            <w:noWrap/>
            <w:vAlign w:val="center"/>
            <w:hideMark/>
          </w:tcPr>
          <w:p w14:paraId="2A533E44"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(Intercept)</w:t>
            </w:r>
          </w:p>
        </w:tc>
        <w:tc>
          <w:tcPr>
            <w:tcW w:w="772" w:type="pct"/>
            <w:tcBorders>
              <w:top w:val="nil"/>
              <w:left w:val="nil"/>
              <w:bottom w:val="nil"/>
              <w:right w:val="nil"/>
            </w:tcBorders>
            <w:shd w:val="clear" w:color="auto" w:fill="auto"/>
            <w:noWrap/>
            <w:vAlign w:val="bottom"/>
            <w:hideMark/>
          </w:tcPr>
          <w:p w14:paraId="5688902B"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2.745</w:t>
            </w:r>
          </w:p>
        </w:tc>
        <w:tc>
          <w:tcPr>
            <w:tcW w:w="492" w:type="pct"/>
            <w:tcBorders>
              <w:top w:val="nil"/>
              <w:left w:val="nil"/>
              <w:bottom w:val="nil"/>
              <w:right w:val="nil"/>
            </w:tcBorders>
            <w:shd w:val="clear" w:color="auto" w:fill="auto"/>
            <w:noWrap/>
            <w:vAlign w:val="bottom"/>
            <w:hideMark/>
          </w:tcPr>
          <w:p w14:paraId="500F96D0"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0.155</w:t>
            </w:r>
          </w:p>
        </w:tc>
        <w:tc>
          <w:tcPr>
            <w:tcW w:w="1043" w:type="pct"/>
            <w:gridSpan w:val="2"/>
            <w:tcBorders>
              <w:top w:val="nil"/>
              <w:left w:val="nil"/>
              <w:bottom w:val="nil"/>
              <w:right w:val="nil"/>
            </w:tcBorders>
            <w:shd w:val="clear" w:color="auto" w:fill="auto"/>
            <w:noWrap/>
            <w:vAlign w:val="bottom"/>
            <w:hideMark/>
          </w:tcPr>
          <w:p w14:paraId="01199790" w14:textId="77777777" w:rsidR="009578BB" w:rsidRPr="009578BB" w:rsidRDefault="009578BB" w:rsidP="009578BB">
            <w:pPr>
              <w:spacing w:after="0" w:line="240" w:lineRule="auto"/>
              <w:jc w:val="center"/>
              <w:rPr>
                <w:rFonts w:eastAsia="Times New Roman"/>
                <w:color w:val="000000"/>
                <w:lang w:val="de-CH" w:eastAsia="de-CH"/>
              </w:rPr>
            </w:pPr>
            <w:r w:rsidRPr="009578BB">
              <w:rPr>
                <w:rFonts w:eastAsia="Times New Roman"/>
                <w:color w:val="000000"/>
                <w:lang w:val="de-CH" w:eastAsia="de-CH"/>
              </w:rPr>
              <w:t>17.75</w:t>
            </w:r>
          </w:p>
        </w:tc>
        <w:tc>
          <w:tcPr>
            <w:tcW w:w="1170" w:type="pct"/>
            <w:gridSpan w:val="2"/>
            <w:tcBorders>
              <w:top w:val="nil"/>
              <w:left w:val="nil"/>
              <w:bottom w:val="nil"/>
              <w:right w:val="nil"/>
            </w:tcBorders>
            <w:shd w:val="clear" w:color="auto" w:fill="auto"/>
            <w:noWrap/>
            <w:vAlign w:val="bottom"/>
            <w:hideMark/>
          </w:tcPr>
          <w:p w14:paraId="4DD8154D" w14:textId="77777777" w:rsidR="009578BB" w:rsidRPr="009578BB" w:rsidRDefault="009578BB" w:rsidP="009578BB">
            <w:pPr>
              <w:spacing w:after="0" w:line="240" w:lineRule="auto"/>
              <w:jc w:val="center"/>
              <w:rPr>
                <w:rFonts w:eastAsia="Times New Roman"/>
                <w:b/>
                <w:bCs/>
                <w:color w:val="000000"/>
                <w:lang w:val="de-CH" w:eastAsia="de-CH"/>
              </w:rPr>
            </w:pPr>
            <w:r w:rsidRPr="009578BB">
              <w:rPr>
                <w:rFonts w:eastAsia="Times New Roman"/>
                <w:b/>
                <w:bCs/>
                <w:color w:val="000000"/>
                <w:lang w:val="de-CH" w:eastAsia="de-CH"/>
              </w:rPr>
              <w:t>0.000</w:t>
            </w:r>
          </w:p>
        </w:tc>
      </w:tr>
      <w:tr w:rsidR="009578BB" w:rsidRPr="009578BB" w14:paraId="39C1733E" w14:textId="77777777" w:rsidTr="009578BB">
        <w:trPr>
          <w:trHeight w:val="300"/>
        </w:trPr>
        <w:tc>
          <w:tcPr>
            <w:tcW w:w="1523" w:type="pct"/>
            <w:gridSpan w:val="2"/>
            <w:tcBorders>
              <w:top w:val="nil"/>
              <w:left w:val="nil"/>
              <w:bottom w:val="nil"/>
              <w:right w:val="nil"/>
            </w:tcBorders>
            <w:shd w:val="clear" w:color="auto" w:fill="auto"/>
            <w:noWrap/>
            <w:vAlign w:val="center"/>
            <w:hideMark/>
          </w:tcPr>
          <w:p w14:paraId="636A969E"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pH</w:t>
            </w:r>
          </w:p>
        </w:tc>
        <w:tc>
          <w:tcPr>
            <w:tcW w:w="772" w:type="pct"/>
            <w:tcBorders>
              <w:top w:val="nil"/>
              <w:left w:val="nil"/>
              <w:bottom w:val="nil"/>
              <w:right w:val="nil"/>
            </w:tcBorders>
            <w:shd w:val="clear" w:color="auto" w:fill="auto"/>
            <w:noWrap/>
            <w:vAlign w:val="bottom"/>
            <w:hideMark/>
          </w:tcPr>
          <w:p w14:paraId="0B21216A"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0.518</w:t>
            </w:r>
          </w:p>
        </w:tc>
        <w:tc>
          <w:tcPr>
            <w:tcW w:w="492" w:type="pct"/>
            <w:tcBorders>
              <w:top w:val="nil"/>
              <w:left w:val="nil"/>
              <w:bottom w:val="nil"/>
              <w:right w:val="nil"/>
            </w:tcBorders>
            <w:shd w:val="clear" w:color="auto" w:fill="auto"/>
            <w:noWrap/>
            <w:vAlign w:val="bottom"/>
            <w:hideMark/>
          </w:tcPr>
          <w:p w14:paraId="110B9635"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0.169</w:t>
            </w:r>
          </w:p>
        </w:tc>
        <w:tc>
          <w:tcPr>
            <w:tcW w:w="1043" w:type="pct"/>
            <w:gridSpan w:val="2"/>
            <w:tcBorders>
              <w:top w:val="nil"/>
              <w:left w:val="nil"/>
              <w:bottom w:val="nil"/>
              <w:right w:val="nil"/>
            </w:tcBorders>
            <w:shd w:val="clear" w:color="auto" w:fill="auto"/>
            <w:noWrap/>
            <w:vAlign w:val="bottom"/>
            <w:hideMark/>
          </w:tcPr>
          <w:p w14:paraId="048E39A9" w14:textId="77777777" w:rsidR="009578BB" w:rsidRPr="009578BB" w:rsidRDefault="009578BB" w:rsidP="009578BB">
            <w:pPr>
              <w:spacing w:after="0" w:line="240" w:lineRule="auto"/>
              <w:jc w:val="center"/>
              <w:rPr>
                <w:rFonts w:eastAsia="Times New Roman"/>
                <w:color w:val="000000"/>
                <w:lang w:val="de-CH" w:eastAsia="de-CH"/>
              </w:rPr>
            </w:pPr>
            <w:r w:rsidRPr="009578BB">
              <w:rPr>
                <w:rFonts w:eastAsia="Times New Roman"/>
                <w:color w:val="000000"/>
                <w:lang w:val="de-CH" w:eastAsia="de-CH"/>
              </w:rPr>
              <w:t>3.074</w:t>
            </w:r>
          </w:p>
        </w:tc>
        <w:tc>
          <w:tcPr>
            <w:tcW w:w="1170" w:type="pct"/>
            <w:gridSpan w:val="2"/>
            <w:tcBorders>
              <w:top w:val="nil"/>
              <w:left w:val="nil"/>
              <w:bottom w:val="nil"/>
              <w:right w:val="nil"/>
            </w:tcBorders>
            <w:shd w:val="clear" w:color="auto" w:fill="auto"/>
            <w:noWrap/>
            <w:vAlign w:val="bottom"/>
            <w:hideMark/>
          </w:tcPr>
          <w:p w14:paraId="5F46CA08" w14:textId="77777777" w:rsidR="009578BB" w:rsidRPr="009578BB" w:rsidRDefault="009578BB" w:rsidP="009578BB">
            <w:pPr>
              <w:spacing w:after="0" w:line="240" w:lineRule="auto"/>
              <w:jc w:val="center"/>
              <w:rPr>
                <w:rFonts w:eastAsia="Times New Roman"/>
                <w:b/>
                <w:bCs/>
                <w:color w:val="000000"/>
                <w:lang w:val="de-CH" w:eastAsia="de-CH"/>
              </w:rPr>
            </w:pPr>
            <w:r w:rsidRPr="009578BB">
              <w:rPr>
                <w:rFonts w:eastAsia="Times New Roman"/>
                <w:b/>
                <w:bCs/>
                <w:color w:val="000000"/>
                <w:lang w:val="de-CH" w:eastAsia="de-CH"/>
              </w:rPr>
              <w:t>0.003</w:t>
            </w:r>
          </w:p>
        </w:tc>
      </w:tr>
      <w:tr w:rsidR="009578BB" w:rsidRPr="009578BB" w14:paraId="0FCA122B" w14:textId="77777777" w:rsidTr="009578BB">
        <w:trPr>
          <w:trHeight w:val="300"/>
        </w:trPr>
        <w:tc>
          <w:tcPr>
            <w:tcW w:w="1523" w:type="pct"/>
            <w:gridSpan w:val="2"/>
            <w:tcBorders>
              <w:top w:val="nil"/>
              <w:left w:val="nil"/>
              <w:bottom w:val="nil"/>
              <w:right w:val="nil"/>
            </w:tcBorders>
            <w:shd w:val="clear" w:color="auto" w:fill="auto"/>
            <w:noWrap/>
            <w:vAlign w:val="center"/>
            <w:hideMark/>
          </w:tcPr>
          <w:p w14:paraId="4D6EDF4C"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Soil bacteria Shannon</w:t>
            </w:r>
          </w:p>
        </w:tc>
        <w:tc>
          <w:tcPr>
            <w:tcW w:w="772" w:type="pct"/>
            <w:tcBorders>
              <w:top w:val="nil"/>
              <w:left w:val="nil"/>
              <w:bottom w:val="nil"/>
              <w:right w:val="nil"/>
            </w:tcBorders>
            <w:shd w:val="clear" w:color="auto" w:fill="auto"/>
            <w:noWrap/>
            <w:vAlign w:val="bottom"/>
            <w:hideMark/>
          </w:tcPr>
          <w:p w14:paraId="31795548"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-0.406</w:t>
            </w:r>
          </w:p>
        </w:tc>
        <w:tc>
          <w:tcPr>
            <w:tcW w:w="492" w:type="pct"/>
            <w:tcBorders>
              <w:top w:val="nil"/>
              <w:left w:val="nil"/>
              <w:bottom w:val="nil"/>
              <w:right w:val="nil"/>
            </w:tcBorders>
            <w:shd w:val="clear" w:color="auto" w:fill="auto"/>
            <w:noWrap/>
            <w:vAlign w:val="bottom"/>
            <w:hideMark/>
          </w:tcPr>
          <w:p w14:paraId="16C96980"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0.212</w:t>
            </w:r>
          </w:p>
        </w:tc>
        <w:tc>
          <w:tcPr>
            <w:tcW w:w="1043" w:type="pct"/>
            <w:gridSpan w:val="2"/>
            <w:tcBorders>
              <w:top w:val="nil"/>
              <w:left w:val="nil"/>
              <w:bottom w:val="nil"/>
              <w:right w:val="nil"/>
            </w:tcBorders>
            <w:shd w:val="clear" w:color="auto" w:fill="auto"/>
            <w:noWrap/>
            <w:vAlign w:val="bottom"/>
            <w:hideMark/>
          </w:tcPr>
          <w:p w14:paraId="47E10BC5" w14:textId="77777777" w:rsidR="009578BB" w:rsidRPr="009578BB" w:rsidRDefault="009578BB" w:rsidP="009578BB">
            <w:pPr>
              <w:spacing w:after="0" w:line="240" w:lineRule="auto"/>
              <w:jc w:val="center"/>
              <w:rPr>
                <w:rFonts w:eastAsia="Times New Roman"/>
                <w:color w:val="000000"/>
                <w:lang w:val="de-CH" w:eastAsia="de-CH"/>
              </w:rPr>
            </w:pPr>
            <w:r w:rsidRPr="009578BB">
              <w:rPr>
                <w:rFonts w:eastAsia="Times New Roman"/>
                <w:color w:val="000000"/>
                <w:lang w:val="de-CH" w:eastAsia="de-CH"/>
              </w:rPr>
              <w:t>-1.918</w:t>
            </w:r>
          </w:p>
        </w:tc>
        <w:tc>
          <w:tcPr>
            <w:tcW w:w="1170" w:type="pct"/>
            <w:gridSpan w:val="2"/>
            <w:tcBorders>
              <w:top w:val="nil"/>
              <w:left w:val="nil"/>
              <w:bottom w:val="nil"/>
              <w:right w:val="nil"/>
            </w:tcBorders>
            <w:shd w:val="clear" w:color="auto" w:fill="auto"/>
            <w:noWrap/>
            <w:vAlign w:val="bottom"/>
            <w:hideMark/>
          </w:tcPr>
          <w:p w14:paraId="1F8D6E38" w14:textId="77777777" w:rsidR="009578BB" w:rsidRPr="009578BB" w:rsidRDefault="009578BB" w:rsidP="009578BB">
            <w:pPr>
              <w:spacing w:after="0" w:line="240" w:lineRule="auto"/>
              <w:jc w:val="center"/>
              <w:rPr>
                <w:rFonts w:eastAsia="Times New Roman"/>
                <w:color w:val="000000"/>
                <w:lang w:val="de-CH" w:eastAsia="de-CH"/>
              </w:rPr>
            </w:pPr>
            <w:r w:rsidRPr="009578BB">
              <w:rPr>
                <w:rFonts w:eastAsia="Times New Roman"/>
                <w:color w:val="000000"/>
                <w:lang w:val="de-CH" w:eastAsia="de-CH"/>
              </w:rPr>
              <w:t>0.057</w:t>
            </w:r>
          </w:p>
        </w:tc>
      </w:tr>
      <w:tr w:rsidR="009578BB" w:rsidRPr="009578BB" w14:paraId="4A996A95" w14:textId="77777777" w:rsidTr="009578BB">
        <w:trPr>
          <w:trHeight w:val="300"/>
        </w:trPr>
        <w:tc>
          <w:tcPr>
            <w:tcW w:w="1523" w:type="pct"/>
            <w:gridSpan w:val="2"/>
            <w:tcBorders>
              <w:top w:val="nil"/>
              <w:left w:val="nil"/>
              <w:bottom w:val="nil"/>
              <w:right w:val="nil"/>
            </w:tcBorders>
            <w:shd w:val="clear" w:color="auto" w:fill="auto"/>
            <w:noWrap/>
            <w:vAlign w:val="center"/>
            <w:hideMark/>
          </w:tcPr>
          <w:p w14:paraId="5627BB75"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Soil cercocoa Shannon</w:t>
            </w:r>
          </w:p>
        </w:tc>
        <w:tc>
          <w:tcPr>
            <w:tcW w:w="772" w:type="pct"/>
            <w:tcBorders>
              <w:top w:val="nil"/>
              <w:left w:val="nil"/>
              <w:bottom w:val="nil"/>
              <w:right w:val="nil"/>
            </w:tcBorders>
            <w:shd w:val="clear" w:color="auto" w:fill="auto"/>
            <w:noWrap/>
            <w:vAlign w:val="bottom"/>
            <w:hideMark/>
          </w:tcPr>
          <w:p w14:paraId="4D4F6E6A"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0.367</w:t>
            </w:r>
          </w:p>
        </w:tc>
        <w:tc>
          <w:tcPr>
            <w:tcW w:w="492" w:type="pct"/>
            <w:tcBorders>
              <w:top w:val="nil"/>
              <w:left w:val="nil"/>
              <w:bottom w:val="nil"/>
              <w:right w:val="nil"/>
            </w:tcBorders>
            <w:shd w:val="clear" w:color="auto" w:fill="auto"/>
            <w:noWrap/>
            <w:vAlign w:val="bottom"/>
            <w:hideMark/>
          </w:tcPr>
          <w:p w14:paraId="7B4BBC75"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0.178</w:t>
            </w:r>
          </w:p>
        </w:tc>
        <w:tc>
          <w:tcPr>
            <w:tcW w:w="1043" w:type="pct"/>
            <w:gridSpan w:val="2"/>
            <w:tcBorders>
              <w:top w:val="nil"/>
              <w:left w:val="nil"/>
              <w:bottom w:val="nil"/>
              <w:right w:val="nil"/>
            </w:tcBorders>
            <w:shd w:val="clear" w:color="auto" w:fill="auto"/>
            <w:noWrap/>
            <w:vAlign w:val="bottom"/>
            <w:hideMark/>
          </w:tcPr>
          <w:p w14:paraId="2389E08C" w14:textId="77777777" w:rsidR="009578BB" w:rsidRPr="009578BB" w:rsidRDefault="009578BB" w:rsidP="009578BB">
            <w:pPr>
              <w:spacing w:after="0" w:line="240" w:lineRule="auto"/>
              <w:jc w:val="center"/>
              <w:rPr>
                <w:rFonts w:eastAsia="Times New Roman"/>
                <w:color w:val="000000"/>
                <w:lang w:val="de-CH" w:eastAsia="de-CH"/>
              </w:rPr>
            </w:pPr>
            <w:r w:rsidRPr="009578BB">
              <w:rPr>
                <w:rFonts w:eastAsia="Times New Roman"/>
                <w:color w:val="000000"/>
                <w:lang w:val="de-CH" w:eastAsia="de-CH"/>
              </w:rPr>
              <w:t>2.065</w:t>
            </w:r>
          </w:p>
        </w:tc>
        <w:tc>
          <w:tcPr>
            <w:tcW w:w="1170" w:type="pct"/>
            <w:gridSpan w:val="2"/>
            <w:tcBorders>
              <w:top w:val="nil"/>
              <w:left w:val="nil"/>
              <w:bottom w:val="nil"/>
              <w:right w:val="nil"/>
            </w:tcBorders>
            <w:shd w:val="clear" w:color="auto" w:fill="auto"/>
            <w:noWrap/>
            <w:vAlign w:val="bottom"/>
            <w:hideMark/>
          </w:tcPr>
          <w:p w14:paraId="7B782110" w14:textId="77777777" w:rsidR="009578BB" w:rsidRPr="009578BB" w:rsidRDefault="009578BB" w:rsidP="009578BB">
            <w:pPr>
              <w:spacing w:after="0" w:line="240" w:lineRule="auto"/>
              <w:jc w:val="center"/>
              <w:rPr>
                <w:rFonts w:eastAsia="Times New Roman"/>
                <w:b/>
                <w:bCs/>
                <w:color w:val="000000"/>
                <w:lang w:val="de-CH" w:eastAsia="de-CH"/>
              </w:rPr>
            </w:pPr>
            <w:r w:rsidRPr="009578BB">
              <w:rPr>
                <w:rFonts w:eastAsia="Times New Roman"/>
                <w:b/>
                <w:bCs/>
                <w:color w:val="000000"/>
                <w:lang w:val="de-CH" w:eastAsia="de-CH"/>
              </w:rPr>
              <w:t>0.041</w:t>
            </w:r>
          </w:p>
        </w:tc>
      </w:tr>
      <w:tr w:rsidR="009578BB" w:rsidRPr="009578BB" w14:paraId="4C1D63A4" w14:textId="77777777" w:rsidTr="009578BB">
        <w:trPr>
          <w:trHeight w:val="300"/>
        </w:trPr>
        <w:tc>
          <w:tcPr>
            <w:tcW w:w="1523" w:type="pct"/>
            <w:gridSpan w:val="2"/>
            <w:tcBorders>
              <w:top w:val="nil"/>
              <w:left w:val="nil"/>
              <w:bottom w:val="nil"/>
              <w:right w:val="nil"/>
            </w:tcBorders>
            <w:shd w:val="clear" w:color="auto" w:fill="auto"/>
            <w:noWrap/>
            <w:vAlign w:val="center"/>
            <w:hideMark/>
          </w:tcPr>
          <w:p w14:paraId="7A9AB50F"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Crop Shannon</w:t>
            </w:r>
          </w:p>
        </w:tc>
        <w:tc>
          <w:tcPr>
            <w:tcW w:w="772" w:type="pct"/>
            <w:tcBorders>
              <w:top w:val="nil"/>
              <w:left w:val="nil"/>
              <w:bottom w:val="nil"/>
              <w:right w:val="nil"/>
            </w:tcBorders>
            <w:shd w:val="clear" w:color="auto" w:fill="auto"/>
            <w:noWrap/>
            <w:vAlign w:val="bottom"/>
            <w:hideMark/>
          </w:tcPr>
          <w:p w14:paraId="1C2105F9"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0.424</w:t>
            </w:r>
          </w:p>
        </w:tc>
        <w:tc>
          <w:tcPr>
            <w:tcW w:w="492" w:type="pct"/>
            <w:tcBorders>
              <w:top w:val="nil"/>
              <w:left w:val="nil"/>
              <w:bottom w:val="nil"/>
              <w:right w:val="nil"/>
            </w:tcBorders>
            <w:shd w:val="clear" w:color="auto" w:fill="auto"/>
            <w:noWrap/>
            <w:vAlign w:val="bottom"/>
            <w:hideMark/>
          </w:tcPr>
          <w:p w14:paraId="39EEEF4F"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0.189</w:t>
            </w:r>
          </w:p>
        </w:tc>
        <w:tc>
          <w:tcPr>
            <w:tcW w:w="1043" w:type="pct"/>
            <w:gridSpan w:val="2"/>
            <w:tcBorders>
              <w:top w:val="nil"/>
              <w:left w:val="nil"/>
              <w:bottom w:val="nil"/>
              <w:right w:val="nil"/>
            </w:tcBorders>
            <w:shd w:val="clear" w:color="auto" w:fill="auto"/>
            <w:noWrap/>
            <w:vAlign w:val="bottom"/>
            <w:hideMark/>
          </w:tcPr>
          <w:p w14:paraId="1E5F78FA" w14:textId="77777777" w:rsidR="009578BB" w:rsidRPr="009578BB" w:rsidRDefault="009578BB" w:rsidP="009578BB">
            <w:pPr>
              <w:spacing w:after="0" w:line="240" w:lineRule="auto"/>
              <w:jc w:val="center"/>
              <w:rPr>
                <w:rFonts w:eastAsia="Times New Roman"/>
                <w:color w:val="000000"/>
                <w:lang w:val="de-CH" w:eastAsia="de-CH"/>
              </w:rPr>
            </w:pPr>
            <w:r w:rsidRPr="009578BB">
              <w:rPr>
                <w:rFonts w:eastAsia="Times New Roman"/>
                <w:color w:val="000000"/>
                <w:lang w:val="de-CH" w:eastAsia="de-CH"/>
              </w:rPr>
              <w:t>2.247</w:t>
            </w:r>
          </w:p>
        </w:tc>
        <w:tc>
          <w:tcPr>
            <w:tcW w:w="1170" w:type="pct"/>
            <w:gridSpan w:val="2"/>
            <w:tcBorders>
              <w:top w:val="nil"/>
              <w:left w:val="nil"/>
              <w:bottom w:val="nil"/>
              <w:right w:val="nil"/>
            </w:tcBorders>
            <w:shd w:val="clear" w:color="auto" w:fill="auto"/>
            <w:noWrap/>
            <w:vAlign w:val="bottom"/>
            <w:hideMark/>
          </w:tcPr>
          <w:p w14:paraId="4FB0C90A" w14:textId="77777777" w:rsidR="009578BB" w:rsidRPr="009578BB" w:rsidRDefault="009578BB" w:rsidP="009578BB">
            <w:pPr>
              <w:spacing w:after="0" w:line="240" w:lineRule="auto"/>
              <w:jc w:val="center"/>
              <w:rPr>
                <w:rFonts w:eastAsia="Times New Roman"/>
                <w:b/>
                <w:bCs/>
                <w:color w:val="000000"/>
                <w:lang w:val="de-CH" w:eastAsia="de-CH"/>
              </w:rPr>
            </w:pPr>
            <w:r w:rsidRPr="009578BB">
              <w:rPr>
                <w:rFonts w:eastAsia="Times New Roman"/>
                <w:b/>
                <w:bCs/>
                <w:color w:val="000000"/>
                <w:lang w:val="de-CH" w:eastAsia="de-CH"/>
              </w:rPr>
              <w:t>0.026</w:t>
            </w:r>
          </w:p>
        </w:tc>
      </w:tr>
      <w:tr w:rsidR="009578BB" w:rsidRPr="009578BB" w14:paraId="24E85CB9" w14:textId="77777777" w:rsidTr="009578BB">
        <w:trPr>
          <w:trHeight w:val="300"/>
        </w:trPr>
        <w:tc>
          <w:tcPr>
            <w:tcW w:w="1523" w:type="pct"/>
            <w:gridSpan w:val="2"/>
            <w:tcBorders>
              <w:top w:val="nil"/>
              <w:left w:val="nil"/>
              <w:bottom w:val="nil"/>
              <w:right w:val="nil"/>
            </w:tcBorders>
            <w:shd w:val="clear" w:color="auto" w:fill="auto"/>
            <w:noWrap/>
            <w:vAlign w:val="center"/>
            <w:hideMark/>
          </w:tcPr>
          <w:p w14:paraId="1E8470B5"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Tillage intensity</w:t>
            </w:r>
          </w:p>
        </w:tc>
        <w:tc>
          <w:tcPr>
            <w:tcW w:w="772" w:type="pct"/>
            <w:tcBorders>
              <w:top w:val="nil"/>
              <w:left w:val="nil"/>
              <w:bottom w:val="nil"/>
              <w:right w:val="nil"/>
            </w:tcBorders>
            <w:shd w:val="clear" w:color="auto" w:fill="auto"/>
            <w:noWrap/>
            <w:vAlign w:val="bottom"/>
            <w:hideMark/>
          </w:tcPr>
          <w:p w14:paraId="59E49955"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0.299</w:t>
            </w:r>
          </w:p>
        </w:tc>
        <w:tc>
          <w:tcPr>
            <w:tcW w:w="492" w:type="pct"/>
            <w:tcBorders>
              <w:top w:val="nil"/>
              <w:left w:val="nil"/>
              <w:bottom w:val="nil"/>
              <w:right w:val="nil"/>
            </w:tcBorders>
            <w:shd w:val="clear" w:color="auto" w:fill="auto"/>
            <w:noWrap/>
            <w:vAlign w:val="bottom"/>
            <w:hideMark/>
          </w:tcPr>
          <w:p w14:paraId="31DB39F5"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0.156</w:t>
            </w:r>
          </w:p>
        </w:tc>
        <w:tc>
          <w:tcPr>
            <w:tcW w:w="1043" w:type="pct"/>
            <w:gridSpan w:val="2"/>
            <w:tcBorders>
              <w:top w:val="nil"/>
              <w:left w:val="nil"/>
              <w:bottom w:val="nil"/>
              <w:right w:val="nil"/>
            </w:tcBorders>
            <w:shd w:val="clear" w:color="auto" w:fill="auto"/>
            <w:noWrap/>
            <w:vAlign w:val="bottom"/>
            <w:hideMark/>
          </w:tcPr>
          <w:p w14:paraId="424B2AF2" w14:textId="77777777" w:rsidR="009578BB" w:rsidRPr="009578BB" w:rsidRDefault="009578BB" w:rsidP="009578BB">
            <w:pPr>
              <w:spacing w:after="0" w:line="240" w:lineRule="auto"/>
              <w:jc w:val="center"/>
              <w:rPr>
                <w:rFonts w:eastAsia="Times New Roman"/>
                <w:color w:val="000000"/>
                <w:lang w:val="de-CH" w:eastAsia="de-CH"/>
              </w:rPr>
            </w:pPr>
            <w:r w:rsidRPr="009578BB">
              <w:rPr>
                <w:rFonts w:eastAsia="Times New Roman"/>
                <w:color w:val="000000"/>
                <w:lang w:val="de-CH" w:eastAsia="de-CH"/>
              </w:rPr>
              <w:t>1.908</w:t>
            </w:r>
          </w:p>
        </w:tc>
        <w:tc>
          <w:tcPr>
            <w:tcW w:w="1170" w:type="pct"/>
            <w:gridSpan w:val="2"/>
            <w:tcBorders>
              <w:top w:val="nil"/>
              <w:left w:val="nil"/>
              <w:bottom w:val="nil"/>
              <w:right w:val="nil"/>
            </w:tcBorders>
            <w:shd w:val="clear" w:color="auto" w:fill="auto"/>
            <w:noWrap/>
            <w:vAlign w:val="bottom"/>
            <w:hideMark/>
          </w:tcPr>
          <w:p w14:paraId="58BB4F91" w14:textId="77777777" w:rsidR="009578BB" w:rsidRPr="009578BB" w:rsidRDefault="009578BB" w:rsidP="009578BB">
            <w:pPr>
              <w:spacing w:after="0" w:line="240" w:lineRule="auto"/>
              <w:jc w:val="center"/>
              <w:rPr>
                <w:rFonts w:eastAsia="Times New Roman"/>
                <w:color w:val="000000"/>
                <w:lang w:val="de-CH" w:eastAsia="de-CH"/>
              </w:rPr>
            </w:pPr>
            <w:r w:rsidRPr="009578BB">
              <w:rPr>
                <w:rFonts w:eastAsia="Times New Roman"/>
                <w:color w:val="000000"/>
                <w:lang w:val="de-CH" w:eastAsia="de-CH"/>
              </w:rPr>
              <w:t>0.058</w:t>
            </w:r>
          </w:p>
        </w:tc>
      </w:tr>
      <w:tr w:rsidR="009578BB" w:rsidRPr="009578BB" w14:paraId="0758BE22" w14:textId="77777777" w:rsidTr="009578BB">
        <w:trPr>
          <w:trHeight w:val="300"/>
        </w:trPr>
        <w:tc>
          <w:tcPr>
            <w:tcW w:w="1523" w:type="pct"/>
            <w:gridSpan w:val="2"/>
            <w:tcBorders>
              <w:top w:val="nil"/>
              <w:left w:val="nil"/>
              <w:bottom w:val="nil"/>
              <w:right w:val="nil"/>
            </w:tcBorders>
            <w:shd w:val="clear" w:color="auto" w:fill="auto"/>
            <w:noWrap/>
            <w:vAlign w:val="center"/>
            <w:hideMark/>
          </w:tcPr>
          <w:p w14:paraId="0139E008"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Fungicide applications</w:t>
            </w:r>
          </w:p>
        </w:tc>
        <w:tc>
          <w:tcPr>
            <w:tcW w:w="772" w:type="pct"/>
            <w:tcBorders>
              <w:top w:val="nil"/>
              <w:left w:val="nil"/>
              <w:bottom w:val="nil"/>
              <w:right w:val="nil"/>
            </w:tcBorders>
            <w:shd w:val="clear" w:color="auto" w:fill="auto"/>
            <w:noWrap/>
            <w:vAlign w:val="bottom"/>
            <w:hideMark/>
          </w:tcPr>
          <w:p w14:paraId="24543693"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-0.702</w:t>
            </w:r>
          </w:p>
        </w:tc>
        <w:tc>
          <w:tcPr>
            <w:tcW w:w="492" w:type="pct"/>
            <w:tcBorders>
              <w:top w:val="nil"/>
              <w:left w:val="nil"/>
              <w:bottom w:val="nil"/>
              <w:right w:val="nil"/>
            </w:tcBorders>
            <w:shd w:val="clear" w:color="auto" w:fill="auto"/>
            <w:noWrap/>
            <w:vAlign w:val="bottom"/>
            <w:hideMark/>
          </w:tcPr>
          <w:p w14:paraId="4DBE6A90" w14:textId="77777777" w:rsidR="009578BB" w:rsidRPr="009578BB" w:rsidRDefault="009578BB" w:rsidP="009578BB">
            <w:pPr>
              <w:spacing w:after="0" w:line="240" w:lineRule="auto"/>
              <w:jc w:val="right"/>
              <w:rPr>
                <w:rFonts w:eastAsia="Times New Roman"/>
                <w:color w:val="000000"/>
                <w:lang w:val="de-CH" w:eastAsia="de-CH"/>
              </w:rPr>
            </w:pPr>
            <w:r w:rsidRPr="009578BB">
              <w:rPr>
                <w:rFonts w:eastAsia="Times New Roman"/>
                <w:color w:val="000000"/>
                <w:lang w:val="de-CH" w:eastAsia="de-CH"/>
              </w:rPr>
              <w:t>0.170</w:t>
            </w:r>
          </w:p>
        </w:tc>
        <w:tc>
          <w:tcPr>
            <w:tcW w:w="1043" w:type="pct"/>
            <w:gridSpan w:val="2"/>
            <w:tcBorders>
              <w:top w:val="nil"/>
              <w:left w:val="nil"/>
              <w:bottom w:val="nil"/>
              <w:right w:val="nil"/>
            </w:tcBorders>
            <w:shd w:val="clear" w:color="auto" w:fill="auto"/>
            <w:noWrap/>
            <w:vAlign w:val="bottom"/>
            <w:hideMark/>
          </w:tcPr>
          <w:p w14:paraId="1D0AEE65" w14:textId="77777777" w:rsidR="009578BB" w:rsidRPr="009578BB" w:rsidRDefault="009578BB" w:rsidP="009578BB">
            <w:pPr>
              <w:spacing w:after="0" w:line="240" w:lineRule="auto"/>
              <w:jc w:val="center"/>
              <w:rPr>
                <w:rFonts w:eastAsia="Times New Roman"/>
                <w:color w:val="000000"/>
                <w:lang w:val="de-CH" w:eastAsia="de-CH"/>
              </w:rPr>
            </w:pPr>
            <w:r w:rsidRPr="009578BB">
              <w:rPr>
                <w:rFonts w:eastAsia="Times New Roman"/>
                <w:color w:val="000000"/>
                <w:lang w:val="de-CH" w:eastAsia="de-CH"/>
              </w:rPr>
              <w:t>-4.122</w:t>
            </w:r>
          </w:p>
        </w:tc>
        <w:tc>
          <w:tcPr>
            <w:tcW w:w="1170" w:type="pct"/>
            <w:gridSpan w:val="2"/>
            <w:tcBorders>
              <w:top w:val="nil"/>
              <w:left w:val="nil"/>
              <w:bottom w:val="nil"/>
              <w:right w:val="nil"/>
            </w:tcBorders>
            <w:shd w:val="clear" w:color="auto" w:fill="auto"/>
            <w:noWrap/>
            <w:vAlign w:val="bottom"/>
            <w:hideMark/>
          </w:tcPr>
          <w:p w14:paraId="47684CD7" w14:textId="77777777" w:rsidR="009578BB" w:rsidRPr="009578BB" w:rsidRDefault="009578BB" w:rsidP="009578BB">
            <w:pPr>
              <w:spacing w:after="0" w:line="240" w:lineRule="auto"/>
              <w:jc w:val="center"/>
              <w:rPr>
                <w:rFonts w:eastAsia="Times New Roman"/>
                <w:b/>
                <w:bCs/>
                <w:color w:val="000000"/>
                <w:lang w:val="de-CH" w:eastAsia="de-CH"/>
              </w:rPr>
            </w:pPr>
            <w:r w:rsidRPr="009578BB">
              <w:rPr>
                <w:rFonts w:eastAsia="Times New Roman"/>
                <w:b/>
                <w:bCs/>
                <w:color w:val="000000"/>
                <w:lang w:val="de-CH" w:eastAsia="de-CH"/>
              </w:rPr>
              <w:t>0.000</w:t>
            </w:r>
          </w:p>
        </w:tc>
      </w:tr>
    </w:tbl>
    <w:p w14:paraId="3A3D7241" w14:textId="77777777" w:rsidR="009578BB" w:rsidRDefault="009578BB">
      <w:pPr>
        <w:spacing w:line="259" w:lineRule="auto"/>
      </w:pPr>
    </w:p>
    <w:p w14:paraId="75150F43" w14:textId="57559B8E" w:rsidR="009E7263" w:rsidRDefault="00D77137" w:rsidP="009E7263">
      <w:pPr>
        <w:jc w:val="center"/>
      </w:pPr>
      <w:r>
        <w:rPr>
          <w:noProof/>
          <w:lang w:val="de-CH" w:eastAsia="de-CH"/>
        </w:rPr>
        <w:lastRenderedPageBreak/>
        <w:drawing>
          <wp:inline distT="0" distB="0" distL="0" distR="0" wp14:anchorId="461DF5F2" wp14:editId="18C84D99">
            <wp:extent cx="3810000" cy="47625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4762500"/>
                    </a:xfrm>
                    <a:prstGeom prst="rect">
                      <a:avLst/>
                    </a:prstGeom>
                    <a:noFill/>
                    <a:ln>
                      <a:noFill/>
                    </a:ln>
                  </pic:spPr>
                </pic:pic>
              </a:graphicData>
            </a:graphic>
          </wp:inline>
        </w:drawing>
      </w:r>
    </w:p>
    <w:p w14:paraId="2BC049AB" w14:textId="0B4A654D" w:rsidR="002324DE" w:rsidRDefault="009E7263">
      <w:r w:rsidRPr="00C942EB">
        <w:rPr>
          <w:b/>
          <w:bCs/>
        </w:rPr>
        <w:t>Figure S7:</w:t>
      </w:r>
      <w:r>
        <w:t xml:space="preserve"> </w:t>
      </w:r>
      <w:r w:rsidRPr="00075CCF">
        <w:rPr>
          <w:noProof/>
        </w:rPr>
        <w:t xml:space="preserve">The relationship between hyphal P transfer activity (measured as </w:t>
      </w:r>
      <w:r w:rsidRPr="00075CCF">
        <w:rPr>
          <w:noProof/>
          <w:vertAlign w:val="superscript"/>
        </w:rPr>
        <w:t>33</w:t>
      </w:r>
      <w:r w:rsidRPr="00075CCF">
        <w:rPr>
          <w:noProof/>
        </w:rPr>
        <w:t xml:space="preserve">P recovery in the shoots) and the </w:t>
      </w:r>
      <w:r>
        <w:rPr>
          <w:noProof/>
        </w:rPr>
        <w:t>number of fungicide application events in</w:t>
      </w:r>
      <w:r w:rsidRPr="00075CCF">
        <w:rPr>
          <w:noProof/>
        </w:rPr>
        <w:t xml:space="preserve"> cropland soils</w:t>
      </w:r>
      <w:r>
        <w:rPr>
          <w:noProof/>
        </w:rPr>
        <w:t xml:space="preserve">. </w:t>
      </w:r>
      <w:r w:rsidR="008E4582" w:rsidRPr="00BA68DC">
        <w:rPr>
          <w:noProof/>
        </w:rPr>
        <w:t xml:space="preserve">The linear regression </w:t>
      </w:r>
      <w:r w:rsidR="00A010DA" w:rsidRPr="00BA68DC">
        <w:rPr>
          <w:noProof/>
        </w:rPr>
        <w:t xml:space="preserve">model is </w:t>
      </w:r>
      <w:r w:rsidR="00E819AC" w:rsidRPr="00BA68DC">
        <w:rPr>
          <w:noProof/>
        </w:rPr>
        <w:t>shown</w:t>
      </w:r>
      <w:r w:rsidR="00A010DA" w:rsidRPr="00BA68DC">
        <w:rPr>
          <w:noProof/>
        </w:rPr>
        <w:t xml:space="preserve"> in </w:t>
      </w:r>
      <w:r w:rsidR="007F7575" w:rsidRPr="00BA68DC">
        <w:rPr>
          <w:noProof/>
        </w:rPr>
        <w:t>black</w:t>
      </w:r>
      <w:r w:rsidR="00BA68DC" w:rsidRPr="00BA68DC">
        <w:rPr>
          <w:noProof/>
        </w:rPr>
        <w:t xml:space="preserve"> and the</w:t>
      </w:r>
      <w:r w:rsidR="00C74A7F" w:rsidRPr="00BA68DC">
        <w:rPr>
          <w:noProof/>
        </w:rPr>
        <w:t xml:space="preserve"> orange polygon frames the upper and lower confidence level (0.95).</w:t>
      </w:r>
      <w:r w:rsidR="00A010DA" w:rsidRPr="00BA68DC">
        <w:rPr>
          <w:noProof/>
        </w:rPr>
        <w:t xml:space="preserve"> </w:t>
      </w:r>
      <w:r w:rsidR="00903A7B" w:rsidRPr="00BA68DC">
        <w:rPr>
          <w:noProof/>
        </w:rPr>
        <w:t>Purple, red</w:t>
      </w:r>
      <w:r w:rsidR="00BA68DC" w:rsidRPr="00BA68DC">
        <w:rPr>
          <w:noProof/>
        </w:rPr>
        <w:t>,</w:t>
      </w:r>
      <w:r w:rsidR="00903A7B" w:rsidRPr="00BA68DC">
        <w:rPr>
          <w:noProof/>
        </w:rPr>
        <w:t xml:space="preserve"> and pink lines and letters correspond to the </w:t>
      </w:r>
      <w:r w:rsidR="0033432C" w:rsidRPr="00BA68DC">
        <w:rPr>
          <w:noProof/>
        </w:rPr>
        <w:t>0.1, 0.5, and 0.9 quantile regression models, respectively.</w:t>
      </w:r>
      <w:r w:rsidR="0033432C">
        <w:t xml:space="preserve"> </w:t>
      </w:r>
    </w:p>
    <w:p w14:paraId="4B9462E9" w14:textId="77777777" w:rsidR="00967F61" w:rsidRDefault="00967F61">
      <w:pPr>
        <w:spacing w:line="259" w:lineRule="auto"/>
      </w:pPr>
      <w:r>
        <w:br w:type="page"/>
      </w:r>
    </w:p>
    <w:p w14:paraId="2BC12503" w14:textId="09743EA8" w:rsidR="006D7A80" w:rsidRDefault="006D7A80">
      <w:r>
        <w:lastRenderedPageBreak/>
        <w:t>References</w:t>
      </w:r>
    </w:p>
    <w:p w14:paraId="15ECA91D" w14:textId="4518D43C" w:rsidR="00191D95" w:rsidRPr="00191D95" w:rsidRDefault="006D7A80" w:rsidP="00191D95">
      <w:pPr>
        <w:widowControl w:val="0"/>
        <w:autoSpaceDE w:val="0"/>
        <w:autoSpaceDN w:val="0"/>
        <w:adjustRightInd w:val="0"/>
        <w:ind w:left="640" w:hanging="640"/>
        <w:rPr>
          <w:noProof/>
          <w:szCs w:val="24"/>
        </w:rPr>
      </w:pPr>
      <w:r>
        <w:fldChar w:fldCharType="begin" w:fldLock="1"/>
      </w:r>
      <w:r>
        <w:instrText xml:space="preserve">ADDIN Mendeley Bibliography CSL_BIBLIOGRAPHY </w:instrText>
      </w:r>
      <w:r>
        <w:fldChar w:fldCharType="separate"/>
      </w:r>
      <w:r w:rsidR="00191D95" w:rsidRPr="00191D95">
        <w:rPr>
          <w:noProof/>
          <w:szCs w:val="24"/>
        </w:rPr>
        <w:t>1.</w:t>
      </w:r>
      <w:r w:rsidR="00191D95" w:rsidRPr="00191D95">
        <w:rPr>
          <w:noProof/>
          <w:szCs w:val="24"/>
        </w:rPr>
        <w:tab/>
        <w:t xml:space="preserve">Vierheilig, H., Coughlan, A. P., Wyss, U. &amp; Piché, Y. Ink and Vinegar, a Simple Staining Technique for Arbuscular-Mycorrhizal Fungi. </w:t>
      </w:r>
      <w:r w:rsidR="00191D95" w:rsidRPr="00191D95">
        <w:rPr>
          <w:i/>
          <w:iCs/>
          <w:noProof/>
          <w:szCs w:val="24"/>
        </w:rPr>
        <w:t>Appl. Environ. Microbiol.</w:t>
      </w:r>
      <w:r w:rsidR="00191D95" w:rsidRPr="00191D95">
        <w:rPr>
          <w:noProof/>
          <w:szCs w:val="24"/>
        </w:rPr>
        <w:t xml:space="preserve"> </w:t>
      </w:r>
      <w:r w:rsidR="00191D95" w:rsidRPr="00191D95">
        <w:rPr>
          <w:b/>
          <w:bCs/>
          <w:noProof/>
          <w:szCs w:val="24"/>
        </w:rPr>
        <w:t>64</w:t>
      </w:r>
      <w:r w:rsidR="00191D95" w:rsidRPr="00191D95">
        <w:rPr>
          <w:noProof/>
          <w:szCs w:val="24"/>
        </w:rPr>
        <w:t>, 5004–5007 (1998).</w:t>
      </w:r>
    </w:p>
    <w:p w14:paraId="33208325" w14:textId="77777777" w:rsidR="00191D95" w:rsidRPr="00191D95" w:rsidRDefault="00191D95" w:rsidP="00191D95">
      <w:pPr>
        <w:widowControl w:val="0"/>
        <w:autoSpaceDE w:val="0"/>
        <w:autoSpaceDN w:val="0"/>
        <w:adjustRightInd w:val="0"/>
        <w:ind w:left="640" w:hanging="640"/>
        <w:rPr>
          <w:noProof/>
          <w:szCs w:val="24"/>
        </w:rPr>
      </w:pPr>
      <w:r w:rsidRPr="00191D95">
        <w:rPr>
          <w:noProof/>
          <w:szCs w:val="24"/>
        </w:rPr>
        <w:t>2.</w:t>
      </w:r>
      <w:r w:rsidRPr="00191D95">
        <w:rPr>
          <w:noProof/>
          <w:szCs w:val="24"/>
        </w:rPr>
        <w:tab/>
        <w:t xml:space="preserve">McGonigle, T. P., Miller, M. H., Evans, D. G., Fairchild, G. L. &amp; Swan, J. A. A new method which gives an objective measure of colonization of roots by vesicular—arbuscular mycorrhizal fungi. </w:t>
      </w:r>
      <w:r w:rsidRPr="00191D95">
        <w:rPr>
          <w:i/>
          <w:iCs/>
          <w:noProof/>
          <w:szCs w:val="24"/>
        </w:rPr>
        <w:t>New Phytol.</w:t>
      </w:r>
      <w:r w:rsidRPr="00191D95">
        <w:rPr>
          <w:noProof/>
          <w:szCs w:val="24"/>
        </w:rPr>
        <w:t xml:space="preserve"> </w:t>
      </w:r>
      <w:r w:rsidRPr="00191D95">
        <w:rPr>
          <w:b/>
          <w:bCs/>
          <w:noProof/>
          <w:szCs w:val="24"/>
        </w:rPr>
        <w:t>115</w:t>
      </w:r>
      <w:r w:rsidRPr="00191D95">
        <w:rPr>
          <w:noProof/>
          <w:szCs w:val="24"/>
        </w:rPr>
        <w:t>, 495–501 (1990).</w:t>
      </w:r>
    </w:p>
    <w:p w14:paraId="0153F278" w14:textId="77777777" w:rsidR="00191D95" w:rsidRPr="00191D95" w:rsidRDefault="00191D95" w:rsidP="00191D95">
      <w:pPr>
        <w:widowControl w:val="0"/>
        <w:autoSpaceDE w:val="0"/>
        <w:autoSpaceDN w:val="0"/>
        <w:adjustRightInd w:val="0"/>
        <w:ind w:left="640" w:hanging="640"/>
        <w:rPr>
          <w:noProof/>
          <w:szCs w:val="24"/>
        </w:rPr>
      </w:pPr>
      <w:r w:rsidRPr="00191D95">
        <w:rPr>
          <w:noProof/>
          <w:szCs w:val="24"/>
        </w:rPr>
        <w:t>3.</w:t>
      </w:r>
      <w:r w:rsidRPr="00191D95">
        <w:rPr>
          <w:noProof/>
          <w:szCs w:val="24"/>
        </w:rPr>
        <w:tab/>
        <w:t xml:space="preserve">Lazarevic, V., Gaïa, N., Girard, M., François, P. &amp; Schrenzel, J. Comparison of DNA Extraction Methods in Analysis of Salivary Bacterial Communities. </w:t>
      </w:r>
      <w:r w:rsidRPr="00191D95">
        <w:rPr>
          <w:i/>
          <w:iCs/>
          <w:noProof/>
          <w:szCs w:val="24"/>
        </w:rPr>
        <w:t>PLoS One</w:t>
      </w:r>
      <w:r w:rsidRPr="00191D95">
        <w:rPr>
          <w:noProof/>
          <w:szCs w:val="24"/>
        </w:rPr>
        <w:t xml:space="preserve"> </w:t>
      </w:r>
      <w:r w:rsidRPr="00191D95">
        <w:rPr>
          <w:b/>
          <w:bCs/>
          <w:noProof/>
          <w:szCs w:val="24"/>
        </w:rPr>
        <w:t>8</w:t>
      </w:r>
      <w:r w:rsidRPr="00191D95">
        <w:rPr>
          <w:noProof/>
          <w:szCs w:val="24"/>
        </w:rPr>
        <w:t>, (2013).</w:t>
      </w:r>
    </w:p>
    <w:p w14:paraId="0C8998C6" w14:textId="77777777" w:rsidR="00191D95" w:rsidRPr="00191D95" w:rsidRDefault="00191D95" w:rsidP="00191D95">
      <w:pPr>
        <w:widowControl w:val="0"/>
        <w:autoSpaceDE w:val="0"/>
        <w:autoSpaceDN w:val="0"/>
        <w:adjustRightInd w:val="0"/>
        <w:ind w:left="640" w:hanging="640"/>
        <w:rPr>
          <w:noProof/>
          <w:szCs w:val="24"/>
        </w:rPr>
      </w:pPr>
      <w:r w:rsidRPr="00191D95">
        <w:rPr>
          <w:noProof/>
          <w:szCs w:val="24"/>
        </w:rPr>
        <w:t>4.</w:t>
      </w:r>
      <w:r w:rsidRPr="00191D95">
        <w:rPr>
          <w:noProof/>
          <w:szCs w:val="24"/>
        </w:rPr>
        <w:tab/>
        <w:t xml:space="preserve">Hewins, C. R., Carrino-Kyker, S. R. &amp; Burke, D. J. Seasonal variation in mycorrhizal fungi colonizing roots of Allium tricoccum (wild leek) in a mature mixed hardwood forest. </w:t>
      </w:r>
      <w:r w:rsidRPr="00191D95">
        <w:rPr>
          <w:i/>
          <w:iCs/>
          <w:noProof/>
          <w:szCs w:val="24"/>
        </w:rPr>
        <w:t>Mycorrhiza</w:t>
      </w:r>
      <w:r w:rsidRPr="00191D95">
        <w:rPr>
          <w:noProof/>
          <w:szCs w:val="24"/>
        </w:rPr>
        <w:t xml:space="preserve"> </w:t>
      </w:r>
      <w:r w:rsidRPr="00191D95">
        <w:rPr>
          <w:b/>
          <w:bCs/>
          <w:noProof/>
          <w:szCs w:val="24"/>
        </w:rPr>
        <w:t>25</w:t>
      </w:r>
      <w:r w:rsidRPr="00191D95">
        <w:rPr>
          <w:noProof/>
          <w:szCs w:val="24"/>
        </w:rPr>
        <w:t>, 469–483 (2015).</w:t>
      </w:r>
    </w:p>
    <w:p w14:paraId="15B699BB" w14:textId="77777777" w:rsidR="00191D95" w:rsidRPr="00191D95" w:rsidRDefault="00191D95" w:rsidP="00191D95">
      <w:pPr>
        <w:widowControl w:val="0"/>
        <w:autoSpaceDE w:val="0"/>
        <w:autoSpaceDN w:val="0"/>
        <w:adjustRightInd w:val="0"/>
        <w:ind w:left="640" w:hanging="640"/>
        <w:rPr>
          <w:noProof/>
          <w:szCs w:val="24"/>
        </w:rPr>
      </w:pPr>
      <w:r w:rsidRPr="00191D95">
        <w:rPr>
          <w:noProof/>
          <w:szCs w:val="24"/>
        </w:rPr>
        <w:t>5.</w:t>
      </w:r>
      <w:r w:rsidRPr="00191D95">
        <w:rPr>
          <w:noProof/>
          <w:szCs w:val="24"/>
        </w:rPr>
        <w:tab/>
        <w:t xml:space="preserve">Helgason, T., Daniell, T. J., Husband, R., Fitter, A. H. &amp; Young, J. P. W. Ploughing up the wood-wide web? </w:t>
      </w:r>
      <w:r w:rsidRPr="00191D95">
        <w:rPr>
          <w:i/>
          <w:iCs/>
          <w:noProof/>
          <w:szCs w:val="24"/>
        </w:rPr>
        <w:t>Nature</w:t>
      </w:r>
      <w:r w:rsidRPr="00191D95">
        <w:rPr>
          <w:noProof/>
          <w:szCs w:val="24"/>
        </w:rPr>
        <w:t xml:space="preserve"> </w:t>
      </w:r>
      <w:r w:rsidRPr="00191D95">
        <w:rPr>
          <w:b/>
          <w:bCs/>
          <w:noProof/>
          <w:szCs w:val="24"/>
        </w:rPr>
        <w:t>394</w:t>
      </w:r>
      <w:r w:rsidRPr="00191D95">
        <w:rPr>
          <w:noProof/>
          <w:szCs w:val="24"/>
        </w:rPr>
        <w:t>, 431–431 (1998).</w:t>
      </w:r>
    </w:p>
    <w:p w14:paraId="193469F3" w14:textId="77777777" w:rsidR="00191D95" w:rsidRPr="00191D95" w:rsidRDefault="00191D95" w:rsidP="00191D95">
      <w:pPr>
        <w:widowControl w:val="0"/>
        <w:autoSpaceDE w:val="0"/>
        <w:autoSpaceDN w:val="0"/>
        <w:adjustRightInd w:val="0"/>
        <w:ind w:left="640" w:hanging="640"/>
        <w:rPr>
          <w:noProof/>
          <w:szCs w:val="24"/>
        </w:rPr>
      </w:pPr>
      <w:r w:rsidRPr="00191D95">
        <w:rPr>
          <w:noProof/>
          <w:szCs w:val="24"/>
        </w:rPr>
        <w:t>6.</w:t>
      </w:r>
      <w:r w:rsidRPr="00191D95">
        <w:rPr>
          <w:noProof/>
          <w:szCs w:val="24"/>
        </w:rPr>
        <w:tab/>
        <w:t xml:space="preserve">Ruijter, J. M. </w:t>
      </w:r>
      <w:r w:rsidRPr="00191D95">
        <w:rPr>
          <w:i/>
          <w:iCs/>
          <w:noProof/>
          <w:szCs w:val="24"/>
        </w:rPr>
        <w:t>et al.</w:t>
      </w:r>
      <w:r w:rsidRPr="00191D95">
        <w:rPr>
          <w:noProof/>
          <w:szCs w:val="24"/>
        </w:rPr>
        <w:t xml:space="preserve"> Amplification efficiency: linking baseline and bias in the analysis of quantitative PCR data. </w:t>
      </w:r>
      <w:r w:rsidRPr="00191D95">
        <w:rPr>
          <w:i/>
          <w:iCs/>
          <w:noProof/>
          <w:szCs w:val="24"/>
        </w:rPr>
        <w:t>Nucleic Acids Res.</w:t>
      </w:r>
      <w:r w:rsidRPr="00191D95">
        <w:rPr>
          <w:noProof/>
          <w:szCs w:val="24"/>
        </w:rPr>
        <w:t xml:space="preserve"> </w:t>
      </w:r>
      <w:r w:rsidRPr="00191D95">
        <w:rPr>
          <w:b/>
          <w:bCs/>
          <w:noProof/>
          <w:szCs w:val="24"/>
        </w:rPr>
        <w:t>37</w:t>
      </w:r>
      <w:r w:rsidRPr="00191D95">
        <w:rPr>
          <w:noProof/>
          <w:szCs w:val="24"/>
        </w:rPr>
        <w:t>, e45–e45 (2009).</w:t>
      </w:r>
    </w:p>
    <w:p w14:paraId="0AD1444B" w14:textId="77777777" w:rsidR="00191D95" w:rsidRPr="00191D95" w:rsidRDefault="00191D95" w:rsidP="00191D95">
      <w:pPr>
        <w:widowControl w:val="0"/>
        <w:autoSpaceDE w:val="0"/>
        <w:autoSpaceDN w:val="0"/>
        <w:adjustRightInd w:val="0"/>
        <w:ind w:left="640" w:hanging="640"/>
        <w:rPr>
          <w:noProof/>
          <w:szCs w:val="24"/>
        </w:rPr>
      </w:pPr>
      <w:r w:rsidRPr="00191D95">
        <w:rPr>
          <w:noProof/>
          <w:szCs w:val="24"/>
        </w:rPr>
        <w:t>7.</w:t>
      </w:r>
      <w:r w:rsidRPr="00191D95">
        <w:rPr>
          <w:noProof/>
          <w:szCs w:val="24"/>
        </w:rPr>
        <w:tab/>
        <w:t xml:space="preserve">Garland, G. </w:t>
      </w:r>
      <w:r w:rsidRPr="00191D95">
        <w:rPr>
          <w:i/>
          <w:iCs/>
          <w:noProof/>
          <w:szCs w:val="24"/>
        </w:rPr>
        <w:t>et al.</w:t>
      </w:r>
      <w:r w:rsidRPr="00191D95">
        <w:rPr>
          <w:noProof/>
          <w:szCs w:val="24"/>
        </w:rPr>
        <w:t xml:space="preserve"> Crop cover is more important than rotational diversity for soil multifunctionality and cereal yields in European cropping systems. </w:t>
      </w:r>
      <w:r w:rsidRPr="00191D95">
        <w:rPr>
          <w:i/>
          <w:iCs/>
          <w:noProof/>
          <w:szCs w:val="24"/>
        </w:rPr>
        <w:t>Nat. Food</w:t>
      </w:r>
      <w:r w:rsidRPr="00191D95">
        <w:rPr>
          <w:noProof/>
          <w:szCs w:val="24"/>
        </w:rPr>
        <w:t xml:space="preserve"> </w:t>
      </w:r>
      <w:r w:rsidRPr="00191D95">
        <w:rPr>
          <w:b/>
          <w:bCs/>
          <w:noProof/>
          <w:szCs w:val="24"/>
        </w:rPr>
        <w:t>2</w:t>
      </w:r>
      <w:r w:rsidRPr="00191D95">
        <w:rPr>
          <w:noProof/>
          <w:szCs w:val="24"/>
        </w:rPr>
        <w:t>, 28–37 (2021).</w:t>
      </w:r>
    </w:p>
    <w:p w14:paraId="1935A523" w14:textId="77777777" w:rsidR="00191D95" w:rsidRPr="00191D95" w:rsidRDefault="00191D95" w:rsidP="00191D95">
      <w:pPr>
        <w:widowControl w:val="0"/>
        <w:autoSpaceDE w:val="0"/>
        <w:autoSpaceDN w:val="0"/>
        <w:adjustRightInd w:val="0"/>
        <w:ind w:left="640" w:hanging="640"/>
        <w:rPr>
          <w:noProof/>
        </w:rPr>
      </w:pPr>
      <w:r w:rsidRPr="00191D95">
        <w:rPr>
          <w:noProof/>
          <w:szCs w:val="24"/>
        </w:rPr>
        <w:t>8.</w:t>
      </w:r>
      <w:r w:rsidRPr="00191D95">
        <w:rPr>
          <w:noProof/>
          <w:szCs w:val="24"/>
        </w:rPr>
        <w:tab/>
        <w:t xml:space="preserve">Garland, G. </w:t>
      </w:r>
      <w:r w:rsidRPr="00191D95">
        <w:rPr>
          <w:i/>
          <w:iCs/>
          <w:noProof/>
          <w:szCs w:val="24"/>
        </w:rPr>
        <w:t>et al.</w:t>
      </w:r>
      <w:r w:rsidRPr="00191D95">
        <w:rPr>
          <w:noProof/>
          <w:szCs w:val="24"/>
        </w:rPr>
        <w:t xml:space="preserve"> Crop cover is more important than rotational diversity for soil multifunctionality and cereal yields in European cropping systems. </w:t>
      </w:r>
      <w:r w:rsidRPr="00191D95">
        <w:rPr>
          <w:i/>
          <w:iCs/>
          <w:noProof/>
          <w:szCs w:val="24"/>
        </w:rPr>
        <w:t>Nat. Food</w:t>
      </w:r>
      <w:r w:rsidRPr="00191D95">
        <w:rPr>
          <w:noProof/>
          <w:szCs w:val="24"/>
        </w:rPr>
        <w:t xml:space="preserve"> </w:t>
      </w:r>
      <w:r w:rsidRPr="00191D95">
        <w:rPr>
          <w:b/>
          <w:bCs/>
          <w:noProof/>
          <w:szCs w:val="24"/>
        </w:rPr>
        <w:t>2</w:t>
      </w:r>
      <w:r w:rsidRPr="00191D95">
        <w:rPr>
          <w:noProof/>
          <w:szCs w:val="24"/>
        </w:rPr>
        <w:t>, 28–37 (2021).</w:t>
      </w:r>
    </w:p>
    <w:p w14:paraId="7B08CF77" w14:textId="729EDB92" w:rsidR="006D7A80" w:rsidRDefault="006D7A80">
      <w:r>
        <w:fldChar w:fldCharType="end"/>
      </w:r>
    </w:p>
    <w:sectPr w:rsidR="006D7A80" w:rsidSect="006D7A80">
      <w:pgSz w:w="11906" w:h="16838"/>
      <w:pgMar w:top="1418" w:right="1418" w:bottom="1134" w:left="1418" w:header="709" w:footer="709" w:gutter="0"/>
      <w:lnNumType w:countBy="1" w:restart="newSection"/>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493902"/>
    <w:multiLevelType w:val="hybridMultilevel"/>
    <w:tmpl w:val="7AC8D1A2"/>
    <w:lvl w:ilvl="0" w:tplc="EC4EF322">
      <w:start w:val="1"/>
      <w:numFmt w:val="decimal"/>
      <w:pStyle w:val="berschrif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A80"/>
    <w:rsid w:val="00026BE8"/>
    <w:rsid w:val="00031E33"/>
    <w:rsid w:val="00062D34"/>
    <w:rsid w:val="000743F7"/>
    <w:rsid w:val="000815BB"/>
    <w:rsid w:val="00092886"/>
    <w:rsid w:val="000B13F2"/>
    <w:rsid w:val="000B199C"/>
    <w:rsid w:val="000B2E55"/>
    <w:rsid w:val="000C0D00"/>
    <w:rsid w:val="000C4E14"/>
    <w:rsid w:val="001270E0"/>
    <w:rsid w:val="00131E22"/>
    <w:rsid w:val="00134963"/>
    <w:rsid w:val="00136A1C"/>
    <w:rsid w:val="001404A3"/>
    <w:rsid w:val="001421EC"/>
    <w:rsid w:val="00143D0D"/>
    <w:rsid w:val="00147498"/>
    <w:rsid w:val="00163DDB"/>
    <w:rsid w:val="001669F0"/>
    <w:rsid w:val="001711F5"/>
    <w:rsid w:val="00191D95"/>
    <w:rsid w:val="00194B22"/>
    <w:rsid w:val="001A2EBA"/>
    <w:rsid w:val="001C30AA"/>
    <w:rsid w:val="001D1D69"/>
    <w:rsid w:val="001E5CFB"/>
    <w:rsid w:val="002069BE"/>
    <w:rsid w:val="00224867"/>
    <w:rsid w:val="002324DE"/>
    <w:rsid w:val="00260836"/>
    <w:rsid w:val="00284E8D"/>
    <w:rsid w:val="002C6269"/>
    <w:rsid w:val="002D5AF9"/>
    <w:rsid w:val="002E5CE7"/>
    <w:rsid w:val="00301099"/>
    <w:rsid w:val="00305EA1"/>
    <w:rsid w:val="0033432C"/>
    <w:rsid w:val="00374DDF"/>
    <w:rsid w:val="0037593D"/>
    <w:rsid w:val="00397309"/>
    <w:rsid w:val="003F00EE"/>
    <w:rsid w:val="003F1034"/>
    <w:rsid w:val="004007B3"/>
    <w:rsid w:val="00437E4C"/>
    <w:rsid w:val="00463716"/>
    <w:rsid w:val="004836CE"/>
    <w:rsid w:val="0049690A"/>
    <w:rsid w:val="00497A93"/>
    <w:rsid w:val="004A13D3"/>
    <w:rsid w:val="004A48D2"/>
    <w:rsid w:val="004C3A73"/>
    <w:rsid w:val="004D0D6F"/>
    <w:rsid w:val="004E6630"/>
    <w:rsid w:val="004F7B08"/>
    <w:rsid w:val="00571F5D"/>
    <w:rsid w:val="00573EB1"/>
    <w:rsid w:val="00576924"/>
    <w:rsid w:val="00581F6D"/>
    <w:rsid w:val="005A054F"/>
    <w:rsid w:val="005A5E03"/>
    <w:rsid w:val="005B07DD"/>
    <w:rsid w:val="005B088C"/>
    <w:rsid w:val="005B3A39"/>
    <w:rsid w:val="005E28DC"/>
    <w:rsid w:val="005E2B12"/>
    <w:rsid w:val="005E56C1"/>
    <w:rsid w:val="00602B6D"/>
    <w:rsid w:val="0064089F"/>
    <w:rsid w:val="00666FD4"/>
    <w:rsid w:val="0067147F"/>
    <w:rsid w:val="006B00A1"/>
    <w:rsid w:val="006B2EA4"/>
    <w:rsid w:val="006C0702"/>
    <w:rsid w:val="006D7A80"/>
    <w:rsid w:val="00747AD3"/>
    <w:rsid w:val="00755C5F"/>
    <w:rsid w:val="00786BE9"/>
    <w:rsid w:val="007A404E"/>
    <w:rsid w:val="007B324E"/>
    <w:rsid w:val="007D07E8"/>
    <w:rsid w:val="007D0F55"/>
    <w:rsid w:val="007F0150"/>
    <w:rsid w:val="007F7575"/>
    <w:rsid w:val="008235A3"/>
    <w:rsid w:val="0082588D"/>
    <w:rsid w:val="008268D7"/>
    <w:rsid w:val="00845414"/>
    <w:rsid w:val="00853163"/>
    <w:rsid w:val="00862272"/>
    <w:rsid w:val="00862F2E"/>
    <w:rsid w:val="00872EBB"/>
    <w:rsid w:val="008803CD"/>
    <w:rsid w:val="00890B65"/>
    <w:rsid w:val="008A79D9"/>
    <w:rsid w:val="008D27C9"/>
    <w:rsid w:val="008E4582"/>
    <w:rsid w:val="00903A7B"/>
    <w:rsid w:val="0093134E"/>
    <w:rsid w:val="009532A2"/>
    <w:rsid w:val="009578BB"/>
    <w:rsid w:val="00967F61"/>
    <w:rsid w:val="00980B96"/>
    <w:rsid w:val="00980E49"/>
    <w:rsid w:val="00985FE6"/>
    <w:rsid w:val="00990C0D"/>
    <w:rsid w:val="009A5698"/>
    <w:rsid w:val="009B147F"/>
    <w:rsid w:val="009C7AC3"/>
    <w:rsid w:val="009D1FBF"/>
    <w:rsid w:val="009E7263"/>
    <w:rsid w:val="00A010DA"/>
    <w:rsid w:val="00A17826"/>
    <w:rsid w:val="00A336C3"/>
    <w:rsid w:val="00A50D31"/>
    <w:rsid w:val="00A52393"/>
    <w:rsid w:val="00A578C4"/>
    <w:rsid w:val="00A656EE"/>
    <w:rsid w:val="00A67D29"/>
    <w:rsid w:val="00A723B1"/>
    <w:rsid w:val="00AA675B"/>
    <w:rsid w:val="00AA6CD7"/>
    <w:rsid w:val="00AB09D5"/>
    <w:rsid w:val="00AB5610"/>
    <w:rsid w:val="00AD0428"/>
    <w:rsid w:val="00AD224D"/>
    <w:rsid w:val="00AE3585"/>
    <w:rsid w:val="00B02CEC"/>
    <w:rsid w:val="00B04635"/>
    <w:rsid w:val="00B1794E"/>
    <w:rsid w:val="00B5101E"/>
    <w:rsid w:val="00B551C3"/>
    <w:rsid w:val="00B569DF"/>
    <w:rsid w:val="00B65C45"/>
    <w:rsid w:val="00B6717F"/>
    <w:rsid w:val="00B83E3E"/>
    <w:rsid w:val="00B91868"/>
    <w:rsid w:val="00B93369"/>
    <w:rsid w:val="00BA68DC"/>
    <w:rsid w:val="00BD6F90"/>
    <w:rsid w:val="00BF5B1F"/>
    <w:rsid w:val="00C06626"/>
    <w:rsid w:val="00C23453"/>
    <w:rsid w:val="00C32695"/>
    <w:rsid w:val="00C66EE9"/>
    <w:rsid w:val="00C74A7F"/>
    <w:rsid w:val="00C860C9"/>
    <w:rsid w:val="00C863A1"/>
    <w:rsid w:val="00CA1691"/>
    <w:rsid w:val="00CA6D24"/>
    <w:rsid w:val="00CC40FE"/>
    <w:rsid w:val="00CD136D"/>
    <w:rsid w:val="00CF3372"/>
    <w:rsid w:val="00D06A8E"/>
    <w:rsid w:val="00D14259"/>
    <w:rsid w:val="00D77137"/>
    <w:rsid w:val="00D85BBC"/>
    <w:rsid w:val="00D9226B"/>
    <w:rsid w:val="00D94C34"/>
    <w:rsid w:val="00DA1BBC"/>
    <w:rsid w:val="00DE056B"/>
    <w:rsid w:val="00E65A55"/>
    <w:rsid w:val="00E67C3F"/>
    <w:rsid w:val="00E819AC"/>
    <w:rsid w:val="00E97732"/>
    <w:rsid w:val="00EA62EF"/>
    <w:rsid w:val="00EB362F"/>
    <w:rsid w:val="00EC2BE3"/>
    <w:rsid w:val="00ED79AB"/>
    <w:rsid w:val="00EF402E"/>
    <w:rsid w:val="00F16C57"/>
    <w:rsid w:val="00F276C9"/>
    <w:rsid w:val="00F37AE9"/>
    <w:rsid w:val="00F413E5"/>
    <w:rsid w:val="00F5675C"/>
    <w:rsid w:val="00F82B59"/>
    <w:rsid w:val="00F9526C"/>
    <w:rsid w:val="00FB53FF"/>
    <w:rsid w:val="00FC39C1"/>
    <w:rsid w:val="00FF3E5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647D5"/>
  <w15:chartTrackingRefBased/>
  <w15:docId w15:val="{0F16D598-2B2C-4016-939A-BA7CCD9B8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D7A80"/>
    <w:pPr>
      <w:spacing w:line="360" w:lineRule="auto"/>
    </w:pPr>
    <w:rPr>
      <w:rFonts w:ascii="Arial" w:hAnsi="Arial" w:cs="Arial"/>
    </w:rPr>
  </w:style>
  <w:style w:type="paragraph" w:styleId="berschrift2">
    <w:name w:val="heading 2"/>
    <w:basedOn w:val="Standard"/>
    <w:next w:val="Standard"/>
    <w:link w:val="berschrift2Zchn"/>
    <w:uiPriority w:val="9"/>
    <w:unhideWhenUsed/>
    <w:qFormat/>
    <w:rsid w:val="006D7A80"/>
    <w:pPr>
      <w:keepNext/>
      <w:keepLines/>
      <w:numPr>
        <w:numId w:val="1"/>
      </w:numPr>
      <w:spacing w:before="40" w:after="0"/>
      <w:jc w:val="both"/>
      <w:outlineLvl w:val="1"/>
    </w:pPr>
    <w:rPr>
      <w:rFonts w:eastAsiaTheme="majorEastAsia"/>
      <w:sz w:val="26"/>
      <w:szCs w:val="26"/>
    </w:rPr>
  </w:style>
  <w:style w:type="paragraph" w:styleId="berschrift3">
    <w:name w:val="heading 3"/>
    <w:basedOn w:val="Standard"/>
    <w:next w:val="Standard"/>
    <w:link w:val="berschrift3Zchn"/>
    <w:uiPriority w:val="9"/>
    <w:unhideWhenUsed/>
    <w:qFormat/>
    <w:rsid w:val="006D7A80"/>
    <w:pPr>
      <w:keepNext/>
      <w:keepLines/>
      <w:spacing w:before="40" w:after="0"/>
      <w:jc w:val="both"/>
      <w:outlineLvl w:val="2"/>
    </w:pPr>
    <w:rPr>
      <w:rFonts w:eastAsiaTheme="majorEastAsia"/>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6D7A80"/>
    <w:rPr>
      <w:rFonts w:ascii="Arial" w:eastAsiaTheme="majorEastAsia" w:hAnsi="Arial" w:cs="Arial"/>
      <w:sz w:val="26"/>
      <w:szCs w:val="26"/>
    </w:rPr>
  </w:style>
  <w:style w:type="character" w:customStyle="1" w:styleId="berschrift3Zchn">
    <w:name w:val="Überschrift 3 Zchn"/>
    <w:basedOn w:val="Absatz-Standardschriftart"/>
    <w:link w:val="berschrift3"/>
    <w:uiPriority w:val="9"/>
    <w:rsid w:val="006D7A80"/>
    <w:rPr>
      <w:rFonts w:ascii="Arial" w:eastAsiaTheme="majorEastAsia" w:hAnsi="Arial" w:cs="Arial"/>
      <w:sz w:val="24"/>
      <w:szCs w:val="24"/>
    </w:rPr>
  </w:style>
  <w:style w:type="character" w:styleId="Kommentarzeichen">
    <w:name w:val="annotation reference"/>
    <w:basedOn w:val="Absatz-Standardschriftart"/>
    <w:uiPriority w:val="99"/>
    <w:semiHidden/>
    <w:unhideWhenUsed/>
    <w:rsid w:val="006D7A80"/>
    <w:rPr>
      <w:sz w:val="16"/>
      <w:szCs w:val="16"/>
    </w:rPr>
  </w:style>
  <w:style w:type="paragraph" w:styleId="Kommentartext">
    <w:name w:val="annotation text"/>
    <w:basedOn w:val="Standard"/>
    <w:link w:val="KommentartextZchn"/>
    <w:uiPriority w:val="99"/>
    <w:unhideWhenUsed/>
    <w:rsid w:val="006D7A80"/>
    <w:pPr>
      <w:spacing w:line="240" w:lineRule="auto"/>
    </w:pPr>
    <w:rPr>
      <w:sz w:val="20"/>
      <w:szCs w:val="20"/>
    </w:rPr>
  </w:style>
  <w:style w:type="character" w:customStyle="1" w:styleId="KommentartextZchn">
    <w:name w:val="Kommentartext Zchn"/>
    <w:basedOn w:val="Absatz-Standardschriftart"/>
    <w:link w:val="Kommentartext"/>
    <w:uiPriority w:val="99"/>
    <w:rsid w:val="006D7A80"/>
    <w:rPr>
      <w:rFonts w:ascii="Arial" w:hAnsi="Arial" w:cs="Arial"/>
      <w:sz w:val="20"/>
      <w:szCs w:val="20"/>
    </w:rPr>
  </w:style>
  <w:style w:type="paragraph" w:styleId="Beschriftung">
    <w:name w:val="caption"/>
    <w:basedOn w:val="Standard"/>
    <w:next w:val="Standard"/>
    <w:uiPriority w:val="35"/>
    <w:unhideWhenUsed/>
    <w:qFormat/>
    <w:rsid w:val="006D7A80"/>
    <w:pPr>
      <w:spacing w:after="200" w:line="240" w:lineRule="auto"/>
    </w:pPr>
    <w:rPr>
      <w:i/>
      <w:iCs/>
      <w:color w:val="44546A" w:themeColor="text2"/>
      <w:sz w:val="18"/>
      <w:szCs w:val="18"/>
    </w:rPr>
  </w:style>
  <w:style w:type="table" w:styleId="EinfacheTabelle4">
    <w:name w:val="Plain Table 4"/>
    <w:basedOn w:val="NormaleTabelle"/>
    <w:uiPriority w:val="44"/>
    <w:rsid w:val="006D7A8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Zeilennummer">
    <w:name w:val="line number"/>
    <w:basedOn w:val="Absatz-Standardschriftart"/>
    <w:uiPriority w:val="99"/>
    <w:semiHidden/>
    <w:unhideWhenUsed/>
    <w:rsid w:val="006D7A80"/>
  </w:style>
  <w:style w:type="paragraph" w:styleId="Sprechblasentext">
    <w:name w:val="Balloon Text"/>
    <w:basedOn w:val="Standard"/>
    <w:link w:val="SprechblasentextZchn"/>
    <w:uiPriority w:val="99"/>
    <w:semiHidden/>
    <w:unhideWhenUsed/>
    <w:rsid w:val="00DA1BB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A1BBC"/>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147498"/>
    <w:rPr>
      <w:b/>
      <w:bCs/>
    </w:rPr>
  </w:style>
  <w:style w:type="character" w:customStyle="1" w:styleId="KommentarthemaZchn">
    <w:name w:val="Kommentarthema Zchn"/>
    <w:basedOn w:val="KommentartextZchn"/>
    <w:link w:val="Kommentarthema"/>
    <w:uiPriority w:val="99"/>
    <w:semiHidden/>
    <w:rsid w:val="00147498"/>
    <w:rPr>
      <w:rFonts w:ascii="Arial" w:hAnsi="Arial" w:cs="Arial"/>
      <w:b/>
      <w:bCs/>
      <w:sz w:val="20"/>
      <w:szCs w:val="20"/>
    </w:rPr>
  </w:style>
  <w:style w:type="paragraph" w:styleId="KeinLeerraum">
    <w:name w:val="No Spacing"/>
    <w:uiPriority w:val="1"/>
    <w:qFormat/>
    <w:rsid w:val="005A054F"/>
    <w:pPr>
      <w:spacing w:after="0" w:line="240" w:lineRule="auto"/>
    </w:pPr>
    <w:rPr>
      <w:rFonts w:ascii="Arial" w:hAnsi="Arial" w:cs="Arial"/>
    </w:rPr>
  </w:style>
  <w:style w:type="character" w:styleId="Hyperlink">
    <w:name w:val="Hyperlink"/>
    <w:basedOn w:val="Absatz-Standardschriftart"/>
    <w:uiPriority w:val="99"/>
    <w:semiHidden/>
    <w:unhideWhenUsed/>
    <w:rsid w:val="00026B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042995">
      <w:bodyDiv w:val="1"/>
      <w:marLeft w:val="0"/>
      <w:marRight w:val="0"/>
      <w:marTop w:val="0"/>
      <w:marBottom w:val="0"/>
      <w:divBdr>
        <w:top w:val="none" w:sz="0" w:space="0" w:color="auto"/>
        <w:left w:val="none" w:sz="0" w:space="0" w:color="auto"/>
        <w:bottom w:val="none" w:sz="0" w:space="0" w:color="auto"/>
        <w:right w:val="none" w:sz="0" w:space="0" w:color="auto"/>
      </w:divBdr>
    </w:div>
    <w:div w:id="422192281">
      <w:bodyDiv w:val="1"/>
      <w:marLeft w:val="0"/>
      <w:marRight w:val="0"/>
      <w:marTop w:val="0"/>
      <w:marBottom w:val="0"/>
      <w:divBdr>
        <w:top w:val="none" w:sz="0" w:space="0" w:color="auto"/>
        <w:left w:val="none" w:sz="0" w:space="0" w:color="auto"/>
        <w:bottom w:val="none" w:sz="0" w:space="0" w:color="auto"/>
        <w:right w:val="none" w:sz="0" w:space="0" w:color="auto"/>
      </w:divBdr>
    </w:div>
    <w:div w:id="646788598">
      <w:bodyDiv w:val="1"/>
      <w:marLeft w:val="0"/>
      <w:marRight w:val="0"/>
      <w:marTop w:val="0"/>
      <w:marBottom w:val="0"/>
      <w:divBdr>
        <w:top w:val="none" w:sz="0" w:space="0" w:color="auto"/>
        <w:left w:val="none" w:sz="0" w:space="0" w:color="auto"/>
        <w:bottom w:val="none" w:sz="0" w:space="0" w:color="auto"/>
        <w:right w:val="none" w:sz="0" w:space="0" w:color="auto"/>
      </w:divBdr>
    </w:div>
    <w:div w:id="840510775">
      <w:bodyDiv w:val="1"/>
      <w:marLeft w:val="0"/>
      <w:marRight w:val="0"/>
      <w:marTop w:val="0"/>
      <w:marBottom w:val="0"/>
      <w:divBdr>
        <w:top w:val="none" w:sz="0" w:space="0" w:color="auto"/>
        <w:left w:val="none" w:sz="0" w:space="0" w:color="auto"/>
        <w:bottom w:val="none" w:sz="0" w:space="0" w:color="auto"/>
        <w:right w:val="none" w:sz="0" w:space="0" w:color="auto"/>
      </w:divBdr>
    </w:div>
    <w:div w:id="1093277734">
      <w:bodyDiv w:val="1"/>
      <w:marLeft w:val="0"/>
      <w:marRight w:val="0"/>
      <w:marTop w:val="0"/>
      <w:marBottom w:val="0"/>
      <w:divBdr>
        <w:top w:val="none" w:sz="0" w:space="0" w:color="auto"/>
        <w:left w:val="none" w:sz="0" w:space="0" w:color="auto"/>
        <w:bottom w:val="none" w:sz="0" w:space="0" w:color="auto"/>
        <w:right w:val="none" w:sz="0" w:space="0" w:color="auto"/>
      </w:divBdr>
    </w:div>
    <w:div w:id="1515723961">
      <w:bodyDiv w:val="1"/>
      <w:marLeft w:val="0"/>
      <w:marRight w:val="0"/>
      <w:marTop w:val="0"/>
      <w:marBottom w:val="0"/>
      <w:divBdr>
        <w:top w:val="none" w:sz="0" w:space="0" w:color="auto"/>
        <w:left w:val="none" w:sz="0" w:space="0" w:color="auto"/>
        <w:bottom w:val="none" w:sz="0" w:space="0" w:color="auto"/>
        <w:right w:val="none" w:sz="0" w:space="0" w:color="auto"/>
      </w:divBdr>
    </w:div>
    <w:div w:id="1573344172">
      <w:bodyDiv w:val="1"/>
      <w:marLeft w:val="0"/>
      <w:marRight w:val="0"/>
      <w:marTop w:val="0"/>
      <w:marBottom w:val="0"/>
      <w:divBdr>
        <w:top w:val="none" w:sz="0" w:space="0" w:color="auto"/>
        <w:left w:val="none" w:sz="0" w:space="0" w:color="auto"/>
        <w:bottom w:val="none" w:sz="0" w:space="0" w:color="auto"/>
        <w:right w:val="none" w:sz="0" w:space="0" w:color="auto"/>
      </w:divBdr>
    </w:div>
    <w:div w:id="1649287598">
      <w:bodyDiv w:val="1"/>
      <w:marLeft w:val="0"/>
      <w:marRight w:val="0"/>
      <w:marTop w:val="0"/>
      <w:marBottom w:val="0"/>
      <w:divBdr>
        <w:top w:val="none" w:sz="0" w:space="0" w:color="auto"/>
        <w:left w:val="none" w:sz="0" w:space="0" w:color="auto"/>
        <w:bottom w:val="none" w:sz="0" w:space="0" w:color="auto"/>
        <w:right w:val="none" w:sz="0" w:space="0" w:color="auto"/>
      </w:divBdr>
    </w:div>
    <w:div w:id="184806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emf"/><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C891B-46F1-411C-A69E-C7FD8EADB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4077</Words>
  <Characters>25691</Characters>
  <Application>Microsoft Office Word</Application>
  <DocSecurity>0</DocSecurity>
  <Lines>214</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Theresa Edlinger</dc:creator>
  <cp:keywords/>
  <dc:description/>
  <cp:lastModifiedBy>Edlinger Anna AGROSCOPE</cp:lastModifiedBy>
  <cp:revision>20</cp:revision>
  <dcterms:created xsi:type="dcterms:W3CDTF">2021-07-21T12:12:00Z</dcterms:created>
  <dcterms:modified xsi:type="dcterms:W3CDTF">2021-08-05T13:45:00Z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http://www.zotero.org/styles/agriculture-ecosystems-and-environment</vt:lpwstr>
  </property>
  <property fmtid="{D5CDD505-2E9C-101B-9397-08002B2CF9AE}" pid="3" name="Mendeley Recent Style Name 0_1">
    <vt:lpwstr>Agriculture, Ecosystems and Environment</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http://www.zotero.org/styles/global-change-biology</vt:lpwstr>
  </property>
  <property fmtid="{D5CDD505-2E9C-101B-9397-08002B2CF9AE}" pid="13" name="Mendeley Recent Style Name 5_1">
    <vt:lpwstr>Global Change Biology</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http://www.zotero.org/styles/new-phytologist</vt:lpwstr>
  </property>
  <property fmtid="{D5CDD505-2E9C-101B-9397-08002B2CF9AE}" pid="21" name="Mendeley Recent Style Name 9_1">
    <vt:lpwstr>New Phytologist</vt:lpwstr>
  </property>
  <property fmtid="{D5CDD505-2E9C-101B-9397-08002B2CF9AE}" pid="22" name="Mendeley Document_1">
    <vt:lpwstr>True</vt:lpwstr>
  </property>
  <property fmtid="{D5CDD505-2E9C-101B-9397-08002B2CF9AE}" pid="23" name="Mendeley Unique User Id_1">
    <vt:lpwstr>be7c16cb-8cf0-3267-a42d-5c554e1024e8</vt:lpwstr>
  </property>
  <property fmtid="{D5CDD505-2E9C-101B-9397-08002B2CF9AE}" pid="24" name="Mendeley Citation Style_1">
    <vt:lpwstr>http://www.zotero.org/styles/nature</vt:lpwstr>
  </property>
</Properties>
</file>