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89AA1" w14:textId="77777777" w:rsidR="00F07010" w:rsidRPr="00157118" w:rsidRDefault="00F07010" w:rsidP="00F07010">
      <w:pPr>
        <w:pStyle w:val="Heading1"/>
      </w:pPr>
      <w:r w:rsidRPr="00157118">
        <w:t>Supplement</w:t>
      </w:r>
    </w:p>
    <w:p w14:paraId="1760FBEA" w14:textId="77777777" w:rsidR="00F07010" w:rsidRPr="00157118" w:rsidRDefault="00F07010" w:rsidP="00F07010">
      <w:pPr>
        <w:keepNext/>
      </w:pPr>
      <w:r w:rsidRPr="00157118">
        <w:rPr>
          <w:noProof/>
        </w:rPr>
        <w:drawing>
          <wp:inline distT="0" distB="0" distL="0" distR="0" wp14:anchorId="0DE24B3B" wp14:editId="3D6CBCB9">
            <wp:extent cx="5756910" cy="7371080"/>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6910" cy="7371080"/>
                    </a:xfrm>
                    <a:prstGeom prst="rect">
                      <a:avLst/>
                    </a:prstGeom>
                    <a:noFill/>
                    <a:ln>
                      <a:noFill/>
                    </a:ln>
                  </pic:spPr>
                </pic:pic>
              </a:graphicData>
            </a:graphic>
          </wp:inline>
        </w:drawing>
      </w:r>
    </w:p>
    <w:p w14:paraId="7EAD0949" w14:textId="77777777" w:rsidR="00F07010" w:rsidRPr="00157118" w:rsidRDefault="00F07010" w:rsidP="00F07010">
      <w:pPr>
        <w:pStyle w:val="Caption"/>
        <w:spacing w:after="0"/>
      </w:pPr>
      <w:r w:rsidRPr="00157118">
        <w:t>Figure S</w:t>
      </w:r>
      <w:r w:rsidRPr="00157118">
        <w:rPr>
          <w:noProof/>
        </w:rPr>
        <w:t>1</w:t>
      </w:r>
      <w:r w:rsidRPr="00157118">
        <w:t>. Related to Figure 1.</w:t>
      </w:r>
    </w:p>
    <w:p w14:paraId="4F4A2816" w14:textId="77777777" w:rsidR="00F07010" w:rsidRPr="00157118" w:rsidRDefault="00F07010" w:rsidP="00F07010">
      <w:pPr>
        <w:pStyle w:val="Caption"/>
      </w:pPr>
      <w:r w:rsidRPr="00157118">
        <w:rPr>
          <w:b w:val="0"/>
        </w:rPr>
        <w:lastRenderedPageBreak/>
        <w:t xml:space="preserve">Wild-type C57Bl/6 mice with </w:t>
      </w:r>
      <w:r w:rsidRPr="00157118">
        <w:rPr>
          <w:b w:val="0"/>
          <w:i/>
        </w:rPr>
        <w:t>T. gondii</w:t>
      </w:r>
      <w:r w:rsidRPr="00157118">
        <w:rPr>
          <w:b w:val="0"/>
        </w:rPr>
        <w:t xml:space="preserve"> or mock-infected (Control) and orally treated with FTY720 or diluent (see also Fig. 1A). </w:t>
      </w:r>
      <w:r w:rsidRPr="00157118">
        <w:rPr>
          <w:b w:val="0"/>
          <w:szCs w:val="20"/>
        </w:rPr>
        <w:t xml:space="preserve">Representative gating strategy of flow cytometry data from the brain shows </w:t>
      </w:r>
      <w:r w:rsidRPr="00157118">
        <w:rPr>
          <w:b w:val="0"/>
        </w:rPr>
        <w:t>(</w:t>
      </w:r>
      <w:r w:rsidRPr="00157118">
        <w:t>A</w:t>
      </w:r>
      <w:r w:rsidRPr="00157118">
        <w:rPr>
          <w:b w:val="0"/>
        </w:rPr>
        <w:t>) pre-gating (singlets/cells/viable), followed by gating on CD45</w:t>
      </w:r>
      <w:r w:rsidRPr="00157118">
        <w:rPr>
          <w:b w:val="0"/>
          <w:vertAlign w:val="superscript"/>
        </w:rPr>
        <w:t>+</w:t>
      </w:r>
      <w:r w:rsidRPr="00157118">
        <w:rPr>
          <w:b w:val="0"/>
        </w:rPr>
        <w:t>CD11b</w:t>
      </w:r>
      <w:r w:rsidRPr="00157118">
        <w:rPr>
          <w:b w:val="0"/>
          <w:vertAlign w:val="superscript"/>
        </w:rPr>
        <w:t>-</w:t>
      </w:r>
      <w:r w:rsidRPr="00157118">
        <w:rPr>
          <w:b w:val="0"/>
        </w:rPr>
        <w:t>CD3</w:t>
      </w:r>
      <w:r w:rsidRPr="00157118">
        <w:rPr>
          <w:rFonts w:cs="Arial"/>
          <w:b w:val="0"/>
        </w:rPr>
        <w:t>ε</w:t>
      </w:r>
      <w:r w:rsidRPr="00157118">
        <w:rPr>
          <w:b w:val="0"/>
          <w:vertAlign w:val="superscript"/>
        </w:rPr>
        <w:t>+</w:t>
      </w:r>
      <w:r w:rsidRPr="00157118">
        <w:rPr>
          <w:b w:val="0"/>
        </w:rPr>
        <w:t xml:space="preserve"> cells to identify CD4</w:t>
      </w:r>
      <w:r w:rsidRPr="00157118">
        <w:rPr>
          <w:b w:val="0"/>
          <w:vertAlign w:val="superscript"/>
        </w:rPr>
        <w:t>+</w:t>
      </w:r>
      <w:r w:rsidRPr="00157118">
        <w:rPr>
          <w:b w:val="0"/>
        </w:rPr>
        <w:t xml:space="preserve"> and CD8</w:t>
      </w:r>
      <w:r w:rsidRPr="00157118">
        <w:rPr>
          <w:b w:val="0"/>
          <w:vertAlign w:val="superscript"/>
        </w:rPr>
        <w:t>+</w:t>
      </w:r>
      <w:r w:rsidRPr="00157118">
        <w:rPr>
          <w:b w:val="0"/>
        </w:rPr>
        <w:t> T cells, or CD45</w:t>
      </w:r>
      <w:r w:rsidRPr="00157118">
        <w:rPr>
          <w:b w:val="0"/>
          <w:vertAlign w:val="superscript"/>
        </w:rPr>
        <w:t>+</w:t>
      </w:r>
      <w:r w:rsidRPr="00157118">
        <w:rPr>
          <w:b w:val="0"/>
        </w:rPr>
        <w:t>CD11b</w:t>
      </w:r>
      <w:r w:rsidRPr="00157118">
        <w:rPr>
          <w:b w:val="0"/>
          <w:vertAlign w:val="superscript"/>
        </w:rPr>
        <w:t>+</w:t>
      </w:r>
      <w:r w:rsidRPr="00157118">
        <w:rPr>
          <w:b w:val="0"/>
        </w:rPr>
        <w:t xml:space="preserve"> cells to identify Ly6G</w:t>
      </w:r>
      <w:r w:rsidRPr="00157118">
        <w:rPr>
          <w:b w:val="0"/>
          <w:vertAlign w:val="superscript"/>
        </w:rPr>
        <w:t>-</w:t>
      </w:r>
      <w:r w:rsidRPr="00157118">
        <w:rPr>
          <w:b w:val="0"/>
        </w:rPr>
        <w:t>Ly6C</w:t>
      </w:r>
      <w:r w:rsidRPr="00157118">
        <w:rPr>
          <w:b w:val="0"/>
          <w:vertAlign w:val="superscript"/>
        </w:rPr>
        <w:t>hi</w:t>
      </w:r>
      <w:r w:rsidRPr="00157118">
        <w:rPr>
          <w:b w:val="0"/>
        </w:rPr>
        <w:t>, Ly6G</w:t>
      </w:r>
      <w:r w:rsidRPr="00157118">
        <w:rPr>
          <w:b w:val="0"/>
          <w:vertAlign w:val="superscript"/>
        </w:rPr>
        <w:t>-</w:t>
      </w:r>
      <w:r w:rsidRPr="00157118">
        <w:rPr>
          <w:b w:val="0"/>
        </w:rPr>
        <w:t>Ly6C</w:t>
      </w:r>
      <w:r w:rsidRPr="00157118">
        <w:rPr>
          <w:b w:val="0"/>
          <w:vertAlign w:val="superscript"/>
        </w:rPr>
        <w:t>int</w:t>
      </w:r>
      <w:r w:rsidRPr="00157118">
        <w:rPr>
          <w:b w:val="0"/>
        </w:rPr>
        <w:t>, Ly6G</w:t>
      </w:r>
      <w:r w:rsidRPr="00157118">
        <w:rPr>
          <w:b w:val="0"/>
          <w:vertAlign w:val="superscript"/>
        </w:rPr>
        <w:t>-</w:t>
      </w:r>
      <w:r w:rsidRPr="00157118">
        <w:rPr>
          <w:b w:val="0"/>
        </w:rPr>
        <w:t>Ly6C</w:t>
      </w:r>
      <w:r w:rsidRPr="00157118">
        <w:rPr>
          <w:b w:val="0"/>
          <w:vertAlign w:val="superscript"/>
        </w:rPr>
        <w:t>low</w:t>
      </w:r>
      <w:r w:rsidRPr="00157118">
        <w:rPr>
          <w:b w:val="0"/>
        </w:rPr>
        <w:t> monocytes, and Ly6G</w:t>
      </w:r>
      <w:r w:rsidRPr="00157118">
        <w:rPr>
          <w:b w:val="0"/>
          <w:vertAlign w:val="superscript"/>
        </w:rPr>
        <w:t>+</w:t>
      </w:r>
      <w:r w:rsidRPr="00157118">
        <w:rPr>
          <w:b w:val="0"/>
        </w:rPr>
        <w:t> neutrophils, or CD45</w:t>
      </w:r>
      <w:r w:rsidRPr="00157118">
        <w:rPr>
          <w:b w:val="0"/>
          <w:vertAlign w:val="superscript"/>
        </w:rPr>
        <w:t>low</w:t>
      </w:r>
      <w:r w:rsidRPr="00157118">
        <w:rPr>
          <w:b w:val="0"/>
        </w:rPr>
        <w:t>CD11b</w:t>
      </w:r>
      <w:r w:rsidRPr="00157118">
        <w:rPr>
          <w:b w:val="0"/>
          <w:vertAlign w:val="superscript"/>
        </w:rPr>
        <w:t>+</w:t>
      </w:r>
      <w:r w:rsidRPr="00157118">
        <w:rPr>
          <w:b w:val="0"/>
        </w:rPr>
        <w:t xml:space="preserve"> cells to identify CX</w:t>
      </w:r>
      <w:r w:rsidRPr="00157118">
        <w:rPr>
          <w:b w:val="0"/>
          <w:vertAlign w:val="subscript"/>
        </w:rPr>
        <w:t>3</w:t>
      </w:r>
      <w:r w:rsidRPr="00157118">
        <w:rPr>
          <w:b w:val="0"/>
        </w:rPr>
        <w:t>CR1</w:t>
      </w:r>
      <w:r w:rsidRPr="00157118">
        <w:rPr>
          <w:b w:val="0"/>
          <w:vertAlign w:val="superscript"/>
        </w:rPr>
        <w:t>+</w:t>
      </w:r>
      <w:r w:rsidRPr="00157118">
        <w:rPr>
          <w:b w:val="0"/>
        </w:rPr>
        <w:t xml:space="preserve"> microglia. </w:t>
      </w:r>
      <w:r w:rsidRPr="00157118">
        <w:rPr>
          <w:b w:val="0"/>
          <w:szCs w:val="20"/>
        </w:rPr>
        <w:t xml:space="preserve">Representative gating strategy of flow cytometry data from the brain shows </w:t>
      </w:r>
      <w:r w:rsidRPr="00157118">
        <w:rPr>
          <w:b w:val="0"/>
        </w:rPr>
        <w:t>(</w:t>
      </w:r>
      <w:r w:rsidRPr="00157118">
        <w:t>I</w:t>
      </w:r>
      <w:r w:rsidRPr="00157118">
        <w:rPr>
          <w:b w:val="0"/>
        </w:rPr>
        <w:t>) pre-gating (singlets/cells/viable), followed by gating on CD45</w:t>
      </w:r>
      <w:r w:rsidRPr="00157118">
        <w:rPr>
          <w:b w:val="0"/>
          <w:vertAlign w:val="superscript"/>
        </w:rPr>
        <w:t>+</w:t>
      </w:r>
      <w:r w:rsidRPr="00157118">
        <w:rPr>
          <w:b w:val="0"/>
        </w:rPr>
        <w:t>Lineage(CD3</w:t>
      </w:r>
      <w:r w:rsidRPr="00157118">
        <w:rPr>
          <w:rFonts w:cs="Arial"/>
          <w:b w:val="0"/>
        </w:rPr>
        <w:t>ε</w:t>
      </w:r>
      <w:r w:rsidRPr="00157118">
        <w:rPr>
          <w:b w:val="0"/>
        </w:rPr>
        <w:t>, CD5, CD8, CD19, Ly6G)</w:t>
      </w:r>
      <w:r w:rsidRPr="00157118">
        <w:rPr>
          <w:b w:val="0"/>
          <w:vertAlign w:val="superscript"/>
        </w:rPr>
        <w:t>-</w:t>
      </w:r>
      <w:r w:rsidRPr="00157118">
        <w:rPr>
          <w:b w:val="0"/>
        </w:rPr>
        <w:t>NKp46</w:t>
      </w:r>
      <w:r w:rsidRPr="00157118">
        <w:rPr>
          <w:b w:val="0"/>
          <w:vertAlign w:val="superscript"/>
        </w:rPr>
        <w:t>+</w:t>
      </w:r>
      <w:r w:rsidRPr="00157118">
        <w:rPr>
          <w:b w:val="0"/>
        </w:rPr>
        <w:t>NK1.1</w:t>
      </w:r>
      <w:r w:rsidRPr="00157118">
        <w:rPr>
          <w:b w:val="0"/>
          <w:vertAlign w:val="superscript"/>
        </w:rPr>
        <w:t>+</w:t>
      </w:r>
      <w:r w:rsidRPr="00157118">
        <w:rPr>
          <w:b w:val="0"/>
        </w:rPr>
        <w:t xml:space="preserve"> cells to identify Eomes</w:t>
      </w:r>
      <w:r w:rsidRPr="00157118">
        <w:rPr>
          <w:b w:val="0"/>
          <w:vertAlign w:val="superscript"/>
        </w:rPr>
        <w:t>+</w:t>
      </w:r>
      <w:r w:rsidRPr="00157118">
        <w:rPr>
          <w:b w:val="0"/>
        </w:rPr>
        <w:t>CD49a</w:t>
      </w:r>
      <w:r w:rsidRPr="00157118">
        <w:rPr>
          <w:b w:val="0"/>
          <w:vertAlign w:val="superscript"/>
        </w:rPr>
        <w:t>-</w:t>
      </w:r>
      <w:r w:rsidRPr="00157118">
        <w:rPr>
          <w:b w:val="0"/>
        </w:rPr>
        <w:t xml:space="preserve"> conventional NK (cNK) cells, Eomes</w:t>
      </w:r>
      <w:r w:rsidRPr="00157118">
        <w:rPr>
          <w:b w:val="0"/>
          <w:vertAlign w:val="superscript"/>
        </w:rPr>
        <w:t>+</w:t>
      </w:r>
      <w:r w:rsidRPr="00157118">
        <w:rPr>
          <w:b w:val="0"/>
        </w:rPr>
        <w:t>CD49a</w:t>
      </w:r>
      <w:r w:rsidRPr="00157118">
        <w:rPr>
          <w:b w:val="0"/>
          <w:vertAlign w:val="superscript"/>
        </w:rPr>
        <w:t>+</w:t>
      </w:r>
      <w:r w:rsidRPr="00157118">
        <w:rPr>
          <w:b w:val="0"/>
        </w:rPr>
        <w:t xml:space="preserve"> tissue-resident NK (trNK) cells, and Eomes</w:t>
      </w:r>
      <w:r w:rsidRPr="00157118">
        <w:rPr>
          <w:b w:val="0"/>
          <w:vertAlign w:val="superscript"/>
        </w:rPr>
        <w:t>-</w:t>
      </w:r>
      <w:r w:rsidRPr="00157118">
        <w:rPr>
          <w:b w:val="0"/>
        </w:rPr>
        <w:t>CD49a</w:t>
      </w:r>
      <w:r w:rsidRPr="00157118">
        <w:rPr>
          <w:b w:val="0"/>
          <w:vertAlign w:val="superscript"/>
        </w:rPr>
        <w:t>+</w:t>
      </w:r>
      <w:r w:rsidRPr="00157118">
        <w:rPr>
          <w:b w:val="0"/>
        </w:rPr>
        <w:t xml:space="preserve"> ILC1s. </w:t>
      </w:r>
      <w:r w:rsidRPr="00157118">
        <w:rPr>
          <w:b w:val="0"/>
          <w:szCs w:val="20"/>
        </w:rPr>
        <w:t>Individual values and mean are plotted.</w:t>
      </w:r>
    </w:p>
    <w:p w14:paraId="6AF0A37D" w14:textId="77777777" w:rsidR="00F07010" w:rsidRPr="00157118" w:rsidRDefault="00F07010" w:rsidP="00F07010">
      <w:pPr>
        <w:pStyle w:val="Caption"/>
      </w:pPr>
      <w:r w:rsidRPr="00157118">
        <w:t>Table S</w:t>
      </w:r>
      <w:r w:rsidRPr="00157118">
        <w:rPr>
          <w:noProof/>
        </w:rPr>
        <w:t>1</w:t>
      </w:r>
      <w:r w:rsidRPr="00157118">
        <w:t>: Categorical evaluation of the disease symptoms to calculate the disease score.</w:t>
      </w:r>
      <w:r w:rsidRPr="00157118">
        <w:rPr>
          <w:b w:val="0"/>
        </w:rPr>
        <w:t xml:space="preserve"> The disease score is the sum of the maximum points from all four categories.</w:t>
      </w:r>
    </w:p>
    <w:tbl>
      <w:tblPr>
        <w:tblStyle w:val="TableGrid"/>
        <w:tblW w:w="9067" w:type="dxa"/>
        <w:tblLook w:val="04A0" w:firstRow="1" w:lastRow="0" w:firstColumn="1" w:lastColumn="0" w:noHBand="0" w:noVBand="1"/>
      </w:tblPr>
      <w:tblGrid>
        <w:gridCol w:w="421"/>
        <w:gridCol w:w="7796"/>
        <w:gridCol w:w="850"/>
      </w:tblGrid>
      <w:tr w:rsidR="00F07010" w:rsidRPr="00157118" w14:paraId="701ACCC7" w14:textId="77777777" w:rsidTr="00862933">
        <w:tc>
          <w:tcPr>
            <w:tcW w:w="8217" w:type="dxa"/>
            <w:gridSpan w:val="2"/>
            <w:shd w:val="clear" w:color="auto" w:fill="D9D9D9" w:themeFill="background1" w:themeFillShade="D9"/>
          </w:tcPr>
          <w:p w14:paraId="2CBCE7E6" w14:textId="77777777" w:rsidR="00F07010" w:rsidRPr="00157118" w:rsidRDefault="00F07010" w:rsidP="00862933">
            <w:r w:rsidRPr="00157118">
              <w:t>Symptom</w:t>
            </w:r>
          </w:p>
        </w:tc>
        <w:tc>
          <w:tcPr>
            <w:tcW w:w="850" w:type="dxa"/>
            <w:shd w:val="clear" w:color="auto" w:fill="D9D9D9" w:themeFill="background1" w:themeFillShade="D9"/>
          </w:tcPr>
          <w:p w14:paraId="66193533" w14:textId="77777777" w:rsidR="00F07010" w:rsidRPr="00157118" w:rsidRDefault="00F07010" w:rsidP="00862933">
            <w:r w:rsidRPr="00157118">
              <w:t>Score</w:t>
            </w:r>
          </w:p>
        </w:tc>
      </w:tr>
      <w:tr w:rsidR="00F07010" w:rsidRPr="00157118" w14:paraId="5D0D5C9A" w14:textId="77777777" w:rsidTr="00862933">
        <w:tc>
          <w:tcPr>
            <w:tcW w:w="8217" w:type="dxa"/>
            <w:gridSpan w:val="2"/>
          </w:tcPr>
          <w:p w14:paraId="4F2ED3AC" w14:textId="77777777" w:rsidR="00F07010" w:rsidRPr="00157118" w:rsidRDefault="00F07010" w:rsidP="00862933">
            <w:r w:rsidRPr="00157118">
              <w:t>Body weight</w:t>
            </w:r>
          </w:p>
        </w:tc>
        <w:tc>
          <w:tcPr>
            <w:tcW w:w="850" w:type="dxa"/>
          </w:tcPr>
          <w:p w14:paraId="527B3E2E" w14:textId="77777777" w:rsidR="00F07010" w:rsidRPr="00157118" w:rsidRDefault="00F07010" w:rsidP="00862933"/>
        </w:tc>
      </w:tr>
      <w:tr w:rsidR="00F07010" w:rsidRPr="00157118" w14:paraId="4E8C0E42" w14:textId="77777777" w:rsidTr="00862933">
        <w:tc>
          <w:tcPr>
            <w:tcW w:w="421" w:type="dxa"/>
          </w:tcPr>
          <w:p w14:paraId="64A65D61" w14:textId="77777777" w:rsidR="00F07010" w:rsidRPr="00157118" w:rsidRDefault="00F07010" w:rsidP="00862933"/>
        </w:tc>
        <w:tc>
          <w:tcPr>
            <w:tcW w:w="7796" w:type="dxa"/>
          </w:tcPr>
          <w:p w14:paraId="5D593F7B" w14:textId="77777777" w:rsidR="00F07010" w:rsidRPr="00157118" w:rsidRDefault="00F07010" w:rsidP="00862933">
            <w:r w:rsidRPr="00157118">
              <w:t>&lt;5% Reduction</w:t>
            </w:r>
          </w:p>
        </w:tc>
        <w:tc>
          <w:tcPr>
            <w:tcW w:w="850" w:type="dxa"/>
          </w:tcPr>
          <w:p w14:paraId="43E54B71" w14:textId="77777777" w:rsidR="00F07010" w:rsidRPr="00157118" w:rsidRDefault="00F07010" w:rsidP="00862933">
            <w:r w:rsidRPr="00157118">
              <w:t>3</w:t>
            </w:r>
          </w:p>
        </w:tc>
      </w:tr>
      <w:tr w:rsidR="00F07010" w:rsidRPr="00157118" w14:paraId="19C0BDF2" w14:textId="77777777" w:rsidTr="00862933">
        <w:tc>
          <w:tcPr>
            <w:tcW w:w="421" w:type="dxa"/>
          </w:tcPr>
          <w:p w14:paraId="6E0BDC81" w14:textId="77777777" w:rsidR="00F07010" w:rsidRPr="00157118" w:rsidRDefault="00F07010" w:rsidP="00862933"/>
        </w:tc>
        <w:tc>
          <w:tcPr>
            <w:tcW w:w="7796" w:type="dxa"/>
          </w:tcPr>
          <w:p w14:paraId="58173B98" w14:textId="77777777" w:rsidR="00F07010" w:rsidRPr="00157118" w:rsidRDefault="00F07010" w:rsidP="00862933">
            <w:r w:rsidRPr="00157118">
              <w:t>5-10% Reduction</w:t>
            </w:r>
          </w:p>
        </w:tc>
        <w:tc>
          <w:tcPr>
            <w:tcW w:w="850" w:type="dxa"/>
          </w:tcPr>
          <w:p w14:paraId="0E562471" w14:textId="77777777" w:rsidR="00F07010" w:rsidRPr="00157118" w:rsidRDefault="00F07010" w:rsidP="00862933">
            <w:r w:rsidRPr="00157118">
              <w:t>5</w:t>
            </w:r>
          </w:p>
        </w:tc>
      </w:tr>
      <w:tr w:rsidR="00F07010" w:rsidRPr="00157118" w14:paraId="7CACED71" w14:textId="77777777" w:rsidTr="00862933">
        <w:tc>
          <w:tcPr>
            <w:tcW w:w="421" w:type="dxa"/>
          </w:tcPr>
          <w:p w14:paraId="1243BDEA" w14:textId="77777777" w:rsidR="00F07010" w:rsidRPr="00157118" w:rsidRDefault="00F07010" w:rsidP="00862933"/>
        </w:tc>
        <w:tc>
          <w:tcPr>
            <w:tcW w:w="7796" w:type="dxa"/>
          </w:tcPr>
          <w:p w14:paraId="4BD97B0C" w14:textId="77777777" w:rsidR="00F07010" w:rsidRPr="00157118" w:rsidRDefault="00F07010" w:rsidP="00862933">
            <w:r w:rsidRPr="00157118">
              <w:t>11-14% Reduction</w:t>
            </w:r>
          </w:p>
        </w:tc>
        <w:tc>
          <w:tcPr>
            <w:tcW w:w="850" w:type="dxa"/>
          </w:tcPr>
          <w:p w14:paraId="7152484F" w14:textId="77777777" w:rsidR="00F07010" w:rsidRPr="00157118" w:rsidRDefault="00F07010" w:rsidP="00862933">
            <w:r w:rsidRPr="00157118">
              <w:t>10</w:t>
            </w:r>
          </w:p>
        </w:tc>
      </w:tr>
      <w:tr w:rsidR="00F07010" w:rsidRPr="00157118" w14:paraId="68FA5F9B" w14:textId="77777777" w:rsidTr="00862933">
        <w:tc>
          <w:tcPr>
            <w:tcW w:w="421" w:type="dxa"/>
          </w:tcPr>
          <w:p w14:paraId="111DF3E0" w14:textId="77777777" w:rsidR="00F07010" w:rsidRPr="00157118" w:rsidRDefault="00F07010" w:rsidP="00862933"/>
        </w:tc>
        <w:tc>
          <w:tcPr>
            <w:tcW w:w="7796" w:type="dxa"/>
          </w:tcPr>
          <w:p w14:paraId="45219A89" w14:textId="77777777" w:rsidR="00F07010" w:rsidRPr="00157118" w:rsidRDefault="00F07010" w:rsidP="00862933">
            <w:r w:rsidRPr="00157118">
              <w:t>11-19% Reduction</w:t>
            </w:r>
          </w:p>
        </w:tc>
        <w:tc>
          <w:tcPr>
            <w:tcW w:w="850" w:type="dxa"/>
          </w:tcPr>
          <w:p w14:paraId="35326285" w14:textId="77777777" w:rsidR="00F07010" w:rsidRPr="00157118" w:rsidRDefault="00F07010" w:rsidP="00862933">
            <w:r w:rsidRPr="00157118">
              <w:t>15</w:t>
            </w:r>
          </w:p>
        </w:tc>
      </w:tr>
      <w:tr w:rsidR="00F07010" w:rsidRPr="00157118" w14:paraId="49DFEEF5" w14:textId="77777777" w:rsidTr="00862933">
        <w:tc>
          <w:tcPr>
            <w:tcW w:w="421" w:type="dxa"/>
          </w:tcPr>
          <w:p w14:paraId="6832AE99" w14:textId="77777777" w:rsidR="00F07010" w:rsidRPr="00157118" w:rsidRDefault="00F07010" w:rsidP="00862933"/>
        </w:tc>
        <w:tc>
          <w:tcPr>
            <w:tcW w:w="7796" w:type="dxa"/>
          </w:tcPr>
          <w:p w14:paraId="7B6115FF" w14:textId="77777777" w:rsidR="00F07010" w:rsidRPr="00157118" w:rsidRDefault="00F07010" w:rsidP="00862933">
            <w:r w:rsidRPr="00157118">
              <w:t>&gt;20% Reduction</w:t>
            </w:r>
          </w:p>
        </w:tc>
        <w:tc>
          <w:tcPr>
            <w:tcW w:w="850" w:type="dxa"/>
          </w:tcPr>
          <w:p w14:paraId="5695BF7C" w14:textId="77777777" w:rsidR="00F07010" w:rsidRPr="00157118" w:rsidRDefault="00F07010" w:rsidP="00862933">
            <w:r w:rsidRPr="00157118">
              <w:t>20</w:t>
            </w:r>
          </w:p>
        </w:tc>
      </w:tr>
      <w:tr w:rsidR="00F07010" w:rsidRPr="00157118" w14:paraId="45483BB5" w14:textId="77777777" w:rsidTr="00862933">
        <w:tc>
          <w:tcPr>
            <w:tcW w:w="8217" w:type="dxa"/>
            <w:gridSpan w:val="2"/>
          </w:tcPr>
          <w:p w14:paraId="2EDF10F6" w14:textId="77777777" w:rsidR="00F07010" w:rsidRPr="00157118" w:rsidRDefault="00F07010" w:rsidP="00862933">
            <w:r w:rsidRPr="00157118">
              <w:t>General state of health</w:t>
            </w:r>
          </w:p>
        </w:tc>
        <w:tc>
          <w:tcPr>
            <w:tcW w:w="850" w:type="dxa"/>
          </w:tcPr>
          <w:p w14:paraId="3E9A6CAF" w14:textId="77777777" w:rsidR="00F07010" w:rsidRPr="00157118" w:rsidRDefault="00F07010" w:rsidP="00862933"/>
        </w:tc>
      </w:tr>
      <w:tr w:rsidR="00F07010" w:rsidRPr="00157118" w14:paraId="0B5947F0" w14:textId="77777777" w:rsidTr="00862933">
        <w:tc>
          <w:tcPr>
            <w:tcW w:w="421" w:type="dxa"/>
          </w:tcPr>
          <w:p w14:paraId="7F276930" w14:textId="77777777" w:rsidR="00F07010" w:rsidRPr="00157118" w:rsidRDefault="00F07010" w:rsidP="00862933"/>
        </w:tc>
        <w:tc>
          <w:tcPr>
            <w:tcW w:w="7796" w:type="dxa"/>
          </w:tcPr>
          <w:p w14:paraId="25FB5FDC" w14:textId="77777777" w:rsidR="00F07010" w:rsidRPr="00157118" w:rsidRDefault="00F07010" w:rsidP="00862933">
            <w:r w:rsidRPr="00157118">
              <w:t>Fur defects (reduced or excessive grooming)</w:t>
            </w:r>
          </w:p>
        </w:tc>
        <w:tc>
          <w:tcPr>
            <w:tcW w:w="850" w:type="dxa"/>
          </w:tcPr>
          <w:p w14:paraId="3799337E" w14:textId="77777777" w:rsidR="00F07010" w:rsidRPr="00157118" w:rsidRDefault="00F07010" w:rsidP="00862933">
            <w:r w:rsidRPr="00157118">
              <w:t>3</w:t>
            </w:r>
          </w:p>
        </w:tc>
      </w:tr>
      <w:tr w:rsidR="00F07010" w:rsidRPr="00157118" w14:paraId="7EBC9725" w14:textId="77777777" w:rsidTr="00862933">
        <w:tc>
          <w:tcPr>
            <w:tcW w:w="421" w:type="dxa"/>
          </w:tcPr>
          <w:p w14:paraId="7B296986" w14:textId="77777777" w:rsidR="00F07010" w:rsidRPr="00157118" w:rsidRDefault="00F07010" w:rsidP="00862933"/>
        </w:tc>
        <w:tc>
          <w:tcPr>
            <w:tcW w:w="7796" w:type="dxa"/>
          </w:tcPr>
          <w:p w14:paraId="7EC22160" w14:textId="77777777" w:rsidR="00F07010" w:rsidRPr="00157118" w:rsidRDefault="00F07010" w:rsidP="00862933">
            <w:r w:rsidRPr="00157118">
              <w:t>Unkept or dull fur, neglected orifices, bleared eyes, increased muscle tone</w:t>
            </w:r>
          </w:p>
        </w:tc>
        <w:tc>
          <w:tcPr>
            <w:tcW w:w="850" w:type="dxa"/>
          </w:tcPr>
          <w:p w14:paraId="78876F0F" w14:textId="77777777" w:rsidR="00F07010" w:rsidRPr="00157118" w:rsidRDefault="00F07010" w:rsidP="00862933">
            <w:r w:rsidRPr="00157118">
              <w:t>5</w:t>
            </w:r>
          </w:p>
        </w:tc>
      </w:tr>
      <w:tr w:rsidR="00F07010" w:rsidRPr="00157118" w14:paraId="46EE6E45" w14:textId="77777777" w:rsidTr="00862933">
        <w:tc>
          <w:tcPr>
            <w:tcW w:w="421" w:type="dxa"/>
          </w:tcPr>
          <w:p w14:paraId="23FF5AA8" w14:textId="77777777" w:rsidR="00F07010" w:rsidRPr="00157118" w:rsidRDefault="00F07010" w:rsidP="00862933"/>
        </w:tc>
        <w:tc>
          <w:tcPr>
            <w:tcW w:w="7796" w:type="dxa"/>
          </w:tcPr>
          <w:p w14:paraId="1645AE62" w14:textId="77777777" w:rsidR="00F07010" w:rsidRPr="00157118" w:rsidRDefault="00F07010" w:rsidP="00862933">
            <w:r w:rsidRPr="00157118">
              <w:t>Dirty fur, clotted or secreting orifices, abnormal posture, cloudy eyes, high muscle tone</w:t>
            </w:r>
          </w:p>
        </w:tc>
        <w:tc>
          <w:tcPr>
            <w:tcW w:w="850" w:type="dxa"/>
          </w:tcPr>
          <w:p w14:paraId="0A3FA6CB" w14:textId="77777777" w:rsidR="00F07010" w:rsidRPr="00157118" w:rsidRDefault="00F07010" w:rsidP="00862933">
            <w:r w:rsidRPr="00157118">
              <w:t>10</w:t>
            </w:r>
          </w:p>
        </w:tc>
      </w:tr>
      <w:tr w:rsidR="00F07010" w:rsidRPr="00157118" w14:paraId="6F593065" w14:textId="77777777" w:rsidTr="00862933">
        <w:tc>
          <w:tcPr>
            <w:tcW w:w="421" w:type="dxa"/>
          </w:tcPr>
          <w:p w14:paraId="44093392" w14:textId="77777777" w:rsidR="00F07010" w:rsidRPr="00157118" w:rsidRDefault="00F07010" w:rsidP="00862933"/>
        </w:tc>
        <w:tc>
          <w:tcPr>
            <w:tcW w:w="7796" w:type="dxa"/>
          </w:tcPr>
          <w:p w14:paraId="300C2E19" w14:textId="77777777" w:rsidR="00F07010" w:rsidRPr="00157118" w:rsidRDefault="00F07010" w:rsidP="00862933">
            <w:r w:rsidRPr="00157118">
              <w:t>Cramps, paralysis (trunk muscles, extremities), "cat hump", breathing noises, animal feels cold</w:t>
            </w:r>
          </w:p>
        </w:tc>
        <w:tc>
          <w:tcPr>
            <w:tcW w:w="850" w:type="dxa"/>
          </w:tcPr>
          <w:p w14:paraId="5E51488D" w14:textId="77777777" w:rsidR="00F07010" w:rsidRPr="00157118" w:rsidRDefault="00F07010" w:rsidP="00862933">
            <w:r w:rsidRPr="00157118">
              <w:t>20</w:t>
            </w:r>
          </w:p>
        </w:tc>
      </w:tr>
      <w:tr w:rsidR="00F07010" w:rsidRPr="00157118" w14:paraId="178F2F02" w14:textId="77777777" w:rsidTr="00862933">
        <w:tc>
          <w:tcPr>
            <w:tcW w:w="8217" w:type="dxa"/>
            <w:gridSpan w:val="2"/>
          </w:tcPr>
          <w:p w14:paraId="4BA29777" w14:textId="77777777" w:rsidR="00F07010" w:rsidRPr="00157118" w:rsidRDefault="00F07010" w:rsidP="00862933">
            <w:r w:rsidRPr="00157118">
              <w:t>Spontaneous behavior</w:t>
            </w:r>
          </w:p>
        </w:tc>
        <w:tc>
          <w:tcPr>
            <w:tcW w:w="850" w:type="dxa"/>
          </w:tcPr>
          <w:p w14:paraId="379984FA" w14:textId="77777777" w:rsidR="00F07010" w:rsidRPr="00157118" w:rsidRDefault="00F07010" w:rsidP="00862933"/>
        </w:tc>
      </w:tr>
      <w:tr w:rsidR="00F07010" w:rsidRPr="00157118" w14:paraId="46F83A08" w14:textId="77777777" w:rsidTr="00862933">
        <w:tc>
          <w:tcPr>
            <w:tcW w:w="421" w:type="dxa"/>
          </w:tcPr>
          <w:p w14:paraId="6B0B1E70" w14:textId="77777777" w:rsidR="00F07010" w:rsidRPr="00157118" w:rsidRDefault="00F07010" w:rsidP="00862933"/>
        </w:tc>
        <w:tc>
          <w:tcPr>
            <w:tcW w:w="7796" w:type="dxa"/>
          </w:tcPr>
          <w:p w14:paraId="249BB02A" w14:textId="77777777" w:rsidR="00F07010" w:rsidRPr="00157118" w:rsidRDefault="00F07010" w:rsidP="00862933">
            <w:r w:rsidRPr="00157118">
              <w:t>Minor deviations from normal behavior</w:t>
            </w:r>
          </w:p>
        </w:tc>
        <w:tc>
          <w:tcPr>
            <w:tcW w:w="850" w:type="dxa"/>
          </w:tcPr>
          <w:p w14:paraId="03C2104E" w14:textId="77777777" w:rsidR="00F07010" w:rsidRPr="00157118" w:rsidRDefault="00F07010" w:rsidP="00862933">
            <w:r w:rsidRPr="00157118">
              <w:t>1</w:t>
            </w:r>
          </w:p>
        </w:tc>
      </w:tr>
      <w:tr w:rsidR="00F07010" w:rsidRPr="00157118" w14:paraId="75F51F22" w14:textId="77777777" w:rsidTr="00862933">
        <w:tc>
          <w:tcPr>
            <w:tcW w:w="421" w:type="dxa"/>
          </w:tcPr>
          <w:p w14:paraId="3BD71980" w14:textId="77777777" w:rsidR="00F07010" w:rsidRPr="00157118" w:rsidRDefault="00F07010" w:rsidP="00862933"/>
        </w:tc>
        <w:tc>
          <w:tcPr>
            <w:tcW w:w="7796" w:type="dxa"/>
          </w:tcPr>
          <w:p w14:paraId="45FA201D" w14:textId="77777777" w:rsidR="00F07010" w:rsidRPr="00157118" w:rsidRDefault="00F07010" w:rsidP="00862933">
            <w:r w:rsidRPr="00157118">
              <w:t>Unusual behavior, including abnormally limited motor activity or hyperkinetics</w:t>
            </w:r>
          </w:p>
        </w:tc>
        <w:tc>
          <w:tcPr>
            <w:tcW w:w="850" w:type="dxa"/>
          </w:tcPr>
          <w:p w14:paraId="27AEBF7E" w14:textId="77777777" w:rsidR="00F07010" w:rsidRPr="00157118" w:rsidRDefault="00F07010" w:rsidP="00862933">
            <w:r w:rsidRPr="00157118">
              <w:t>5</w:t>
            </w:r>
          </w:p>
        </w:tc>
      </w:tr>
      <w:tr w:rsidR="00F07010" w:rsidRPr="00157118" w14:paraId="038FC55A" w14:textId="77777777" w:rsidTr="00862933">
        <w:tc>
          <w:tcPr>
            <w:tcW w:w="421" w:type="dxa"/>
          </w:tcPr>
          <w:p w14:paraId="57B85DCD" w14:textId="77777777" w:rsidR="00F07010" w:rsidRPr="00157118" w:rsidRDefault="00F07010" w:rsidP="00862933"/>
        </w:tc>
        <w:tc>
          <w:tcPr>
            <w:tcW w:w="7796" w:type="dxa"/>
          </w:tcPr>
          <w:p w14:paraId="56F36474" w14:textId="77777777" w:rsidR="00F07010" w:rsidRPr="00157118" w:rsidRDefault="00F07010" w:rsidP="00862933">
            <w:r w:rsidRPr="00157118">
              <w:t>Self-isolation, lethargy; pronounced hyperkinetics or behavioural stereotypes; coordination disorders; pain reaction when touched</w:t>
            </w:r>
          </w:p>
        </w:tc>
        <w:tc>
          <w:tcPr>
            <w:tcW w:w="850" w:type="dxa"/>
          </w:tcPr>
          <w:p w14:paraId="52618DF5" w14:textId="77777777" w:rsidR="00F07010" w:rsidRPr="00157118" w:rsidRDefault="00F07010" w:rsidP="00862933">
            <w:r w:rsidRPr="00157118">
              <w:t>10</w:t>
            </w:r>
          </w:p>
        </w:tc>
      </w:tr>
      <w:tr w:rsidR="00F07010" w:rsidRPr="00157118" w14:paraId="3C3B85E7" w14:textId="77777777" w:rsidTr="00862933">
        <w:tc>
          <w:tcPr>
            <w:tcW w:w="421" w:type="dxa"/>
          </w:tcPr>
          <w:p w14:paraId="3D92BCE7" w14:textId="77777777" w:rsidR="00F07010" w:rsidRPr="00157118" w:rsidRDefault="00F07010" w:rsidP="00862933"/>
        </w:tc>
        <w:tc>
          <w:tcPr>
            <w:tcW w:w="7796" w:type="dxa"/>
          </w:tcPr>
          <w:p w14:paraId="4165AE07" w14:textId="77777777" w:rsidR="00F07010" w:rsidRPr="00157118" w:rsidRDefault="00F07010" w:rsidP="00862933">
            <w:r w:rsidRPr="00157118">
              <w:t>Pain reaction with defensive reactions when touched, repeated pain sounds during grasping/touching; self-amputation (autoaggression, autotomy)</w:t>
            </w:r>
          </w:p>
        </w:tc>
        <w:tc>
          <w:tcPr>
            <w:tcW w:w="850" w:type="dxa"/>
          </w:tcPr>
          <w:p w14:paraId="74D220A6" w14:textId="77777777" w:rsidR="00F07010" w:rsidRPr="00157118" w:rsidRDefault="00F07010" w:rsidP="00862933">
            <w:r w:rsidRPr="00157118">
              <w:t>20</w:t>
            </w:r>
          </w:p>
        </w:tc>
      </w:tr>
      <w:tr w:rsidR="00F07010" w:rsidRPr="00157118" w14:paraId="5E9F46A1" w14:textId="77777777" w:rsidTr="00862933">
        <w:tc>
          <w:tcPr>
            <w:tcW w:w="8217" w:type="dxa"/>
            <w:gridSpan w:val="2"/>
          </w:tcPr>
          <w:p w14:paraId="528CC3A9" w14:textId="77777777" w:rsidR="00F07010" w:rsidRPr="00157118" w:rsidRDefault="00F07010" w:rsidP="00862933">
            <w:r w:rsidRPr="00157118">
              <w:t>Clinical observations</w:t>
            </w:r>
          </w:p>
        </w:tc>
        <w:tc>
          <w:tcPr>
            <w:tcW w:w="850" w:type="dxa"/>
          </w:tcPr>
          <w:p w14:paraId="7D3B14F0" w14:textId="77777777" w:rsidR="00F07010" w:rsidRPr="00157118" w:rsidRDefault="00F07010" w:rsidP="00862933"/>
        </w:tc>
      </w:tr>
      <w:tr w:rsidR="00F07010" w:rsidRPr="00157118" w14:paraId="554388E4" w14:textId="77777777" w:rsidTr="00862933">
        <w:tc>
          <w:tcPr>
            <w:tcW w:w="421" w:type="dxa"/>
          </w:tcPr>
          <w:p w14:paraId="1F6569AE" w14:textId="77777777" w:rsidR="00F07010" w:rsidRPr="00157118" w:rsidRDefault="00F07010" w:rsidP="00862933"/>
        </w:tc>
        <w:tc>
          <w:tcPr>
            <w:tcW w:w="7796" w:type="dxa"/>
          </w:tcPr>
          <w:p w14:paraId="1093EDDD" w14:textId="77777777" w:rsidR="00F07010" w:rsidRPr="00157118" w:rsidRDefault="00F07010" w:rsidP="00862933">
            <w:r w:rsidRPr="00157118">
              <w:t>Minor deviations from the normal situation</w:t>
            </w:r>
          </w:p>
        </w:tc>
        <w:tc>
          <w:tcPr>
            <w:tcW w:w="850" w:type="dxa"/>
          </w:tcPr>
          <w:p w14:paraId="1618ECDD" w14:textId="77777777" w:rsidR="00F07010" w:rsidRPr="00157118" w:rsidRDefault="00F07010" w:rsidP="00862933">
            <w:r w:rsidRPr="00157118">
              <w:t>1</w:t>
            </w:r>
          </w:p>
        </w:tc>
      </w:tr>
      <w:tr w:rsidR="00F07010" w:rsidRPr="00157118" w14:paraId="1D8DD0EA" w14:textId="77777777" w:rsidTr="00862933">
        <w:tc>
          <w:tcPr>
            <w:tcW w:w="421" w:type="dxa"/>
          </w:tcPr>
          <w:p w14:paraId="1AE76BEC" w14:textId="77777777" w:rsidR="00F07010" w:rsidRPr="00157118" w:rsidRDefault="00F07010" w:rsidP="00862933"/>
        </w:tc>
        <w:tc>
          <w:tcPr>
            <w:tcW w:w="7796" w:type="dxa"/>
          </w:tcPr>
          <w:p w14:paraId="3B23EF16" w14:textId="77777777" w:rsidR="00F07010" w:rsidRPr="00157118" w:rsidRDefault="00F07010" w:rsidP="00862933">
            <w:r w:rsidRPr="00157118">
              <w:t>Changes in breathing (shallow breathing)</w:t>
            </w:r>
          </w:p>
        </w:tc>
        <w:tc>
          <w:tcPr>
            <w:tcW w:w="850" w:type="dxa"/>
          </w:tcPr>
          <w:p w14:paraId="6C97FB3A" w14:textId="77777777" w:rsidR="00F07010" w:rsidRPr="00157118" w:rsidRDefault="00F07010" w:rsidP="00862933">
            <w:r w:rsidRPr="00157118">
              <w:t>10</w:t>
            </w:r>
          </w:p>
        </w:tc>
      </w:tr>
      <w:tr w:rsidR="00F07010" w:rsidRPr="00157118" w14:paraId="49F0BB9B" w14:textId="77777777" w:rsidTr="00862933">
        <w:tc>
          <w:tcPr>
            <w:tcW w:w="421" w:type="dxa"/>
          </w:tcPr>
          <w:p w14:paraId="649469C3" w14:textId="77777777" w:rsidR="00F07010" w:rsidRPr="00157118" w:rsidRDefault="00F07010" w:rsidP="00862933"/>
        </w:tc>
        <w:tc>
          <w:tcPr>
            <w:tcW w:w="7796" w:type="dxa"/>
          </w:tcPr>
          <w:p w14:paraId="2CAA45FE" w14:textId="77777777" w:rsidR="00F07010" w:rsidRPr="00157118" w:rsidRDefault="00F07010" w:rsidP="00862933">
            <w:r w:rsidRPr="00157118">
              <w:t>Severe changes in breathing (gasping, etc.)</w:t>
            </w:r>
          </w:p>
        </w:tc>
        <w:tc>
          <w:tcPr>
            <w:tcW w:w="850" w:type="dxa"/>
          </w:tcPr>
          <w:p w14:paraId="1B4BE72F" w14:textId="77777777" w:rsidR="00F07010" w:rsidRPr="00157118" w:rsidRDefault="00F07010" w:rsidP="00862933">
            <w:r w:rsidRPr="00157118">
              <w:t>20</w:t>
            </w:r>
          </w:p>
        </w:tc>
      </w:tr>
    </w:tbl>
    <w:p w14:paraId="335A18BA" w14:textId="77777777" w:rsidR="00F07010" w:rsidRPr="00157118" w:rsidRDefault="00F07010" w:rsidP="00F07010">
      <w:pPr>
        <w:pStyle w:val="Caption"/>
      </w:pPr>
      <w:r w:rsidRPr="00157118">
        <w:t>Table S</w:t>
      </w:r>
      <w:r w:rsidRPr="00157118">
        <w:rPr>
          <w:noProof/>
        </w:rPr>
        <w:t>2</w:t>
      </w:r>
      <w:r w:rsidRPr="00157118">
        <w:t>: TaqMan probes used for gene expression analysis.</w:t>
      </w:r>
    </w:p>
    <w:tbl>
      <w:tblPr>
        <w:tblStyle w:val="TableGrid"/>
        <w:tblW w:w="0" w:type="auto"/>
        <w:tblLook w:val="04A0" w:firstRow="1" w:lastRow="0" w:firstColumn="1" w:lastColumn="0" w:noHBand="0" w:noVBand="1"/>
      </w:tblPr>
      <w:tblGrid>
        <w:gridCol w:w="4530"/>
        <w:gridCol w:w="4530"/>
      </w:tblGrid>
      <w:tr w:rsidR="00F07010" w:rsidRPr="00157118" w14:paraId="3F9135BD" w14:textId="77777777" w:rsidTr="00862933">
        <w:tc>
          <w:tcPr>
            <w:tcW w:w="4530" w:type="dxa"/>
            <w:shd w:val="clear" w:color="auto" w:fill="D9D9D9" w:themeFill="background1" w:themeFillShade="D9"/>
          </w:tcPr>
          <w:p w14:paraId="2273753C" w14:textId="77777777" w:rsidR="00F07010" w:rsidRPr="00157118" w:rsidRDefault="00F07010" w:rsidP="00862933">
            <w:r w:rsidRPr="00157118">
              <w:t>Gene</w:t>
            </w:r>
          </w:p>
        </w:tc>
        <w:tc>
          <w:tcPr>
            <w:tcW w:w="4530" w:type="dxa"/>
            <w:shd w:val="clear" w:color="auto" w:fill="D9D9D9" w:themeFill="background1" w:themeFillShade="D9"/>
          </w:tcPr>
          <w:p w14:paraId="42653439" w14:textId="77777777" w:rsidR="00F07010" w:rsidRPr="00157118" w:rsidRDefault="00F07010" w:rsidP="00862933">
            <w:r w:rsidRPr="00157118">
              <w:t>Assay ID</w:t>
            </w:r>
          </w:p>
        </w:tc>
      </w:tr>
      <w:tr w:rsidR="00F07010" w:rsidRPr="00157118" w14:paraId="34426371" w14:textId="77777777" w:rsidTr="00862933">
        <w:tc>
          <w:tcPr>
            <w:tcW w:w="4530" w:type="dxa"/>
          </w:tcPr>
          <w:p w14:paraId="40C774FE" w14:textId="77777777" w:rsidR="00F07010" w:rsidRPr="00157118" w:rsidRDefault="00F07010" w:rsidP="00862933">
            <w:pPr>
              <w:rPr>
                <w:i/>
                <w:sz w:val="16"/>
              </w:rPr>
            </w:pPr>
            <w:r w:rsidRPr="00157118">
              <w:rPr>
                <w:i/>
                <w:sz w:val="16"/>
              </w:rPr>
              <w:t>Hprt</w:t>
            </w:r>
          </w:p>
        </w:tc>
        <w:tc>
          <w:tcPr>
            <w:tcW w:w="4530" w:type="dxa"/>
          </w:tcPr>
          <w:p w14:paraId="3EE00C3D" w14:textId="77777777" w:rsidR="00F07010" w:rsidRPr="00157118" w:rsidRDefault="00F07010" w:rsidP="00862933">
            <w:pPr>
              <w:rPr>
                <w:sz w:val="16"/>
              </w:rPr>
            </w:pPr>
            <w:r w:rsidRPr="00157118">
              <w:rPr>
                <w:sz w:val="16"/>
              </w:rPr>
              <w:t>Mm01545399_m1</w:t>
            </w:r>
          </w:p>
        </w:tc>
      </w:tr>
      <w:tr w:rsidR="00F07010" w:rsidRPr="00157118" w14:paraId="7F587738" w14:textId="77777777" w:rsidTr="00862933">
        <w:tc>
          <w:tcPr>
            <w:tcW w:w="4530" w:type="dxa"/>
          </w:tcPr>
          <w:p w14:paraId="71EDB360" w14:textId="77777777" w:rsidR="00F07010" w:rsidRPr="00157118" w:rsidRDefault="00F07010" w:rsidP="00862933">
            <w:pPr>
              <w:rPr>
                <w:i/>
                <w:sz w:val="16"/>
              </w:rPr>
            </w:pPr>
            <w:r w:rsidRPr="00157118">
              <w:rPr>
                <w:i/>
                <w:sz w:val="16"/>
              </w:rPr>
              <w:t>Ifng</w:t>
            </w:r>
          </w:p>
        </w:tc>
        <w:tc>
          <w:tcPr>
            <w:tcW w:w="4530" w:type="dxa"/>
          </w:tcPr>
          <w:p w14:paraId="47075519" w14:textId="77777777" w:rsidR="00F07010" w:rsidRPr="00157118" w:rsidRDefault="00F07010" w:rsidP="00862933">
            <w:pPr>
              <w:rPr>
                <w:sz w:val="16"/>
              </w:rPr>
            </w:pPr>
            <w:r w:rsidRPr="00157118">
              <w:rPr>
                <w:sz w:val="16"/>
              </w:rPr>
              <w:t>Mm00801778_m1</w:t>
            </w:r>
          </w:p>
        </w:tc>
      </w:tr>
      <w:tr w:rsidR="00F07010" w:rsidRPr="00157118" w14:paraId="08F675BB" w14:textId="77777777" w:rsidTr="00862933">
        <w:tc>
          <w:tcPr>
            <w:tcW w:w="4530" w:type="dxa"/>
          </w:tcPr>
          <w:p w14:paraId="7FE2A90F" w14:textId="77777777" w:rsidR="00F07010" w:rsidRPr="00157118" w:rsidRDefault="00F07010" w:rsidP="00862933">
            <w:pPr>
              <w:rPr>
                <w:i/>
                <w:sz w:val="16"/>
              </w:rPr>
            </w:pPr>
            <w:r w:rsidRPr="00157118">
              <w:rPr>
                <w:i/>
                <w:sz w:val="16"/>
              </w:rPr>
              <w:t>Il12a</w:t>
            </w:r>
          </w:p>
        </w:tc>
        <w:tc>
          <w:tcPr>
            <w:tcW w:w="4530" w:type="dxa"/>
          </w:tcPr>
          <w:p w14:paraId="357C9F42" w14:textId="77777777" w:rsidR="00F07010" w:rsidRPr="00157118" w:rsidRDefault="00F07010" w:rsidP="00862933">
            <w:pPr>
              <w:rPr>
                <w:sz w:val="16"/>
              </w:rPr>
            </w:pPr>
            <w:r w:rsidRPr="00157118">
              <w:rPr>
                <w:sz w:val="16"/>
              </w:rPr>
              <w:t>Mm00434169_m1</w:t>
            </w:r>
          </w:p>
        </w:tc>
      </w:tr>
      <w:tr w:rsidR="00F07010" w:rsidRPr="00157118" w14:paraId="27C5A9C0" w14:textId="77777777" w:rsidTr="00862933">
        <w:tc>
          <w:tcPr>
            <w:tcW w:w="4530" w:type="dxa"/>
          </w:tcPr>
          <w:p w14:paraId="720F36BC" w14:textId="77777777" w:rsidR="00F07010" w:rsidRPr="00157118" w:rsidRDefault="00F07010" w:rsidP="00862933">
            <w:pPr>
              <w:rPr>
                <w:i/>
                <w:sz w:val="16"/>
              </w:rPr>
            </w:pPr>
            <w:r w:rsidRPr="00157118">
              <w:rPr>
                <w:i/>
                <w:sz w:val="16"/>
              </w:rPr>
              <w:t>Il15</w:t>
            </w:r>
          </w:p>
        </w:tc>
        <w:tc>
          <w:tcPr>
            <w:tcW w:w="4530" w:type="dxa"/>
          </w:tcPr>
          <w:p w14:paraId="4CB3C627" w14:textId="77777777" w:rsidR="00F07010" w:rsidRPr="00157118" w:rsidRDefault="00F07010" w:rsidP="00862933">
            <w:pPr>
              <w:rPr>
                <w:sz w:val="16"/>
              </w:rPr>
            </w:pPr>
            <w:r w:rsidRPr="00157118">
              <w:rPr>
                <w:sz w:val="16"/>
              </w:rPr>
              <w:t>Mm00434210_m1</w:t>
            </w:r>
          </w:p>
        </w:tc>
      </w:tr>
      <w:tr w:rsidR="00F07010" w:rsidRPr="00157118" w14:paraId="2871A600" w14:textId="77777777" w:rsidTr="00862933">
        <w:tc>
          <w:tcPr>
            <w:tcW w:w="4530" w:type="dxa"/>
          </w:tcPr>
          <w:p w14:paraId="650DED96" w14:textId="77777777" w:rsidR="00F07010" w:rsidRPr="00157118" w:rsidRDefault="00F07010" w:rsidP="00862933">
            <w:pPr>
              <w:rPr>
                <w:i/>
                <w:sz w:val="16"/>
              </w:rPr>
            </w:pPr>
            <w:r w:rsidRPr="00157118">
              <w:rPr>
                <w:i/>
                <w:sz w:val="16"/>
              </w:rPr>
              <w:t>Il18</w:t>
            </w:r>
          </w:p>
        </w:tc>
        <w:tc>
          <w:tcPr>
            <w:tcW w:w="4530" w:type="dxa"/>
          </w:tcPr>
          <w:p w14:paraId="62606E3B" w14:textId="77777777" w:rsidR="00F07010" w:rsidRPr="00157118" w:rsidRDefault="00F07010" w:rsidP="00862933">
            <w:pPr>
              <w:rPr>
                <w:sz w:val="16"/>
              </w:rPr>
            </w:pPr>
            <w:r w:rsidRPr="00157118">
              <w:rPr>
                <w:sz w:val="16"/>
              </w:rPr>
              <w:t>Mm00434226_m1</w:t>
            </w:r>
          </w:p>
        </w:tc>
      </w:tr>
      <w:tr w:rsidR="00F07010" w:rsidRPr="00157118" w14:paraId="59B4DC85" w14:textId="77777777" w:rsidTr="00862933">
        <w:tc>
          <w:tcPr>
            <w:tcW w:w="4530" w:type="dxa"/>
          </w:tcPr>
          <w:p w14:paraId="2AFA1C4D" w14:textId="77777777" w:rsidR="00F07010" w:rsidRPr="00157118" w:rsidRDefault="00F07010" w:rsidP="00862933">
            <w:pPr>
              <w:rPr>
                <w:i/>
                <w:sz w:val="16"/>
              </w:rPr>
            </w:pPr>
            <w:r w:rsidRPr="00157118">
              <w:rPr>
                <w:i/>
                <w:sz w:val="16"/>
              </w:rPr>
              <w:t>Il7</w:t>
            </w:r>
          </w:p>
        </w:tc>
        <w:tc>
          <w:tcPr>
            <w:tcW w:w="4530" w:type="dxa"/>
          </w:tcPr>
          <w:p w14:paraId="581C88B1" w14:textId="77777777" w:rsidR="00F07010" w:rsidRPr="00157118" w:rsidRDefault="00F07010" w:rsidP="00862933">
            <w:pPr>
              <w:rPr>
                <w:sz w:val="16"/>
              </w:rPr>
            </w:pPr>
            <w:r w:rsidRPr="00157118">
              <w:rPr>
                <w:sz w:val="16"/>
              </w:rPr>
              <w:t>Mm01295805_m1</w:t>
            </w:r>
          </w:p>
        </w:tc>
      </w:tr>
      <w:tr w:rsidR="00F07010" w:rsidRPr="00157118" w14:paraId="79D27B74" w14:textId="77777777" w:rsidTr="00862933">
        <w:tc>
          <w:tcPr>
            <w:tcW w:w="4530" w:type="dxa"/>
          </w:tcPr>
          <w:p w14:paraId="0A7CBB94" w14:textId="77777777" w:rsidR="00F07010" w:rsidRPr="00157118" w:rsidRDefault="00F07010" w:rsidP="00862933">
            <w:pPr>
              <w:rPr>
                <w:i/>
                <w:sz w:val="16"/>
              </w:rPr>
            </w:pPr>
            <w:r w:rsidRPr="00157118">
              <w:rPr>
                <w:i/>
                <w:sz w:val="16"/>
              </w:rPr>
              <w:t>Irf8</w:t>
            </w:r>
          </w:p>
        </w:tc>
        <w:tc>
          <w:tcPr>
            <w:tcW w:w="4530" w:type="dxa"/>
          </w:tcPr>
          <w:p w14:paraId="6E34C766" w14:textId="77777777" w:rsidR="00F07010" w:rsidRPr="00157118" w:rsidRDefault="00F07010" w:rsidP="00862933">
            <w:pPr>
              <w:rPr>
                <w:sz w:val="16"/>
              </w:rPr>
            </w:pPr>
            <w:r w:rsidRPr="00157118">
              <w:rPr>
                <w:sz w:val="16"/>
              </w:rPr>
              <w:t>Mm00492567_m1</w:t>
            </w:r>
          </w:p>
        </w:tc>
      </w:tr>
      <w:tr w:rsidR="00F07010" w:rsidRPr="00157118" w14:paraId="41DADDA5" w14:textId="77777777" w:rsidTr="00862933">
        <w:tc>
          <w:tcPr>
            <w:tcW w:w="4530" w:type="dxa"/>
          </w:tcPr>
          <w:p w14:paraId="1AD70475" w14:textId="77777777" w:rsidR="00F07010" w:rsidRPr="00157118" w:rsidRDefault="00F07010" w:rsidP="00862933">
            <w:pPr>
              <w:rPr>
                <w:i/>
                <w:sz w:val="16"/>
              </w:rPr>
            </w:pPr>
            <w:r w:rsidRPr="00157118">
              <w:rPr>
                <w:i/>
                <w:sz w:val="16"/>
              </w:rPr>
              <w:t>Tgfb1</w:t>
            </w:r>
          </w:p>
        </w:tc>
        <w:tc>
          <w:tcPr>
            <w:tcW w:w="4530" w:type="dxa"/>
          </w:tcPr>
          <w:p w14:paraId="45D2C4F6" w14:textId="77777777" w:rsidR="00F07010" w:rsidRPr="00157118" w:rsidRDefault="00F07010" w:rsidP="00862933">
            <w:pPr>
              <w:rPr>
                <w:sz w:val="16"/>
              </w:rPr>
            </w:pPr>
            <w:r w:rsidRPr="00157118">
              <w:rPr>
                <w:sz w:val="16"/>
              </w:rPr>
              <w:t>Mm01178820_m1</w:t>
            </w:r>
          </w:p>
        </w:tc>
      </w:tr>
      <w:tr w:rsidR="00F07010" w:rsidRPr="00157118" w14:paraId="2AEF86F0" w14:textId="77777777" w:rsidTr="00862933">
        <w:tc>
          <w:tcPr>
            <w:tcW w:w="4530" w:type="dxa"/>
          </w:tcPr>
          <w:p w14:paraId="0475D956" w14:textId="77777777" w:rsidR="00F07010" w:rsidRPr="00157118" w:rsidRDefault="00F07010" w:rsidP="00862933">
            <w:pPr>
              <w:rPr>
                <w:i/>
                <w:sz w:val="16"/>
              </w:rPr>
            </w:pPr>
            <w:r w:rsidRPr="00157118">
              <w:rPr>
                <w:i/>
                <w:sz w:val="16"/>
              </w:rPr>
              <w:t>Tnf</w:t>
            </w:r>
          </w:p>
        </w:tc>
        <w:tc>
          <w:tcPr>
            <w:tcW w:w="4530" w:type="dxa"/>
          </w:tcPr>
          <w:p w14:paraId="381F7C47" w14:textId="77777777" w:rsidR="00F07010" w:rsidRPr="00157118" w:rsidRDefault="00F07010" w:rsidP="00862933">
            <w:pPr>
              <w:rPr>
                <w:sz w:val="16"/>
              </w:rPr>
            </w:pPr>
            <w:r w:rsidRPr="00157118">
              <w:rPr>
                <w:sz w:val="16"/>
              </w:rPr>
              <w:t>Mm00443258_m1</w:t>
            </w:r>
          </w:p>
        </w:tc>
      </w:tr>
    </w:tbl>
    <w:p w14:paraId="4218622E" w14:textId="77777777" w:rsidR="00F07010" w:rsidRPr="00157118" w:rsidRDefault="00F07010" w:rsidP="00F07010">
      <w:pPr>
        <w:pStyle w:val="Caption"/>
      </w:pPr>
      <w:r w:rsidRPr="00157118">
        <w:t>Table S</w:t>
      </w:r>
      <w:r w:rsidRPr="00157118">
        <w:rPr>
          <w:noProof/>
        </w:rPr>
        <w:t>3</w:t>
      </w:r>
      <w:r w:rsidRPr="00157118">
        <w:t>: Oligonucleotide primers used for qPCR.</w:t>
      </w:r>
    </w:p>
    <w:tbl>
      <w:tblPr>
        <w:tblStyle w:val="TableGrid"/>
        <w:tblW w:w="9492" w:type="dxa"/>
        <w:tblLook w:val="04A0" w:firstRow="1" w:lastRow="0" w:firstColumn="1" w:lastColumn="0" w:noHBand="0" w:noVBand="1"/>
      </w:tblPr>
      <w:tblGrid>
        <w:gridCol w:w="1299"/>
        <w:gridCol w:w="4083"/>
        <w:gridCol w:w="4110"/>
      </w:tblGrid>
      <w:tr w:rsidR="00F07010" w:rsidRPr="00157118" w14:paraId="54E590AC" w14:textId="77777777" w:rsidTr="00862933">
        <w:tc>
          <w:tcPr>
            <w:tcW w:w="1299" w:type="dxa"/>
            <w:vMerge w:val="restart"/>
            <w:shd w:val="clear" w:color="auto" w:fill="D9D9D9" w:themeFill="background1" w:themeFillShade="D9"/>
          </w:tcPr>
          <w:p w14:paraId="3C7B5301" w14:textId="77777777" w:rsidR="00F07010" w:rsidRPr="00157118" w:rsidRDefault="00F07010" w:rsidP="00862933">
            <w:r w:rsidRPr="00157118">
              <w:t>Gene</w:t>
            </w:r>
          </w:p>
        </w:tc>
        <w:tc>
          <w:tcPr>
            <w:tcW w:w="8193" w:type="dxa"/>
            <w:gridSpan w:val="2"/>
            <w:shd w:val="clear" w:color="auto" w:fill="D9D9D9" w:themeFill="background1" w:themeFillShade="D9"/>
          </w:tcPr>
          <w:p w14:paraId="622C3476" w14:textId="77777777" w:rsidR="00F07010" w:rsidRPr="00157118" w:rsidRDefault="00F07010" w:rsidP="00862933">
            <w:r w:rsidRPr="00157118">
              <w:t>Oligonucleotide Sequences</w:t>
            </w:r>
          </w:p>
        </w:tc>
      </w:tr>
      <w:tr w:rsidR="00F07010" w:rsidRPr="00157118" w14:paraId="1512B297" w14:textId="77777777" w:rsidTr="00862933">
        <w:tc>
          <w:tcPr>
            <w:tcW w:w="1299" w:type="dxa"/>
            <w:vMerge/>
            <w:shd w:val="clear" w:color="auto" w:fill="D9D9D9" w:themeFill="background1" w:themeFillShade="D9"/>
          </w:tcPr>
          <w:p w14:paraId="05EBEF5A" w14:textId="77777777" w:rsidR="00F07010" w:rsidRPr="00157118" w:rsidRDefault="00F07010" w:rsidP="00862933"/>
        </w:tc>
        <w:tc>
          <w:tcPr>
            <w:tcW w:w="4083" w:type="dxa"/>
            <w:shd w:val="clear" w:color="auto" w:fill="D9D9D9" w:themeFill="background1" w:themeFillShade="D9"/>
          </w:tcPr>
          <w:p w14:paraId="474A1381" w14:textId="77777777" w:rsidR="00F07010" w:rsidRPr="00157118" w:rsidRDefault="00F07010" w:rsidP="00862933">
            <w:r w:rsidRPr="00157118">
              <w:t>Fw</w:t>
            </w:r>
          </w:p>
        </w:tc>
        <w:tc>
          <w:tcPr>
            <w:tcW w:w="4110" w:type="dxa"/>
            <w:shd w:val="clear" w:color="auto" w:fill="D9D9D9" w:themeFill="background1" w:themeFillShade="D9"/>
          </w:tcPr>
          <w:p w14:paraId="7FDB2476" w14:textId="77777777" w:rsidR="00F07010" w:rsidRPr="00157118" w:rsidRDefault="00F07010" w:rsidP="00862933">
            <w:r w:rsidRPr="00157118">
              <w:t>Rc</w:t>
            </w:r>
          </w:p>
        </w:tc>
      </w:tr>
      <w:tr w:rsidR="00F07010" w:rsidRPr="00157118" w14:paraId="4D75096B" w14:textId="77777777" w:rsidTr="00862933">
        <w:tc>
          <w:tcPr>
            <w:tcW w:w="1299" w:type="dxa"/>
          </w:tcPr>
          <w:p w14:paraId="0959F7BE" w14:textId="77777777" w:rsidR="00F07010" w:rsidRPr="00157118" w:rsidRDefault="00F07010" w:rsidP="00862933">
            <w:pPr>
              <w:rPr>
                <w:sz w:val="16"/>
              </w:rPr>
            </w:pPr>
            <w:r w:rsidRPr="00157118">
              <w:rPr>
                <w:sz w:val="16"/>
              </w:rPr>
              <w:t>Asl</w:t>
            </w:r>
          </w:p>
        </w:tc>
        <w:tc>
          <w:tcPr>
            <w:tcW w:w="4083" w:type="dxa"/>
          </w:tcPr>
          <w:p w14:paraId="5B81DFEE" w14:textId="77777777" w:rsidR="00F07010" w:rsidRPr="00157118" w:rsidRDefault="00F07010" w:rsidP="00862933">
            <w:pPr>
              <w:rPr>
                <w:rFonts w:cs="Arial"/>
                <w:color w:val="26160F"/>
                <w:sz w:val="16"/>
              </w:rPr>
            </w:pPr>
            <w:r w:rsidRPr="00157118">
              <w:rPr>
                <w:sz w:val="16"/>
              </w:rPr>
              <w:t>5’-TCTTCGTTAGCTGGCAACTCACCT-3’</w:t>
            </w:r>
          </w:p>
        </w:tc>
        <w:tc>
          <w:tcPr>
            <w:tcW w:w="4110" w:type="dxa"/>
          </w:tcPr>
          <w:p w14:paraId="2078983C" w14:textId="77777777" w:rsidR="00F07010" w:rsidRPr="00157118" w:rsidRDefault="00F07010" w:rsidP="00862933">
            <w:pPr>
              <w:rPr>
                <w:rFonts w:cs="Arial"/>
                <w:color w:val="26160F"/>
                <w:sz w:val="16"/>
              </w:rPr>
            </w:pPr>
            <w:r w:rsidRPr="00157118">
              <w:rPr>
                <w:sz w:val="16"/>
              </w:rPr>
              <w:t>5’-ATGACCCAGCAGCTAAGCAGATCA-3’</w:t>
            </w:r>
          </w:p>
        </w:tc>
      </w:tr>
      <w:tr w:rsidR="00F07010" w:rsidRPr="00157118" w14:paraId="5DEAD425" w14:textId="77777777" w:rsidTr="00862933">
        <w:tc>
          <w:tcPr>
            <w:tcW w:w="1299" w:type="dxa"/>
          </w:tcPr>
          <w:p w14:paraId="1DF71CA0" w14:textId="77777777" w:rsidR="00F07010" w:rsidRPr="00157118" w:rsidRDefault="00F07010" w:rsidP="00862933">
            <w:pPr>
              <w:rPr>
                <w:sz w:val="16"/>
              </w:rPr>
            </w:pPr>
            <w:r w:rsidRPr="00157118">
              <w:rPr>
                <w:i/>
                <w:sz w:val="16"/>
              </w:rPr>
              <w:t>T. gondii</w:t>
            </w:r>
            <w:r w:rsidRPr="00157118">
              <w:rPr>
                <w:sz w:val="16"/>
              </w:rPr>
              <w:t xml:space="preserve"> B1</w:t>
            </w:r>
          </w:p>
        </w:tc>
        <w:tc>
          <w:tcPr>
            <w:tcW w:w="4083" w:type="dxa"/>
          </w:tcPr>
          <w:p w14:paraId="2C11D5EE" w14:textId="77777777" w:rsidR="00F07010" w:rsidRPr="00157118" w:rsidRDefault="00F07010" w:rsidP="00862933">
            <w:pPr>
              <w:rPr>
                <w:rFonts w:cs="Arial"/>
                <w:color w:val="26160F"/>
                <w:sz w:val="16"/>
              </w:rPr>
            </w:pPr>
            <w:r w:rsidRPr="00157118">
              <w:rPr>
                <w:sz w:val="16"/>
              </w:rPr>
              <w:t>5’-GCATTGCCCGTCCAAACT-3’</w:t>
            </w:r>
          </w:p>
        </w:tc>
        <w:tc>
          <w:tcPr>
            <w:tcW w:w="4110" w:type="dxa"/>
          </w:tcPr>
          <w:p w14:paraId="4348E0F4" w14:textId="77777777" w:rsidR="00F07010" w:rsidRPr="00157118" w:rsidRDefault="00F07010" w:rsidP="00862933">
            <w:pPr>
              <w:rPr>
                <w:rFonts w:cs="Arial"/>
                <w:color w:val="26160F"/>
                <w:sz w:val="16"/>
              </w:rPr>
            </w:pPr>
            <w:r w:rsidRPr="00157118">
              <w:rPr>
                <w:sz w:val="16"/>
              </w:rPr>
              <w:t>5’-AGACTGTACGGAATGGAGACGAA-3’</w:t>
            </w:r>
          </w:p>
        </w:tc>
      </w:tr>
    </w:tbl>
    <w:p w14:paraId="14D971AD" w14:textId="77777777" w:rsidR="00F07010" w:rsidRPr="00157118" w:rsidRDefault="00F07010" w:rsidP="00F07010"/>
    <w:p w14:paraId="74EAB257" w14:textId="77777777" w:rsidR="00F07010" w:rsidRPr="00157118" w:rsidRDefault="00F07010" w:rsidP="00F07010"/>
    <w:p w14:paraId="6AC8B228" w14:textId="77777777" w:rsidR="00F07010" w:rsidRPr="00157118" w:rsidRDefault="00F07010" w:rsidP="00F07010">
      <w:pPr>
        <w:pStyle w:val="EndNoteBibliography"/>
      </w:pPr>
      <w:r w:rsidRPr="00157118">
        <w:t>1.</w:t>
      </w:r>
      <w:r w:rsidRPr="00157118">
        <w:tab/>
        <w:t>Kovacs M, Dominguez-Belloso A, Ali-Moussa S, Deczkowska A. Immune control of brain physiology. Nat Rev Immunol. 2025.</w:t>
      </w:r>
    </w:p>
    <w:p w14:paraId="3067A0CB" w14:textId="77777777" w:rsidR="00F07010" w:rsidRPr="00157118" w:rsidRDefault="00F07010" w:rsidP="00F07010">
      <w:pPr>
        <w:pStyle w:val="EndNoteBibliography"/>
      </w:pPr>
      <w:r w:rsidRPr="00157118">
        <w:t>2.</w:t>
      </w:r>
      <w:r w:rsidRPr="00157118">
        <w:tab/>
        <w:t>Smyth LCD, Kipnis J. Redefining CNS immune privilege. Nat Rev Immunol. 2025.</w:t>
      </w:r>
    </w:p>
    <w:p w14:paraId="129053C1" w14:textId="77777777" w:rsidR="00F07010" w:rsidRPr="0009147C" w:rsidRDefault="00F07010" w:rsidP="00F07010">
      <w:pPr>
        <w:pStyle w:val="EndNoteBibliography"/>
        <w:rPr>
          <w:lang w:val="de-DE"/>
        </w:rPr>
      </w:pPr>
      <w:r w:rsidRPr="00157118">
        <w:lastRenderedPageBreak/>
        <w:t>3.</w:t>
      </w:r>
      <w:r w:rsidRPr="00157118">
        <w:tab/>
        <w:t xml:space="preserve">Becher B, Derfuss T, Liblau R. Targeting cytokine networks in neuroinflammatory diseases. </w:t>
      </w:r>
      <w:r w:rsidRPr="0009147C">
        <w:rPr>
          <w:lang w:val="de-DE"/>
        </w:rPr>
        <w:t>Nat Rev Drug Discov. 2024;23(11):862-79.</w:t>
      </w:r>
    </w:p>
    <w:p w14:paraId="45E9DBF2" w14:textId="77777777" w:rsidR="00F07010" w:rsidRPr="0009147C" w:rsidRDefault="00F07010" w:rsidP="00F07010">
      <w:pPr>
        <w:pStyle w:val="EndNoteBibliography"/>
        <w:rPr>
          <w:lang w:val="de-DE"/>
        </w:rPr>
      </w:pPr>
      <w:r w:rsidRPr="0009147C">
        <w:rPr>
          <w:lang w:val="de-DE"/>
        </w:rPr>
        <w:t>4.</w:t>
      </w:r>
      <w:r w:rsidRPr="0009147C">
        <w:rPr>
          <w:lang w:val="de-DE"/>
        </w:rPr>
        <w:tab/>
        <w:t>Heneka MT, van der Flier WM, Jessen F, Hoozemanns J, Thal DR, Boche D, et al. Neuroinflammation in Alzheimer disease. Nat Rev Immunol. 2024.</w:t>
      </w:r>
    </w:p>
    <w:p w14:paraId="37A79BAC" w14:textId="77777777" w:rsidR="00F07010" w:rsidRPr="00157118" w:rsidRDefault="00F07010" w:rsidP="00F07010">
      <w:pPr>
        <w:pStyle w:val="EndNoteBibliography"/>
      </w:pPr>
      <w:r w:rsidRPr="0009147C">
        <w:rPr>
          <w:lang w:val="de-DE"/>
        </w:rPr>
        <w:t>5.</w:t>
      </w:r>
      <w:r w:rsidRPr="0009147C">
        <w:rPr>
          <w:lang w:val="de-DE"/>
        </w:rPr>
        <w:tab/>
        <w:t xml:space="preserve">Weiner HL. Immune mechanisms and shared immune targets in neurodegenerative diseases. Nat Rev Neurol. </w:t>
      </w:r>
      <w:r w:rsidRPr="00157118">
        <w:t>2025;21(2):67-85.</w:t>
      </w:r>
    </w:p>
    <w:p w14:paraId="340BD746" w14:textId="77777777" w:rsidR="00F07010" w:rsidRPr="00157118" w:rsidRDefault="00F07010" w:rsidP="00F07010">
      <w:pPr>
        <w:pStyle w:val="EndNoteBibliography"/>
      </w:pPr>
      <w:r w:rsidRPr="00157118">
        <w:t>6.</w:t>
      </w:r>
      <w:r w:rsidRPr="00157118">
        <w:tab/>
        <w:t>Wang X, Li J, Rebuffet L, Cheng M, Bao B, Chen Y, et al. Innate lymphoid cells originate from fetal liver-derived tissue-resident progenitors. Sci Immunol. 2025;10(109):eadu7962.</w:t>
      </w:r>
    </w:p>
    <w:p w14:paraId="454E5E56" w14:textId="77777777" w:rsidR="00F07010" w:rsidRPr="0009147C" w:rsidRDefault="00F07010" w:rsidP="00F07010">
      <w:pPr>
        <w:pStyle w:val="EndNoteBibliography"/>
        <w:rPr>
          <w:lang w:val="de-DE"/>
        </w:rPr>
      </w:pPr>
      <w:r w:rsidRPr="00157118">
        <w:t>7.</w:t>
      </w:r>
      <w:r w:rsidRPr="00157118">
        <w:tab/>
        <w:t xml:space="preserve">Fumagalli V, Venzin V, Di Lucia P, Moalli F, Ficht X, Ambrosi G, et al. Group 1 ILCs regulate T cell-mediated liver immunopathology by controlling local IL-2 availability. </w:t>
      </w:r>
      <w:r w:rsidRPr="0009147C">
        <w:rPr>
          <w:lang w:val="de-DE"/>
        </w:rPr>
        <w:t>Sci Immunol. 2022;7(68):eabi6112.</w:t>
      </w:r>
    </w:p>
    <w:p w14:paraId="6A85F523" w14:textId="77777777" w:rsidR="00F07010" w:rsidRPr="00157118" w:rsidRDefault="00F07010" w:rsidP="00F07010">
      <w:pPr>
        <w:pStyle w:val="EndNoteBibliography"/>
      </w:pPr>
      <w:r w:rsidRPr="0009147C">
        <w:rPr>
          <w:lang w:val="de-DE"/>
        </w:rPr>
        <w:t>8.</w:t>
      </w:r>
      <w:r w:rsidRPr="0009147C">
        <w:rPr>
          <w:lang w:val="de-DE"/>
        </w:rPr>
        <w:tab/>
        <w:t xml:space="preserve">Sparano C, Solis-Sayago D, Zangger NS, Rindlisbacher L, Van Hove H, Vermeer M, et al. </w:t>
      </w:r>
      <w:r w:rsidRPr="00157118">
        <w:t>Autocrine TGF-beta1 drives tissue-specific differentiation and function of resident NK cells. J Exp Med. 2025;222(3).</w:t>
      </w:r>
    </w:p>
    <w:p w14:paraId="301A2F22" w14:textId="77777777" w:rsidR="00F07010" w:rsidRPr="00157118" w:rsidRDefault="00F07010" w:rsidP="00F07010">
      <w:pPr>
        <w:pStyle w:val="EndNoteBibliography"/>
      </w:pPr>
      <w:r w:rsidRPr="00157118">
        <w:t>9.</w:t>
      </w:r>
      <w:r w:rsidRPr="00157118">
        <w:tab/>
        <w:t>Romero-Suarez S, Del Rio Serrato A, Bueno RJ, Brunotte-Strecker D, Stehle C, Figueiredo CA, et al. The Central Nervous System Contains ILC1s That Differ From NK Cells in the Response to Inflammation. Front Immunol. 2019;10:2337.</w:t>
      </w:r>
    </w:p>
    <w:p w14:paraId="778F0902" w14:textId="77777777" w:rsidR="00F07010" w:rsidRPr="00157118" w:rsidRDefault="00F07010" w:rsidP="00F07010">
      <w:pPr>
        <w:pStyle w:val="EndNoteBibliography"/>
      </w:pPr>
      <w:r w:rsidRPr="00157118">
        <w:t>10.</w:t>
      </w:r>
      <w:r w:rsidRPr="00157118">
        <w:tab/>
        <w:t>Matta SK, Rinkenberger N, Dunay IR, Sibley LD. Toxoplasma gondii infection and its implications within the central nervous system. Nat Rev Microbiol. 2021.</w:t>
      </w:r>
    </w:p>
    <w:p w14:paraId="455993E1" w14:textId="77777777" w:rsidR="00F07010" w:rsidRPr="00157118" w:rsidRDefault="00F07010" w:rsidP="00F07010">
      <w:pPr>
        <w:pStyle w:val="EndNoteBibliography"/>
      </w:pPr>
      <w:r w:rsidRPr="00157118">
        <w:t>11.</w:t>
      </w:r>
      <w:r w:rsidRPr="00157118">
        <w:tab/>
        <w:t>Gazzinelli R, Xu Y, Hieny S, Cheever A, Sher A. Simultaneous depletion of CD4+ and CD8+ T lymphocytes is required to reactivate chronic infection with Toxoplasma gondii. J Immunol. 1992;149(1):175-80.</w:t>
      </w:r>
    </w:p>
    <w:p w14:paraId="188AE5D9" w14:textId="77777777" w:rsidR="00F07010" w:rsidRPr="00157118" w:rsidRDefault="00F07010" w:rsidP="00F07010">
      <w:pPr>
        <w:pStyle w:val="EndNoteBibliography"/>
      </w:pPr>
      <w:r w:rsidRPr="00157118">
        <w:t>12.</w:t>
      </w:r>
      <w:r w:rsidRPr="00157118">
        <w:tab/>
        <w:t>Landrith TA, Harris TH, Wilson EH. Characteristics and critical function of CD8+ T cells in the Toxoplasma-infected brain. Semin Immunopathol. 2015;37(3):261-70.</w:t>
      </w:r>
    </w:p>
    <w:p w14:paraId="23A077C5" w14:textId="77777777" w:rsidR="00F07010" w:rsidRPr="00157118" w:rsidRDefault="00F07010" w:rsidP="00F07010">
      <w:pPr>
        <w:pStyle w:val="EndNoteBibliography"/>
      </w:pPr>
      <w:r w:rsidRPr="00157118">
        <w:t>13.</w:t>
      </w:r>
      <w:r w:rsidRPr="00157118">
        <w:tab/>
        <w:t>Nishiyama S, Pradipta A, Ma JS, Sasai M, Yamamoto M. T cell-derived interferon-gamma is required for host defense to Toxoplasma gondii. Parasitol Int. 2020;75:102049.</w:t>
      </w:r>
    </w:p>
    <w:p w14:paraId="5E1F9469" w14:textId="77777777" w:rsidR="00F07010" w:rsidRPr="00157118" w:rsidRDefault="00F07010" w:rsidP="00F07010">
      <w:pPr>
        <w:pStyle w:val="EndNoteBibliography"/>
      </w:pPr>
      <w:r w:rsidRPr="00157118">
        <w:t>14.</w:t>
      </w:r>
      <w:r w:rsidRPr="00157118">
        <w:tab/>
        <w:t>Sa Q, Ochiai E, Tiwari A, Perkins S, Mullins J, Gehman M, et al. Cutting Edge: IFN-gamma Produced by Brain-Resident Cells Is Crucial To Control Cerebral Infection with Toxoplasma gondii. J Immunol. 2015;195(3):796-800.</w:t>
      </w:r>
    </w:p>
    <w:p w14:paraId="7C8D63CC" w14:textId="77777777" w:rsidR="00F07010" w:rsidRPr="00157118" w:rsidRDefault="00F07010" w:rsidP="00F07010">
      <w:pPr>
        <w:pStyle w:val="EndNoteBibliography"/>
      </w:pPr>
      <w:r w:rsidRPr="00157118">
        <w:t>15.</w:t>
      </w:r>
      <w:r w:rsidRPr="00157118">
        <w:tab/>
        <w:t>Figueiredo CA, Steffen J, Morton L, Arumugam S, Liesenfeld O, Deli MA, et al. Immune response and pathogen invasion at the choroid plexus in the onset of cerebral toxoplasmosis. J Neuroinflammation. 2022;19(1):17.</w:t>
      </w:r>
    </w:p>
    <w:p w14:paraId="573A7947" w14:textId="77777777" w:rsidR="00F07010" w:rsidRPr="00157118" w:rsidRDefault="00F07010" w:rsidP="00F07010">
      <w:pPr>
        <w:pStyle w:val="EndNoteBibliography"/>
      </w:pPr>
      <w:r w:rsidRPr="00157118">
        <w:t>16.</w:t>
      </w:r>
      <w:r w:rsidRPr="00157118">
        <w:tab/>
        <w:t>Suzuki Y, Lutshumba J, Chen KC, Abdelaziz MH, Sa Q, Ochiai E. IFN-gamma production by brain-resident cells activates cerebral mRNA expression of a wide spectrum of molecules critical for both innate and T cell-mediated protective immunity to control reactivation of chronic infection with Toxoplasma gondii. Front Cell Infect Microbiol. 2023;13:1110508.</w:t>
      </w:r>
    </w:p>
    <w:p w14:paraId="794B6F7B" w14:textId="77777777" w:rsidR="00F07010" w:rsidRPr="00157118" w:rsidRDefault="00F07010" w:rsidP="00F07010">
      <w:pPr>
        <w:pStyle w:val="EndNoteBibliography"/>
      </w:pPr>
      <w:r w:rsidRPr="00157118">
        <w:t>17.</w:t>
      </w:r>
      <w:r w:rsidRPr="00157118">
        <w:tab/>
        <w:t>Torcellan T, Friedrich C, Doucet-Ladeveze R, Ossner T, Sole VV, Riedmann S, et al. Circulating NK cells establish tissue residency upon acute infection of skin and mediate accelerated effector responses to secondary infection. Immunity. 2023.</w:t>
      </w:r>
    </w:p>
    <w:p w14:paraId="5E00C7F4" w14:textId="77777777" w:rsidR="00F07010" w:rsidRPr="0009147C" w:rsidRDefault="00F07010" w:rsidP="00F07010">
      <w:pPr>
        <w:pStyle w:val="EndNoteBibliography"/>
        <w:rPr>
          <w:lang w:val="de-DE"/>
        </w:rPr>
      </w:pPr>
      <w:r w:rsidRPr="00157118">
        <w:t>18.</w:t>
      </w:r>
      <w:r w:rsidRPr="00157118">
        <w:tab/>
        <w:t xml:space="preserve">Schuster IS, Wikstrom ME, Brizard G, Coudert JD, Estcourt MJ, Manzur M, et al. TRAIL+ NK cells control CD4+ T cell responses during chronic viral infection to limit autoimmunity. </w:t>
      </w:r>
      <w:r w:rsidRPr="0009147C">
        <w:rPr>
          <w:lang w:val="de-DE"/>
        </w:rPr>
        <w:t>Immunity. 2014;41(4):646-56.</w:t>
      </w:r>
    </w:p>
    <w:p w14:paraId="5F03C8A9" w14:textId="77777777" w:rsidR="00F07010" w:rsidRPr="00157118" w:rsidRDefault="00F07010" w:rsidP="00F07010">
      <w:pPr>
        <w:pStyle w:val="EndNoteBibliography"/>
      </w:pPr>
      <w:r w:rsidRPr="0009147C">
        <w:rPr>
          <w:lang w:val="de-DE"/>
        </w:rPr>
        <w:t>19.</w:t>
      </w:r>
      <w:r w:rsidRPr="0009147C">
        <w:rPr>
          <w:lang w:val="de-DE"/>
        </w:rPr>
        <w:tab/>
        <w:t xml:space="preserve">Klose CSN, Flach M, Mohle L, Rogell L, Hoyler T, Ebert K, et al. </w:t>
      </w:r>
      <w:r w:rsidRPr="00157118">
        <w:t>Differentiation of type 1 ILCs from a common progenitor to all helper-like innate lymphoid cell lineages. Cell. 2014;157(2):340-56.</w:t>
      </w:r>
    </w:p>
    <w:p w14:paraId="2F35E040" w14:textId="77777777" w:rsidR="00F07010" w:rsidRPr="00157118" w:rsidRDefault="00F07010" w:rsidP="00F07010">
      <w:pPr>
        <w:pStyle w:val="EndNoteBibliography"/>
      </w:pPr>
      <w:r w:rsidRPr="00157118">
        <w:t>20.</w:t>
      </w:r>
      <w:r w:rsidRPr="00157118">
        <w:tab/>
        <w:t>Steffen J, Ehrentraut S, Bank U, Biswas A, Figueiredo CA, Holsken O, et al. Type 1 innate lymphoid cells regulate the onset of Toxoplasma gondii-induced neuroinflammation. Cell Rep. 2022;38(13):110564.</w:t>
      </w:r>
    </w:p>
    <w:p w14:paraId="40E8BD75" w14:textId="77777777" w:rsidR="00F07010" w:rsidRPr="00157118" w:rsidRDefault="00F07010" w:rsidP="00F07010">
      <w:pPr>
        <w:pStyle w:val="EndNoteBibliography"/>
      </w:pPr>
      <w:r w:rsidRPr="00157118">
        <w:t>21.</w:t>
      </w:r>
      <w:r w:rsidRPr="00157118">
        <w:tab/>
        <w:t>Baeyens AAL, Schwab SR. Finding a Way Out: S1P Signaling and Immune Cell Migration. Annu Rev Immunol. 2020;38:759-84.</w:t>
      </w:r>
    </w:p>
    <w:p w14:paraId="3BB912E9" w14:textId="77777777" w:rsidR="00F07010" w:rsidRPr="00157118" w:rsidRDefault="00F07010" w:rsidP="00F07010">
      <w:pPr>
        <w:pStyle w:val="EndNoteBibliography"/>
      </w:pPr>
      <w:r w:rsidRPr="00157118">
        <w:t>22.</w:t>
      </w:r>
      <w:r w:rsidRPr="00157118">
        <w:tab/>
        <w:t>French T, Steffen J, Glas A, Osbelt L, Strowig T, Schott BH, et al. Persisting Microbiota and Neuronal Imbalance Following T. gondii Infection Reliant on the Infection Route. Frontiers in Immunology. 2022;13.</w:t>
      </w:r>
    </w:p>
    <w:p w14:paraId="46175394" w14:textId="77777777" w:rsidR="00F07010" w:rsidRPr="00157118" w:rsidRDefault="00F07010" w:rsidP="00F07010">
      <w:pPr>
        <w:pStyle w:val="EndNoteBibliography"/>
      </w:pPr>
      <w:r w:rsidRPr="00157118">
        <w:lastRenderedPageBreak/>
        <w:t>23.</w:t>
      </w:r>
      <w:r w:rsidRPr="00157118">
        <w:tab/>
        <w:t>Bank U, Deiser K, Plaza-Sirvent C, Osbelt L, Witte A, Knop L, et al. c-FLIP is crucial for IL-7/IL-15-dependent NKp46(+) ILC development and protection from intestinal inflammation in mice. Nat Commun. 2020;11(1):1056.</w:t>
      </w:r>
    </w:p>
    <w:p w14:paraId="07EE33EE" w14:textId="77777777" w:rsidR="00F07010" w:rsidRPr="0009147C" w:rsidRDefault="00F07010" w:rsidP="00F07010">
      <w:pPr>
        <w:pStyle w:val="EndNoteBibliography"/>
        <w:rPr>
          <w:lang w:val="de-DE"/>
        </w:rPr>
      </w:pPr>
      <w:r w:rsidRPr="00157118">
        <w:t>24.</w:t>
      </w:r>
      <w:r w:rsidRPr="00157118">
        <w:tab/>
        <w:t xml:space="preserve">Rebejac J, Eme-Scolan E, Arnaud Paroutaud L, Kharbouche S, Teleman M, Spinelli L, et al. Meningeal macrophages protect against viral neuroinfection. </w:t>
      </w:r>
      <w:r w:rsidRPr="0009147C">
        <w:rPr>
          <w:lang w:val="de-DE"/>
        </w:rPr>
        <w:t>Immunity. 2022;55(11):2103-17 e10.</w:t>
      </w:r>
    </w:p>
    <w:p w14:paraId="584AD8CC" w14:textId="77777777" w:rsidR="00F07010" w:rsidRPr="00157118" w:rsidRDefault="00F07010" w:rsidP="00F07010">
      <w:pPr>
        <w:pStyle w:val="EndNoteBibliography"/>
      </w:pPr>
      <w:r w:rsidRPr="0009147C">
        <w:rPr>
          <w:lang w:val="de-DE"/>
        </w:rPr>
        <w:t>25.</w:t>
      </w:r>
      <w:r w:rsidRPr="0009147C">
        <w:rPr>
          <w:lang w:val="de-DE"/>
        </w:rPr>
        <w:tab/>
        <w:t xml:space="preserve">Van Gassen S, Callebaut B, Van Helden MJ, Lambrecht BN, Demeester P, Dhaene T, et al. </w:t>
      </w:r>
      <w:r w:rsidRPr="00157118">
        <w:t>FlowSOM: Using self-organizing maps for visualization and interpretation of cytometry data. Cytometry A. 2015;87(7):636-45.</w:t>
      </w:r>
    </w:p>
    <w:p w14:paraId="4A6BF1CF" w14:textId="77777777" w:rsidR="00F07010" w:rsidRPr="00157118" w:rsidRDefault="00F07010" w:rsidP="00F07010">
      <w:pPr>
        <w:pStyle w:val="EndNoteBibliography"/>
      </w:pPr>
      <w:r w:rsidRPr="00157118">
        <w:t>26.</w:t>
      </w:r>
      <w:r w:rsidRPr="00157118">
        <w:tab/>
        <w:t>Becht E, McInnes L, Healy J, Dutertre CA, Kwok IWH, Ng LG, et al. Dimensionality reduction for visualizing single-cell data using UMAP. Nat Biotechnol. 2018.</w:t>
      </w:r>
    </w:p>
    <w:p w14:paraId="2A287B07" w14:textId="77777777" w:rsidR="00F07010" w:rsidRPr="00157118" w:rsidRDefault="00F07010" w:rsidP="00F07010">
      <w:pPr>
        <w:pStyle w:val="EndNoteBibliography"/>
      </w:pPr>
      <w:r w:rsidRPr="00157118">
        <w:t>27.</w:t>
      </w:r>
      <w:r w:rsidRPr="00157118">
        <w:tab/>
        <w:t>Allen M, Poggiali D, Whitaker K, Marshall TR, van Langen J, Kievit RA. Raincloud plots: a multi-platform tool for robust data visualization. Wellcome Open Res. 2019;4:63.</w:t>
      </w:r>
    </w:p>
    <w:p w14:paraId="6E047370" w14:textId="77777777" w:rsidR="00F07010" w:rsidRPr="00157118" w:rsidRDefault="00F07010" w:rsidP="00F07010">
      <w:pPr>
        <w:pStyle w:val="EndNoteBibliography"/>
      </w:pPr>
      <w:r w:rsidRPr="00157118">
        <w:t>28.</w:t>
      </w:r>
      <w:r w:rsidRPr="00157118">
        <w:tab/>
        <w:t>Team RC. R: A Language and Environment for Statistical Computing. R Foundation for Statistical Computing, Vienna, Austria. 2024:https://www.R-project.org/.</w:t>
      </w:r>
    </w:p>
    <w:p w14:paraId="3BCD7CDC" w14:textId="77777777" w:rsidR="00F07010" w:rsidRPr="00157118" w:rsidRDefault="00F07010" w:rsidP="00F07010">
      <w:pPr>
        <w:pStyle w:val="EndNoteBibliography"/>
      </w:pPr>
      <w:r w:rsidRPr="00157118">
        <w:t>29.</w:t>
      </w:r>
      <w:r w:rsidRPr="00157118">
        <w:tab/>
        <w:t>Livak KJ, Schmittgen TD. Analysis of relative gene expression data using real-time quantitative PCR and the 2(-Delta Delta C(T)) Method. Methods. 2001;25(4):402-8.</w:t>
      </w:r>
    </w:p>
    <w:p w14:paraId="553BD06C" w14:textId="77777777" w:rsidR="00F07010" w:rsidRPr="00157118" w:rsidRDefault="00F07010" w:rsidP="00F07010">
      <w:pPr>
        <w:pStyle w:val="EndNoteBibliography"/>
      </w:pPr>
      <w:r w:rsidRPr="00157118">
        <w:t>30.</w:t>
      </w:r>
      <w:r w:rsidRPr="00157118">
        <w:tab/>
        <w:t>Figueiredo CA, Dusedau HP, Steffen J, Gupta N, Dunay MP, Toth GK, et al. Immunomodulatory Effects of the Neuropeptide Pituitary Adenylate Cyclase-Activating Polypeptide in Acute Toxoplasmosis. Front Cell Infect Microbiol. 2019;9:154.</w:t>
      </w:r>
    </w:p>
    <w:p w14:paraId="72B7AA87" w14:textId="77777777" w:rsidR="00F07010" w:rsidRPr="00157118" w:rsidRDefault="00F07010" w:rsidP="00F07010">
      <w:pPr>
        <w:pStyle w:val="EndNoteBibliography"/>
      </w:pPr>
      <w:r w:rsidRPr="00157118">
        <w:t>31.</w:t>
      </w:r>
      <w:r w:rsidRPr="00157118">
        <w:tab/>
        <w:t>Merlini A, Haberl M, Strauss J, Hildebrand L, Genc N, Franz J, et al. Distinct roles of the meningeal layers in CNS autoimmunity. Nat Neurosci. 2022;25(7):887-99.</w:t>
      </w:r>
    </w:p>
    <w:p w14:paraId="0B160172" w14:textId="77777777" w:rsidR="00F07010" w:rsidRPr="00157118" w:rsidRDefault="00F07010" w:rsidP="00F07010">
      <w:pPr>
        <w:pStyle w:val="EndNoteBibliography"/>
      </w:pPr>
      <w:r w:rsidRPr="00157118">
        <w:t>32.</w:t>
      </w:r>
      <w:r w:rsidRPr="00157118">
        <w:tab/>
        <w:t>Schwartz M, Baruch K. The resolution of neuroinflammation in neurodegeneration: leukocyte recruitment via the choroid plexus. EMBO J. 2014;33(1):7-22.</w:t>
      </w:r>
    </w:p>
    <w:p w14:paraId="66422464" w14:textId="77777777" w:rsidR="00F07010" w:rsidRPr="00157118" w:rsidRDefault="00F07010" w:rsidP="00F07010">
      <w:pPr>
        <w:pStyle w:val="EndNoteBibliography"/>
      </w:pPr>
      <w:r w:rsidRPr="00157118">
        <w:t>33.</w:t>
      </w:r>
      <w:r w:rsidRPr="00157118">
        <w:tab/>
        <w:t>Cowan MN, Sethi I, Harris TH. Microglia in CNS infections: insights from Toxoplasma gondii and other pathogens. Trends Parasitol. 2022;38(3):217-29.</w:t>
      </w:r>
    </w:p>
    <w:p w14:paraId="127AF017" w14:textId="77777777" w:rsidR="00F07010" w:rsidRPr="00157118" w:rsidRDefault="00F07010" w:rsidP="00F07010">
      <w:pPr>
        <w:pStyle w:val="EndNoteBibliography"/>
      </w:pPr>
      <w:r w:rsidRPr="00157118">
        <w:t>34.</w:t>
      </w:r>
      <w:r w:rsidRPr="00157118">
        <w:tab/>
        <w:t>Kvestak D, Juranic Lisnic V, Lisnic B, Tomac J, Golemac M, Brizic I, et al. NK/ILC1 cells mediate neuroinflammation and brain pathology following congenital CMV infection. J Exp Med. 2021;218(5).</w:t>
      </w:r>
    </w:p>
    <w:p w14:paraId="11595B14" w14:textId="77777777" w:rsidR="00F07010" w:rsidRPr="00157118" w:rsidRDefault="00F07010" w:rsidP="00F07010">
      <w:pPr>
        <w:pStyle w:val="EndNoteBibliography"/>
      </w:pPr>
      <w:r w:rsidRPr="00157118">
        <w:t>35.</w:t>
      </w:r>
      <w:r w:rsidRPr="00157118">
        <w:tab/>
        <w:t>Dunay IR, Fuchs A, Sibley LD. Inflammatory monocytes but not neutrophils are necessary to control infection with Toxoplasma gondii in mice. Infect Immun. 2010;78(4):1564-70.</w:t>
      </w:r>
    </w:p>
    <w:p w14:paraId="2C07D500" w14:textId="77777777" w:rsidR="00F07010" w:rsidRPr="00157118" w:rsidRDefault="00F07010" w:rsidP="00F07010">
      <w:pPr>
        <w:pStyle w:val="EndNoteBibliography"/>
      </w:pPr>
      <w:r w:rsidRPr="00157118">
        <w:t>36.</w:t>
      </w:r>
      <w:r w:rsidRPr="00157118">
        <w:tab/>
        <w:t>Biswas A, Bruder D, Wolf SA, Jeron A, Mack M, Heimesaat MM, et al. Ly6C(high) monocytes control cerebral toxoplasmosis. J Immunol. 2015;194(7):3223-35.</w:t>
      </w:r>
    </w:p>
    <w:p w14:paraId="43832675" w14:textId="77777777" w:rsidR="00F07010" w:rsidRPr="00157118" w:rsidRDefault="00F07010" w:rsidP="00F07010">
      <w:pPr>
        <w:pStyle w:val="EndNoteBibliography"/>
      </w:pPr>
      <w:r w:rsidRPr="00157118">
        <w:t>37.</w:t>
      </w:r>
      <w:r w:rsidRPr="00157118">
        <w:tab/>
        <w:t>Biswas A, French T, Dusedau HP, Mueller N, Riek-Burchardt M, Dudeck A, et al. Behavior of Neutrophil Granulocytes during Toxoplasma gondii Infection in the Central Nervous System. Front Cell Infect Microbiol. 2017;7:259.</w:t>
      </w:r>
    </w:p>
    <w:p w14:paraId="19673EF5" w14:textId="77777777" w:rsidR="00F07010" w:rsidRPr="00157118" w:rsidRDefault="00F07010" w:rsidP="00F07010">
      <w:pPr>
        <w:pStyle w:val="EndNoteBibliography"/>
      </w:pPr>
      <w:r w:rsidRPr="00157118">
        <w:t>38.</w:t>
      </w:r>
      <w:r w:rsidRPr="00157118">
        <w:tab/>
        <w:t>Gasteiger G, Fan X, Dikiy S, Lee SY, Rudensky AY. Tissue residency of innate lymphoid cells in lymphoid and nonlymphoid organs. Science. 2015;350(6263):981-5.</w:t>
      </w:r>
    </w:p>
    <w:p w14:paraId="28E6F86C" w14:textId="77777777" w:rsidR="00F07010" w:rsidRPr="00157118" w:rsidRDefault="00F07010" w:rsidP="00F07010">
      <w:pPr>
        <w:pStyle w:val="EndNoteBibliography"/>
      </w:pPr>
      <w:r w:rsidRPr="00157118">
        <w:t>39.</w:t>
      </w:r>
      <w:r w:rsidRPr="00157118">
        <w:tab/>
        <w:t>Huang Y, Mao K, Chen X, Sun MA, Kawabe T, Li W, et al. S1P-dependent interorgan trafficking of group 2 innate lymphoid cells supports host defense. Science. 2018;359(6371):114-9.</w:t>
      </w:r>
    </w:p>
    <w:p w14:paraId="3FD522A6" w14:textId="77777777" w:rsidR="00F07010" w:rsidRPr="00157118" w:rsidRDefault="00F07010" w:rsidP="00F07010">
      <w:pPr>
        <w:pStyle w:val="EndNoteBibliography"/>
      </w:pPr>
      <w:r w:rsidRPr="00157118">
        <w:t>40.</w:t>
      </w:r>
      <w:r w:rsidRPr="00157118">
        <w:tab/>
        <w:t>Dutton EE, Gajdasik DW, Willis C, Fiancette R, Bishop EL, Camelo A, et al. Peripheral lymph nodes contain migratory and resident innate lymphoid cell populations. Sci Immunol. 2019;4(35).</w:t>
      </w:r>
    </w:p>
    <w:p w14:paraId="6E9F04DB" w14:textId="77777777" w:rsidR="00F07010" w:rsidRPr="00157118" w:rsidRDefault="00F07010" w:rsidP="00F07010">
      <w:pPr>
        <w:pStyle w:val="EndNoteBibliography"/>
      </w:pPr>
      <w:r w:rsidRPr="00157118">
        <w:t>41.</w:t>
      </w:r>
      <w:r w:rsidRPr="00157118">
        <w:tab/>
        <w:t>Ito T, Ishida Y, Zhang Y, Guichard V, Zhang W, Han R, et al. ILC2s navigate tissue redistribution during infection using stage-specific S1P receptors. bioRxiv. 2024.</w:t>
      </w:r>
    </w:p>
    <w:p w14:paraId="658A3B7E" w14:textId="77777777" w:rsidR="00F07010" w:rsidRPr="00157118" w:rsidRDefault="00F07010" w:rsidP="00F07010">
      <w:pPr>
        <w:pStyle w:val="EndNoteBibliography"/>
      </w:pPr>
      <w:r w:rsidRPr="00157118">
        <w:t>42.</w:t>
      </w:r>
      <w:r w:rsidRPr="00157118">
        <w:tab/>
        <w:t>Castro-Rojas C, Deason K, Hussain RZ, Hayardeny L, Cravens PC, Yarovinsky F, et al. Testing effects of glatiramer acetate and fingolimod in an infectious model of CNS immune surveillance. J Neuroimmunol. 2014;276(1-2):232-5.</w:t>
      </w:r>
    </w:p>
    <w:p w14:paraId="03194D62" w14:textId="77777777" w:rsidR="00F07010" w:rsidRPr="00157118" w:rsidRDefault="00F07010" w:rsidP="00F07010">
      <w:pPr>
        <w:pStyle w:val="EndNoteBibliography"/>
      </w:pPr>
      <w:r w:rsidRPr="00157118">
        <w:t>43.</w:t>
      </w:r>
      <w:r w:rsidRPr="00157118">
        <w:tab/>
        <w:t>Orchanian SB, Still K, Harris TH, Lodoen MB. Deficiency in astrocyte CCL2 production reduces neuroimmune control of Toxoplasma gondii infection. PLoS Pathog. 2024;20(1):e1011710.</w:t>
      </w:r>
    </w:p>
    <w:p w14:paraId="7CBA5EB2" w14:textId="77777777" w:rsidR="00F07010" w:rsidRPr="00157118" w:rsidRDefault="00F07010" w:rsidP="00F07010">
      <w:pPr>
        <w:pStyle w:val="EndNoteBibliography"/>
      </w:pPr>
      <w:r w:rsidRPr="00157118">
        <w:lastRenderedPageBreak/>
        <w:t>44.</w:t>
      </w:r>
      <w:r w:rsidRPr="00157118">
        <w:tab/>
        <w:t>Babcock IW, Sibley LA, Labuzan SA, Cowan MN, Sethi I, Alemu S, et al. Caspase-1 in Cx3cr1-expressing cells drives an IL-18-dependent T cell response that promotes parasite control during acute Toxoplasma gondii infection. PLoS Pathog. 2024;20(10):e1012006.</w:t>
      </w:r>
    </w:p>
    <w:p w14:paraId="14CFD86B" w14:textId="77777777" w:rsidR="00F07010" w:rsidRPr="00157118" w:rsidRDefault="00F07010" w:rsidP="00F07010">
      <w:pPr>
        <w:pStyle w:val="EndNoteBibliography"/>
      </w:pPr>
      <w:r w:rsidRPr="00157118">
        <w:t>45.</w:t>
      </w:r>
      <w:r w:rsidRPr="00157118">
        <w:tab/>
        <w:t>Kovacs MA, Cowan MN, Babcock IW, Sibley LA, Still K, Batista SJ, et al. Meningeal lymphatic drainage promotes T cell responses against Toxoplasma gondii but is dispensable for parasite control in the brain. Elife. 2022;11.</w:t>
      </w:r>
    </w:p>
    <w:p w14:paraId="04AE2DC2" w14:textId="77777777" w:rsidR="00F07010" w:rsidRPr="00157118" w:rsidRDefault="00F07010" w:rsidP="00F07010">
      <w:pPr>
        <w:pStyle w:val="EndNoteBibliography"/>
      </w:pPr>
      <w:r w:rsidRPr="00157118">
        <w:t>46.</w:t>
      </w:r>
      <w:r w:rsidRPr="00157118">
        <w:tab/>
        <w:t>Abt MC, Lewis BB, Caballero S, Xiong H, Carter RA, Susac B, et al. Innate Immune Defenses Mediated by Two ILC Subsets Are Critical for Protection against Acute Clostridium difficile Infection. Cell Host Microbe. 2015;18(1):27-37.</w:t>
      </w:r>
    </w:p>
    <w:p w14:paraId="291E1763" w14:textId="77777777" w:rsidR="00F07010" w:rsidRPr="00157118" w:rsidRDefault="00F07010" w:rsidP="00F07010">
      <w:pPr>
        <w:pStyle w:val="EndNoteBibliography"/>
      </w:pPr>
      <w:r w:rsidRPr="00157118">
        <w:t>47.</w:t>
      </w:r>
      <w:r w:rsidRPr="00157118">
        <w:tab/>
        <w:t>Weizman OE, Adams NM, Schuster IS, Krishna C, Pritykin Y, Lau C, et al. ILC1 Confer Early Host Protection at Initial Sites of Viral Infection. Cell. 2017;171(4):795-808 e12.</w:t>
      </w:r>
    </w:p>
    <w:p w14:paraId="0273F561" w14:textId="77777777" w:rsidR="00F07010" w:rsidRPr="00157118" w:rsidRDefault="00F07010" w:rsidP="00F07010">
      <w:pPr>
        <w:pStyle w:val="EndNoteBibliography"/>
      </w:pPr>
      <w:r w:rsidRPr="00157118">
        <w:t>48.</w:t>
      </w:r>
      <w:r w:rsidRPr="00157118">
        <w:tab/>
        <w:t>Shannon JP, Vrba SM, Reynoso GV, Wynne-Jones E, Kamenyeva O, Malo CS, et al. Group 1 innate lymphoid-cell-derived interferon-gamma maintains anti-viral vigilance in the mucosal epithelium. Immunity. 2021.</w:t>
      </w:r>
    </w:p>
    <w:p w14:paraId="3599377F" w14:textId="77777777" w:rsidR="00F07010" w:rsidRPr="0009147C" w:rsidRDefault="00F07010" w:rsidP="00F07010">
      <w:pPr>
        <w:pStyle w:val="EndNoteBibliography"/>
        <w:rPr>
          <w:lang w:val="de-DE"/>
        </w:rPr>
      </w:pPr>
      <w:r w:rsidRPr="00157118">
        <w:t>49.</w:t>
      </w:r>
      <w:r w:rsidRPr="00157118">
        <w:tab/>
        <w:t xml:space="preserve">Coombs RS, Overacre-Delgoffe AE, Bhattacharjee A, Hand TW, Boyle JP. Mouse innate resistance to Neospora caninum infection is driven by early production of IFNgamma by NK cells in response to parasite ligands. mSphere. </w:t>
      </w:r>
      <w:r w:rsidRPr="0009147C">
        <w:rPr>
          <w:lang w:val="de-DE"/>
        </w:rPr>
        <w:t>2024;9(11):e0025524.</w:t>
      </w:r>
    </w:p>
    <w:p w14:paraId="51F2D1E3" w14:textId="77777777" w:rsidR="00F07010" w:rsidRPr="00157118" w:rsidRDefault="00F07010" w:rsidP="00F07010">
      <w:pPr>
        <w:pStyle w:val="EndNoteBibliography"/>
      </w:pPr>
      <w:r w:rsidRPr="0009147C">
        <w:rPr>
          <w:lang w:val="de-DE"/>
        </w:rPr>
        <w:t>50.</w:t>
      </w:r>
      <w:r w:rsidRPr="0009147C">
        <w:rPr>
          <w:lang w:val="de-DE"/>
        </w:rPr>
        <w:tab/>
        <w:t xml:space="preserve">Gattinoni L, Finkelstein SE, Klebanoff CA, Antony PA, Palmer DC, Spiess PJ, et al. </w:t>
      </w:r>
      <w:r w:rsidRPr="00157118">
        <w:t>Removal of homeostatic cytokine sinks by lymphodepletion enhances the efficacy of adoptively transferred tumor-specific CD8+ T cells. J Exp Med. 2005;202(7):907-12.</w:t>
      </w:r>
    </w:p>
    <w:p w14:paraId="6B6ADEA2" w14:textId="77777777" w:rsidR="00F07010" w:rsidRPr="00157118" w:rsidRDefault="00F07010" w:rsidP="00F07010">
      <w:pPr>
        <w:pStyle w:val="EndNoteBibliography"/>
      </w:pPr>
      <w:r w:rsidRPr="00157118">
        <w:t>51.</w:t>
      </w:r>
      <w:r w:rsidRPr="00157118">
        <w:tab/>
        <w:t>Martin CE, Spasova DS, Frimpong-Boateng K, Kim HO, Lee M, Kim KS, et al. Interleukin-7 Availability Is Maintained by a Hematopoietic Cytokine Sink Comprising Innate Lymphoid Cells and T Cells. Immunity. 2017;47(1):171-82 e4.</w:t>
      </w:r>
    </w:p>
    <w:p w14:paraId="7DEBDFA3" w14:textId="77777777" w:rsidR="00F07010" w:rsidRPr="00157118" w:rsidRDefault="00F07010" w:rsidP="00F07010">
      <w:pPr>
        <w:pStyle w:val="EndNoteBibliography"/>
      </w:pPr>
      <w:r w:rsidRPr="00157118">
        <w:t>52.</w:t>
      </w:r>
      <w:r w:rsidRPr="00157118">
        <w:tab/>
        <w:t>Schuster IS, Sng XYX, Lau CM, Powell DR, Weizman OE, Fleming P, et al. Infection induces tissue-resident memory NK cells that safeguard tissue health. Immunity. 2023;56(3):531-46 e6.</w:t>
      </w:r>
    </w:p>
    <w:p w14:paraId="5CEF7AE8" w14:textId="77777777" w:rsidR="00F07010" w:rsidRPr="00157118" w:rsidRDefault="00F07010" w:rsidP="00F07010">
      <w:pPr>
        <w:pStyle w:val="EndNoteBibliography"/>
      </w:pPr>
      <w:r w:rsidRPr="00157118">
        <w:t>53.</w:t>
      </w:r>
      <w:r w:rsidRPr="00157118">
        <w:tab/>
        <w:t>Roberts LB, Kelly AM, Hepworth MR. There's no place like home: How local tissue microenvironments shape the function of innate lymphoid cells. Mucosal Immunol. 2025.</w:t>
      </w:r>
    </w:p>
    <w:p w14:paraId="6A4AF883" w14:textId="77777777" w:rsidR="00F07010" w:rsidRPr="00157118" w:rsidRDefault="00F07010" w:rsidP="00F07010">
      <w:pPr>
        <w:pStyle w:val="EndNoteBibliography"/>
      </w:pPr>
      <w:r w:rsidRPr="00157118">
        <w:t>54.</w:t>
      </w:r>
      <w:r w:rsidRPr="00157118">
        <w:tab/>
        <w:t>Cortez VS, Cervantes-Barragan L, Robinette ML, Bando JK, Wang Y, Geiger TL, et al. Transforming Growth Factor-beta Signaling Guides the Differentiation of Innate Lymphoid Cells in Salivary Glands. Immunity. 2016;44(5):1127-39.</w:t>
      </w:r>
    </w:p>
    <w:p w14:paraId="592C9873" w14:textId="77777777" w:rsidR="00F07010" w:rsidRPr="00157118" w:rsidRDefault="00F07010" w:rsidP="00F07010">
      <w:pPr>
        <w:pStyle w:val="EndNoteBibliography"/>
      </w:pPr>
      <w:r w:rsidRPr="00157118">
        <w:t>55.</w:t>
      </w:r>
      <w:r w:rsidRPr="00157118">
        <w:tab/>
        <w:t>Lopes N, Galluso J, Escaliere B, Carpentier S, Kerdiles YM, Vivier E. Tissue-specific transcriptional profiles and heterogeneity of natural killer cells and group 1 innate lymphoid cells. Cell Rep Med. 2022;3(11):100812.</w:t>
      </w:r>
    </w:p>
    <w:p w14:paraId="1EE14BF8" w14:textId="77777777" w:rsidR="00F07010" w:rsidRPr="00157118" w:rsidRDefault="00F07010" w:rsidP="00F07010">
      <w:pPr>
        <w:pStyle w:val="EndNoteBibliography"/>
      </w:pPr>
      <w:r w:rsidRPr="00157118">
        <w:t>56.</w:t>
      </w:r>
      <w:r w:rsidRPr="00157118">
        <w:tab/>
        <w:t>Asahi T, Abe S, Cui G, Shimba A, Nabekura T, Miyachi H, et al. Liver type 1 innate lymphoid cells lacking IL-7 receptor are a native killer cell subset fostered by parenchymal niches. Elife. 2023;12.</w:t>
      </w:r>
    </w:p>
    <w:p w14:paraId="442C3AEA" w14:textId="77777777" w:rsidR="00F07010" w:rsidRPr="00157118" w:rsidRDefault="00F07010" w:rsidP="00F07010">
      <w:pPr>
        <w:pStyle w:val="EndNoteBibliography"/>
      </w:pPr>
      <w:r w:rsidRPr="00157118">
        <w:t>57.</w:t>
      </w:r>
      <w:r w:rsidRPr="00157118">
        <w:tab/>
        <w:t>Porte R, Belloy M, Audibert A, Bassot E, Aida A, Alis M, et al. Protective function and differentiation cues of brain-resident CD8+ T cells during surveillance of latent Toxoplasma gondii infection. Proc Natl Acad Sci U S A. 2024;121(24):e2403054121.</w:t>
      </w:r>
    </w:p>
    <w:p w14:paraId="6FDD0A55" w14:textId="77777777" w:rsidR="00F07010" w:rsidRPr="00025029" w:rsidRDefault="00F07010" w:rsidP="00F07010">
      <w:pPr>
        <w:pStyle w:val="EndNoteBibliography"/>
      </w:pPr>
      <w:r w:rsidRPr="00157118">
        <w:t>58.</w:t>
      </w:r>
      <w:r w:rsidRPr="00157118">
        <w:tab/>
        <w:t>Pournajaf S, Dargahi L, Javan M, Pourgholami MH. Molecular Pharmacology and Novel Potential Therapeutic Applications of Fingolimod. Front Pharmacol. 2022;13:807639.</w:t>
      </w:r>
    </w:p>
    <w:p w14:paraId="60352859" w14:textId="77777777" w:rsidR="00F553FF" w:rsidRDefault="00F553FF"/>
    <w:sectPr w:rsidR="00F553FF" w:rsidSect="00F07010">
      <w:headerReference w:type="default" r:id="rId6"/>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3100247"/>
      <w:docPartObj>
        <w:docPartGallery w:val="Page Numbers (Top of Page)"/>
        <w:docPartUnique/>
      </w:docPartObj>
    </w:sdtPr>
    <w:sdtContent>
      <w:p w14:paraId="0F90D815" w14:textId="77777777" w:rsidR="00F07010" w:rsidRDefault="00F07010">
        <w:pPr>
          <w:pStyle w:val="Header"/>
          <w:jc w:val="right"/>
        </w:pPr>
        <w:r>
          <w:fldChar w:fldCharType="begin"/>
        </w:r>
        <w:r>
          <w:instrText>PAGE   \* MERGEFORMAT</w:instrText>
        </w:r>
        <w:r>
          <w:fldChar w:fldCharType="separate"/>
        </w:r>
        <w:r>
          <w:rPr>
            <w:noProof/>
          </w:rPr>
          <w:t>2</w:t>
        </w:r>
        <w:r>
          <w:fldChar w:fldCharType="end"/>
        </w:r>
      </w:p>
    </w:sdtContent>
  </w:sdt>
  <w:p w14:paraId="42BE4D0F" w14:textId="77777777" w:rsidR="00F07010" w:rsidRDefault="00F070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010"/>
    <w:rsid w:val="003C2EF4"/>
    <w:rsid w:val="00446799"/>
    <w:rsid w:val="006A7E07"/>
    <w:rsid w:val="00701021"/>
    <w:rsid w:val="00B74216"/>
    <w:rsid w:val="00D62F8C"/>
    <w:rsid w:val="00E97CD6"/>
    <w:rsid w:val="00F07010"/>
    <w:rsid w:val="00F553FF"/>
    <w:rsid w:val="00FB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89CD5"/>
  <w15:chartTrackingRefBased/>
  <w15:docId w15:val="{F533FEB9-D3DF-4B3E-A7AC-1BF51CEC1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010"/>
    <w:pPr>
      <w:spacing w:after="200" w:line="360" w:lineRule="auto"/>
      <w:jc w:val="both"/>
    </w:pPr>
    <w:rPr>
      <w:rFonts w:ascii="Arial" w:hAnsi="Arial"/>
      <w:kern w:val="0"/>
      <w:sz w:val="22"/>
      <w:szCs w:val="22"/>
      <w14:ligatures w14:val="none"/>
    </w:rPr>
  </w:style>
  <w:style w:type="paragraph" w:styleId="Heading1">
    <w:name w:val="heading 1"/>
    <w:basedOn w:val="Normal"/>
    <w:next w:val="Normal"/>
    <w:link w:val="Heading1Char"/>
    <w:uiPriority w:val="9"/>
    <w:qFormat/>
    <w:rsid w:val="00F07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07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7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7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7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7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7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7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7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7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7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7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7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7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010"/>
    <w:rPr>
      <w:rFonts w:eastAsiaTheme="majorEastAsia" w:cstheme="majorBidi"/>
      <w:color w:val="272727" w:themeColor="text1" w:themeTint="D8"/>
    </w:rPr>
  </w:style>
  <w:style w:type="paragraph" w:styleId="Title">
    <w:name w:val="Title"/>
    <w:basedOn w:val="Normal"/>
    <w:next w:val="Normal"/>
    <w:link w:val="TitleChar"/>
    <w:uiPriority w:val="10"/>
    <w:qFormat/>
    <w:rsid w:val="00F07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7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010"/>
    <w:pPr>
      <w:spacing w:before="160"/>
      <w:jc w:val="center"/>
    </w:pPr>
    <w:rPr>
      <w:i/>
      <w:iCs/>
      <w:color w:val="404040" w:themeColor="text1" w:themeTint="BF"/>
    </w:rPr>
  </w:style>
  <w:style w:type="character" w:customStyle="1" w:styleId="QuoteChar">
    <w:name w:val="Quote Char"/>
    <w:basedOn w:val="DefaultParagraphFont"/>
    <w:link w:val="Quote"/>
    <w:uiPriority w:val="29"/>
    <w:rsid w:val="00F07010"/>
    <w:rPr>
      <w:i/>
      <w:iCs/>
      <w:color w:val="404040" w:themeColor="text1" w:themeTint="BF"/>
    </w:rPr>
  </w:style>
  <w:style w:type="paragraph" w:styleId="ListParagraph">
    <w:name w:val="List Paragraph"/>
    <w:basedOn w:val="Normal"/>
    <w:uiPriority w:val="34"/>
    <w:qFormat/>
    <w:rsid w:val="00F07010"/>
    <w:pPr>
      <w:ind w:left="720"/>
      <w:contextualSpacing/>
    </w:pPr>
  </w:style>
  <w:style w:type="character" w:styleId="IntenseEmphasis">
    <w:name w:val="Intense Emphasis"/>
    <w:basedOn w:val="DefaultParagraphFont"/>
    <w:uiPriority w:val="21"/>
    <w:qFormat/>
    <w:rsid w:val="00F07010"/>
    <w:rPr>
      <w:i/>
      <w:iCs/>
      <w:color w:val="0F4761" w:themeColor="accent1" w:themeShade="BF"/>
    </w:rPr>
  </w:style>
  <w:style w:type="paragraph" w:styleId="IntenseQuote">
    <w:name w:val="Intense Quote"/>
    <w:basedOn w:val="Normal"/>
    <w:next w:val="Normal"/>
    <w:link w:val="IntenseQuoteChar"/>
    <w:uiPriority w:val="30"/>
    <w:qFormat/>
    <w:rsid w:val="00F07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7010"/>
    <w:rPr>
      <w:i/>
      <w:iCs/>
      <w:color w:val="0F4761" w:themeColor="accent1" w:themeShade="BF"/>
    </w:rPr>
  </w:style>
  <w:style w:type="character" w:styleId="IntenseReference">
    <w:name w:val="Intense Reference"/>
    <w:basedOn w:val="DefaultParagraphFont"/>
    <w:uiPriority w:val="32"/>
    <w:qFormat/>
    <w:rsid w:val="00F07010"/>
    <w:rPr>
      <w:b/>
      <w:bCs/>
      <w:smallCaps/>
      <w:color w:val="0F4761" w:themeColor="accent1" w:themeShade="BF"/>
      <w:spacing w:val="5"/>
    </w:rPr>
  </w:style>
  <w:style w:type="paragraph" w:styleId="Header">
    <w:name w:val="header"/>
    <w:basedOn w:val="Normal"/>
    <w:link w:val="HeaderChar"/>
    <w:rsid w:val="00F07010"/>
    <w:pPr>
      <w:tabs>
        <w:tab w:val="center" w:pos="4536"/>
        <w:tab w:val="right" w:pos="9072"/>
      </w:tabs>
    </w:pPr>
  </w:style>
  <w:style w:type="character" w:customStyle="1" w:styleId="HeaderChar">
    <w:name w:val="Header Char"/>
    <w:basedOn w:val="DefaultParagraphFont"/>
    <w:link w:val="Header"/>
    <w:rsid w:val="00F07010"/>
    <w:rPr>
      <w:rFonts w:ascii="Arial" w:hAnsi="Arial"/>
      <w:kern w:val="0"/>
      <w:sz w:val="22"/>
      <w:szCs w:val="22"/>
      <w14:ligatures w14:val="none"/>
    </w:rPr>
  </w:style>
  <w:style w:type="table" w:styleId="TableGrid">
    <w:name w:val="Table Grid"/>
    <w:basedOn w:val="TableNormal"/>
    <w:rsid w:val="00F07010"/>
    <w:pPr>
      <w:spacing w:after="0" w:line="240" w:lineRule="auto"/>
    </w:pPr>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07010"/>
    <w:pPr>
      <w:spacing w:before="240" w:line="240" w:lineRule="auto"/>
    </w:pPr>
    <w:rPr>
      <w:b/>
      <w:bCs/>
      <w:sz w:val="20"/>
      <w:szCs w:val="18"/>
    </w:rPr>
  </w:style>
  <w:style w:type="paragraph" w:customStyle="1" w:styleId="EndNoteBibliography">
    <w:name w:val="EndNote Bibliography"/>
    <w:basedOn w:val="Normal"/>
    <w:link w:val="EndNoteBibliographyZchn"/>
    <w:rsid w:val="00F07010"/>
    <w:pPr>
      <w:spacing w:after="0" w:line="240" w:lineRule="auto"/>
    </w:pPr>
    <w:rPr>
      <w:rFonts w:eastAsia="Times New Roman" w:cs="Arial"/>
      <w:noProof/>
      <w:snapToGrid w:val="0"/>
      <w:szCs w:val="24"/>
      <w:lang w:eastAsia="de-DE"/>
    </w:rPr>
  </w:style>
  <w:style w:type="character" w:customStyle="1" w:styleId="EndNoteBibliographyZchn">
    <w:name w:val="EndNote Bibliography Zchn"/>
    <w:basedOn w:val="DefaultParagraphFont"/>
    <w:link w:val="EndNoteBibliography"/>
    <w:rsid w:val="00F07010"/>
    <w:rPr>
      <w:rFonts w:ascii="Arial" w:eastAsia="Times New Roman" w:hAnsi="Arial" w:cs="Arial"/>
      <w:noProof/>
      <w:snapToGrid w:val="0"/>
      <w:kern w:val="0"/>
      <w:sz w:val="22"/>
      <w:lang w:eastAsia="de-DE"/>
      <w14:ligatures w14:val="none"/>
    </w:rPr>
  </w:style>
  <w:style w:type="character" w:styleId="LineNumber">
    <w:name w:val="line number"/>
    <w:basedOn w:val="DefaultParagraphFont"/>
    <w:uiPriority w:val="99"/>
    <w:semiHidden/>
    <w:unhideWhenUsed/>
    <w:rsid w:val="00F07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1950</Words>
  <Characters>11956</Characters>
  <Application>Microsoft Office Word</Application>
  <DocSecurity>0</DocSecurity>
  <Lines>192</Lines>
  <Paragraphs>78</Paragraphs>
  <ScaleCrop>false</ScaleCrop>
  <Company>Springer Nature</Company>
  <LinksUpToDate>false</LinksUpToDate>
  <CharactersWithSpaces>13828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2025-12-19T13:42:00Z</dcterms:created>
  <dcterms:modified xsi:type="dcterms:W3CDTF">2025-12-19T13:42:00Z</dcterms:modified>
</cp:coreProperties>
</file>