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6E5FB" w14:textId="3E3F3EC9" w:rsidR="00DD78B6" w:rsidRDefault="00BF0205" w:rsidP="00BF0205">
      <w:pPr>
        <w:rPr>
          <w:b/>
          <w:bCs/>
          <w:sz w:val="28"/>
          <w:szCs w:val="28"/>
          <w:lang w:val="en-US"/>
        </w:rPr>
      </w:pPr>
      <w:r w:rsidRPr="006D3331">
        <w:rPr>
          <w:b/>
          <w:bCs/>
          <w:sz w:val="28"/>
          <w:szCs w:val="28"/>
          <w:lang w:val="en-US"/>
        </w:rPr>
        <w:t xml:space="preserve">Supplementary Figure </w:t>
      </w:r>
      <w:r>
        <w:rPr>
          <w:b/>
          <w:bCs/>
          <w:sz w:val="28"/>
          <w:szCs w:val="28"/>
          <w:lang w:val="en-US"/>
        </w:rPr>
        <w:t>S</w:t>
      </w:r>
      <w:r w:rsidR="0064114A">
        <w:rPr>
          <w:b/>
          <w:bCs/>
          <w:sz w:val="28"/>
          <w:szCs w:val="28"/>
          <w:lang w:val="en-US"/>
        </w:rPr>
        <w:t>1</w:t>
      </w:r>
    </w:p>
    <w:p w14:paraId="1DC1865A" w14:textId="5410A60C" w:rsidR="00BD1C16" w:rsidRDefault="00950CFA" w:rsidP="00F65993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1DBF00F0" wp14:editId="240BEA64">
            <wp:extent cx="5175115" cy="5486400"/>
            <wp:effectExtent l="0" t="0" r="0" b="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lede 4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930"/>
                    <a:stretch/>
                  </pic:blipFill>
                  <pic:spPr bwMode="auto">
                    <a:xfrm>
                      <a:off x="0" y="0"/>
                      <a:ext cx="5175115" cy="548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DB3780" w14:textId="0D64521A" w:rsidR="002E467E" w:rsidRPr="00506B61" w:rsidRDefault="00793507" w:rsidP="00506B61">
      <w:pPr>
        <w:pStyle w:val="Billedtekst"/>
        <w:jc w:val="both"/>
        <w:rPr>
          <w:i w:val="0"/>
          <w:iCs w:val="0"/>
          <w:color w:val="auto"/>
          <w:sz w:val="24"/>
          <w:szCs w:val="24"/>
          <w:lang w:val="en-GB"/>
        </w:rPr>
      </w:pPr>
      <w:r w:rsidRPr="00793507">
        <w:rPr>
          <w:b/>
          <w:bCs/>
          <w:i w:val="0"/>
          <w:iCs w:val="0"/>
          <w:color w:val="auto"/>
          <w:sz w:val="24"/>
          <w:szCs w:val="24"/>
          <w:lang w:val="en-GB"/>
        </w:rPr>
        <w:t>Supplementary Figure S1</w:t>
      </w:r>
      <w:r>
        <w:rPr>
          <w:b/>
          <w:bCs/>
          <w:i w:val="0"/>
          <w:iCs w:val="0"/>
          <w:color w:val="auto"/>
          <w:sz w:val="24"/>
          <w:szCs w:val="24"/>
          <w:lang w:val="en-GB"/>
        </w:rPr>
        <w:t xml:space="preserve">. </w:t>
      </w:r>
      <w:r w:rsidR="00506B61" w:rsidRPr="00506B61">
        <w:rPr>
          <w:b/>
          <w:bCs/>
          <w:i w:val="0"/>
          <w:iCs w:val="0"/>
          <w:color w:val="auto"/>
          <w:sz w:val="24"/>
          <w:szCs w:val="24"/>
          <w:lang w:val="en-GB"/>
        </w:rPr>
        <w:t>BOADICEA Family Risk and Polygenetic Risk Score</w:t>
      </w:r>
      <w:r w:rsidR="00506B61">
        <w:rPr>
          <w:b/>
          <w:bCs/>
          <w:i w:val="0"/>
          <w:iCs w:val="0"/>
          <w:color w:val="auto"/>
          <w:sz w:val="24"/>
          <w:szCs w:val="24"/>
          <w:lang w:val="en-GB"/>
        </w:rPr>
        <w:t xml:space="preserve"> (PRS)</w:t>
      </w:r>
      <w:r w:rsidR="0019393E" w:rsidRPr="00B6157F">
        <w:rPr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="0019393E">
        <w:rPr>
          <w:i w:val="0"/>
          <w:iCs w:val="0"/>
          <w:color w:val="auto"/>
          <w:sz w:val="24"/>
          <w:szCs w:val="24"/>
          <w:lang w:val="en-GB"/>
        </w:rPr>
        <w:t xml:space="preserve"> 23 non-BRCA1/2 cases,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 four </w:t>
      </w:r>
      <w:r w:rsidR="0019393E" w:rsidRPr="007417DB">
        <w:rPr>
          <w:color w:val="auto"/>
          <w:sz w:val="24"/>
          <w:szCs w:val="24"/>
          <w:lang w:val="en-GB"/>
        </w:rPr>
        <w:t>BRCA1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BD5D18">
        <w:rPr>
          <w:i w:val="0"/>
          <w:iCs w:val="0"/>
          <w:color w:val="auto"/>
          <w:sz w:val="24"/>
          <w:szCs w:val="24"/>
          <w:lang w:val="en-GB"/>
        </w:rPr>
        <w:t xml:space="preserve">positive </w:t>
      </w:r>
      <w:r w:rsidR="0019393E">
        <w:rPr>
          <w:i w:val="0"/>
          <w:iCs w:val="0"/>
          <w:color w:val="auto"/>
          <w:sz w:val="24"/>
          <w:szCs w:val="24"/>
          <w:lang w:val="en-GB"/>
        </w:rPr>
        <w:t>carriers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 (</w:t>
      </w:r>
      <w:r w:rsidR="00BD5D18">
        <w:rPr>
          <w:i w:val="0"/>
          <w:iCs w:val="0"/>
          <w:color w:val="auto"/>
          <w:sz w:val="24"/>
          <w:szCs w:val="24"/>
          <w:lang w:val="en-GB"/>
        </w:rPr>
        <w:t>tumour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s 40-43), and three </w:t>
      </w:r>
      <w:r w:rsidR="0019393E" w:rsidRPr="007417DB">
        <w:rPr>
          <w:color w:val="auto"/>
          <w:sz w:val="24"/>
          <w:szCs w:val="24"/>
          <w:lang w:val="en-GB"/>
        </w:rPr>
        <w:t>BRCA2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BD5D18">
        <w:rPr>
          <w:i w:val="0"/>
          <w:iCs w:val="0"/>
          <w:color w:val="auto"/>
          <w:sz w:val="24"/>
          <w:szCs w:val="24"/>
          <w:lang w:val="en-GB"/>
        </w:rPr>
        <w:t xml:space="preserve">positive </w:t>
      </w:r>
      <w:r w:rsidR="0019393E">
        <w:rPr>
          <w:i w:val="0"/>
          <w:iCs w:val="0"/>
          <w:color w:val="auto"/>
          <w:sz w:val="24"/>
          <w:szCs w:val="24"/>
          <w:lang w:val="en-GB"/>
        </w:rPr>
        <w:t>carriers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 (</w:t>
      </w:r>
      <w:r w:rsidR="00BD5D18">
        <w:rPr>
          <w:i w:val="0"/>
          <w:iCs w:val="0"/>
          <w:color w:val="auto"/>
          <w:sz w:val="24"/>
          <w:szCs w:val="24"/>
          <w:lang w:val="en-GB"/>
        </w:rPr>
        <w:t>tumour</w:t>
      </w:r>
      <w:r w:rsidR="00BD5D18" w:rsidRPr="00684D83">
        <w:rPr>
          <w:i w:val="0"/>
          <w:iCs w:val="0"/>
          <w:color w:val="auto"/>
          <w:sz w:val="24"/>
          <w:szCs w:val="24"/>
          <w:lang w:val="en-GB"/>
        </w:rPr>
        <w:t>s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 45-47)</w:t>
      </w:r>
      <w:r w:rsidR="0019393E">
        <w:rPr>
          <w:i w:val="0"/>
          <w:iCs w:val="0"/>
          <w:color w:val="auto"/>
          <w:sz w:val="24"/>
          <w:szCs w:val="24"/>
          <w:lang w:val="en-GB"/>
        </w:rPr>
        <w:t xml:space="preserve">. </w:t>
      </w:r>
      <w:r w:rsidR="0038329D">
        <w:rPr>
          <w:i w:val="0"/>
          <w:iCs w:val="0"/>
          <w:color w:val="auto"/>
          <w:sz w:val="24"/>
          <w:szCs w:val="24"/>
          <w:lang w:val="en-GB"/>
        </w:rPr>
        <w:t>Patients</w:t>
      </w:r>
      <w:r w:rsidR="0019393E">
        <w:rPr>
          <w:i w:val="0"/>
          <w:iCs w:val="0"/>
          <w:color w:val="auto"/>
          <w:sz w:val="24"/>
          <w:szCs w:val="24"/>
          <w:lang w:val="en-GB"/>
        </w:rPr>
        <w:t xml:space="preserve"> are ordered according to PRS score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. 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>a</w:t>
      </w:r>
      <w:r w:rsidR="001D2A1C" w:rsidRPr="00684D83">
        <w:rPr>
          <w:i w:val="0"/>
          <w:iCs w:val="0"/>
          <w:color w:val="auto"/>
          <w:sz w:val="24"/>
          <w:szCs w:val="24"/>
          <w:lang w:val="en-GB"/>
        </w:rPr>
        <w:t xml:space="preserve">) 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 xml:space="preserve">Germline variants possibly contributing to increased </w:t>
      </w:r>
      <w:r w:rsidR="00506B61">
        <w:rPr>
          <w:i w:val="0"/>
          <w:iCs w:val="0"/>
          <w:color w:val="auto"/>
          <w:sz w:val="24"/>
          <w:szCs w:val="24"/>
          <w:lang w:val="en-GB"/>
        </w:rPr>
        <w:t>breast cancer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 xml:space="preserve"> family risk. </w:t>
      </w:r>
      <w:r w:rsidR="00D318C2">
        <w:rPr>
          <w:i w:val="0"/>
          <w:iCs w:val="0"/>
          <w:color w:val="auto"/>
          <w:sz w:val="24"/>
          <w:szCs w:val="24"/>
          <w:lang w:val="en-GB"/>
        </w:rPr>
        <w:t xml:space="preserve">Variants are included if they are reported pathogenic/likely pathogenic in ClinVar and the gene exists in our candidate list. 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>Variants of unknown significance (VUS) further require</w:t>
      </w:r>
      <w:r w:rsidR="00A627C0">
        <w:rPr>
          <w:i w:val="0"/>
          <w:iCs w:val="0"/>
          <w:color w:val="auto"/>
          <w:sz w:val="24"/>
          <w:szCs w:val="24"/>
          <w:lang w:val="en-GB"/>
        </w:rPr>
        <w:t>d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 xml:space="preserve"> high correlation with </w:t>
      </w:r>
      <w:r w:rsidR="00506B61">
        <w:rPr>
          <w:i w:val="0"/>
          <w:iCs w:val="0"/>
          <w:color w:val="auto"/>
          <w:sz w:val="24"/>
          <w:szCs w:val="24"/>
          <w:lang w:val="en-GB"/>
        </w:rPr>
        <w:t>breast cancer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 xml:space="preserve"> risk to be included (online methods).</w:t>
      </w:r>
      <w:r w:rsidR="00C34BFD">
        <w:rPr>
          <w:i w:val="0"/>
          <w:iCs w:val="0"/>
          <w:color w:val="auto"/>
          <w:sz w:val="24"/>
          <w:szCs w:val="24"/>
          <w:lang w:val="en-GB"/>
        </w:rPr>
        <w:t xml:space="preserve"> b) Age at diagnosis.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C34BFD">
        <w:rPr>
          <w:i w:val="0"/>
          <w:iCs w:val="0"/>
          <w:color w:val="auto"/>
          <w:sz w:val="24"/>
          <w:szCs w:val="24"/>
          <w:lang w:val="en-GB"/>
        </w:rPr>
        <w:t>c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) </w:t>
      </w:r>
      <w:r w:rsidR="0019393E">
        <w:rPr>
          <w:i w:val="0"/>
          <w:iCs w:val="0"/>
          <w:color w:val="auto"/>
          <w:sz w:val="24"/>
          <w:szCs w:val="24"/>
          <w:lang w:val="en-GB"/>
        </w:rPr>
        <w:t>P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redicted BOADICEA family lifetime risk of getting breast cancer. </w:t>
      </w:r>
      <w:r w:rsidR="00C34BFD">
        <w:rPr>
          <w:i w:val="0"/>
          <w:iCs w:val="0"/>
          <w:color w:val="auto"/>
          <w:sz w:val="24"/>
          <w:szCs w:val="24"/>
          <w:lang w:val="en-GB"/>
        </w:rPr>
        <w:t>d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) 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>Predicted l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ifetime risk of </w:t>
      </w:r>
      <w:r w:rsidR="00506B61">
        <w:rPr>
          <w:i w:val="0"/>
          <w:iCs w:val="0"/>
          <w:color w:val="auto"/>
          <w:sz w:val="24"/>
          <w:szCs w:val="24"/>
          <w:lang w:val="en-GB"/>
        </w:rPr>
        <w:t>breast cancer (20-80 years)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 by PRS</w:t>
      </w:r>
      <w:r w:rsidR="001D2A1C">
        <w:rPr>
          <w:i w:val="0"/>
          <w:iCs w:val="0"/>
          <w:color w:val="auto"/>
          <w:sz w:val="24"/>
          <w:szCs w:val="24"/>
          <w:lang w:val="en-GB"/>
        </w:rPr>
        <w:t xml:space="preserve"> score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 xml:space="preserve">. </w:t>
      </w:r>
      <w:r w:rsidR="00C34BFD">
        <w:rPr>
          <w:i w:val="0"/>
          <w:iCs w:val="0"/>
          <w:color w:val="auto"/>
          <w:sz w:val="24"/>
          <w:szCs w:val="24"/>
          <w:lang w:val="en-GB"/>
        </w:rPr>
        <w:t>e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>) Combined family risk and PRS. The dashed</w:t>
      </w:r>
      <w:r w:rsidR="0019393E" w:rsidRPr="00684D83">
        <w:rPr>
          <w:lang w:val="en-GB"/>
        </w:rPr>
        <w:t xml:space="preserve"> 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>line represents the mean lifetime risk (0-79 years) of breast cancer in the Danish population of 11.7%</w:t>
      </w:r>
      <w:r w:rsidR="00506B61">
        <w:rPr>
          <w:i w:val="0"/>
          <w:iCs w:val="0"/>
          <w:color w:val="auto"/>
          <w:sz w:val="24"/>
          <w:szCs w:val="24"/>
          <w:lang w:val="en-GB"/>
        </w:rPr>
        <w:t xml:space="preserve"> (36)</w:t>
      </w:r>
      <w:r w:rsidR="0019393E" w:rsidRPr="00684D83">
        <w:rPr>
          <w:i w:val="0"/>
          <w:iCs w:val="0"/>
          <w:color w:val="auto"/>
          <w:sz w:val="24"/>
          <w:szCs w:val="24"/>
          <w:lang w:val="en-GB"/>
        </w:rPr>
        <w:t>.</w:t>
      </w:r>
    </w:p>
    <w:sectPr w:rsidR="002E467E" w:rsidRPr="00506B61" w:rsidSect="005A2D9D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er0satstwweazepwvbpfpa02v059tx0vv50&quot;&gt;My EndNote Library-9.3-6.1.2021&lt;record-ids&gt;&lt;item&gt;257&lt;/item&gt;&lt;/record-ids&gt;&lt;/item&gt;&lt;/Libraries&gt;"/>
  </w:docVars>
  <w:rsids>
    <w:rsidRoot w:val="00BF0205"/>
    <w:rsid w:val="00054304"/>
    <w:rsid w:val="00114E2D"/>
    <w:rsid w:val="00181D6D"/>
    <w:rsid w:val="0019393E"/>
    <w:rsid w:val="001D0831"/>
    <w:rsid w:val="001D2A1C"/>
    <w:rsid w:val="001D5B38"/>
    <w:rsid w:val="00274D8C"/>
    <w:rsid w:val="002804A1"/>
    <w:rsid w:val="002E467E"/>
    <w:rsid w:val="002E7742"/>
    <w:rsid w:val="002F1F08"/>
    <w:rsid w:val="002F5D8B"/>
    <w:rsid w:val="0038329D"/>
    <w:rsid w:val="003F4277"/>
    <w:rsid w:val="0041628E"/>
    <w:rsid w:val="004262CB"/>
    <w:rsid w:val="00476C51"/>
    <w:rsid w:val="00482A85"/>
    <w:rsid w:val="004C4647"/>
    <w:rsid w:val="004C5701"/>
    <w:rsid w:val="00506B61"/>
    <w:rsid w:val="00511CD0"/>
    <w:rsid w:val="00534994"/>
    <w:rsid w:val="00565630"/>
    <w:rsid w:val="005A2D9D"/>
    <w:rsid w:val="005E2475"/>
    <w:rsid w:val="006154B4"/>
    <w:rsid w:val="00637DD4"/>
    <w:rsid w:val="0064114A"/>
    <w:rsid w:val="006B6957"/>
    <w:rsid w:val="006E5409"/>
    <w:rsid w:val="00703763"/>
    <w:rsid w:val="007618E9"/>
    <w:rsid w:val="00761D18"/>
    <w:rsid w:val="00793507"/>
    <w:rsid w:val="007F12B5"/>
    <w:rsid w:val="008224F2"/>
    <w:rsid w:val="00853BB2"/>
    <w:rsid w:val="0085672B"/>
    <w:rsid w:val="0089315A"/>
    <w:rsid w:val="008941B9"/>
    <w:rsid w:val="008C2A7E"/>
    <w:rsid w:val="00950CFA"/>
    <w:rsid w:val="00A11BE3"/>
    <w:rsid w:val="00A12BEB"/>
    <w:rsid w:val="00A27AE3"/>
    <w:rsid w:val="00A43503"/>
    <w:rsid w:val="00A627C0"/>
    <w:rsid w:val="00A742AC"/>
    <w:rsid w:val="00AB17FD"/>
    <w:rsid w:val="00AD27B5"/>
    <w:rsid w:val="00B271EA"/>
    <w:rsid w:val="00B32FC4"/>
    <w:rsid w:val="00BD1C16"/>
    <w:rsid w:val="00BD5D18"/>
    <w:rsid w:val="00BF0205"/>
    <w:rsid w:val="00C34BFD"/>
    <w:rsid w:val="00CA26F1"/>
    <w:rsid w:val="00CC11F2"/>
    <w:rsid w:val="00CF33E6"/>
    <w:rsid w:val="00D318C2"/>
    <w:rsid w:val="00D33F35"/>
    <w:rsid w:val="00DA4D86"/>
    <w:rsid w:val="00DD78B6"/>
    <w:rsid w:val="00DE754B"/>
    <w:rsid w:val="00E3494B"/>
    <w:rsid w:val="00E714BD"/>
    <w:rsid w:val="00EB2658"/>
    <w:rsid w:val="00F13F51"/>
    <w:rsid w:val="00F65993"/>
    <w:rsid w:val="00F9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DF86B2"/>
  <w15:chartTrackingRefBased/>
  <w15:docId w15:val="{D2A6D817-A6C4-CF4C-84DD-8A23A288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20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14E2D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14E2D"/>
    <w:rPr>
      <w:rFonts w:ascii="Times New Roman" w:hAnsi="Times New Roman" w:cs="Times New Roman"/>
      <w:sz w:val="18"/>
      <w:szCs w:val="18"/>
    </w:rPr>
  </w:style>
  <w:style w:type="paragraph" w:styleId="Billedtekst">
    <w:name w:val="caption"/>
    <w:basedOn w:val="Normal"/>
    <w:next w:val="Normal"/>
    <w:link w:val="BilledtekstTegn"/>
    <w:uiPriority w:val="35"/>
    <w:unhideWhenUsed/>
    <w:qFormat/>
    <w:rsid w:val="0019393E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Tegn"/>
    <w:rsid w:val="00506B61"/>
    <w:pPr>
      <w:jc w:val="center"/>
    </w:pPr>
    <w:rPr>
      <w:rFonts w:ascii="Calibri" w:hAnsi="Calibri" w:cs="Calibri"/>
      <w:lang w:val="en-US"/>
    </w:rPr>
  </w:style>
  <w:style w:type="character" w:customStyle="1" w:styleId="BilledtekstTegn">
    <w:name w:val="Billedtekst Tegn"/>
    <w:basedOn w:val="Standardskrifttypeiafsnit"/>
    <w:link w:val="Billedtekst"/>
    <w:uiPriority w:val="35"/>
    <w:rsid w:val="00506B61"/>
    <w:rPr>
      <w:i/>
      <w:iCs/>
      <w:color w:val="44546A" w:themeColor="text2"/>
      <w:sz w:val="18"/>
      <w:szCs w:val="18"/>
    </w:rPr>
  </w:style>
  <w:style w:type="character" w:customStyle="1" w:styleId="EndNoteBibliographyTitleTegn">
    <w:name w:val="EndNote Bibliography Title Tegn"/>
    <w:basedOn w:val="BilledtekstTegn"/>
    <w:link w:val="EndNoteBibliographyTitle"/>
    <w:rsid w:val="00506B61"/>
    <w:rPr>
      <w:rFonts w:ascii="Calibri" w:hAnsi="Calibri" w:cs="Calibri"/>
      <w:i w:val="0"/>
      <w:iCs w:val="0"/>
      <w:color w:val="44546A" w:themeColor="text2"/>
      <w:sz w:val="18"/>
      <w:szCs w:val="18"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506B61"/>
    <w:rPr>
      <w:rFonts w:ascii="Calibri" w:hAnsi="Calibri" w:cs="Calibri"/>
      <w:lang w:val="en-US"/>
    </w:rPr>
  </w:style>
  <w:style w:type="character" w:customStyle="1" w:styleId="EndNoteBibliographyTegn">
    <w:name w:val="EndNote Bibliography Tegn"/>
    <w:basedOn w:val="BilledtekstTegn"/>
    <w:link w:val="EndNoteBibliography"/>
    <w:rsid w:val="00506B61"/>
    <w:rPr>
      <w:rFonts w:ascii="Calibri" w:hAnsi="Calibri" w:cs="Calibri"/>
      <w:i w:val="0"/>
      <w:iCs w:val="0"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130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Andersen</dc:creator>
  <cp:keywords/>
  <dc:description/>
  <cp:lastModifiedBy>Lars Andersen</cp:lastModifiedBy>
  <cp:revision>29</cp:revision>
  <dcterms:created xsi:type="dcterms:W3CDTF">2020-10-22T13:22:00Z</dcterms:created>
  <dcterms:modified xsi:type="dcterms:W3CDTF">2021-06-28T00:28:00Z</dcterms:modified>
</cp:coreProperties>
</file>