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C33F08" w14:textId="3DE54D25" w:rsidR="00426A7E" w:rsidRPr="00426A7E" w:rsidRDefault="00BF0205" w:rsidP="00BF0205">
      <w:pPr>
        <w:rPr>
          <w:b/>
          <w:bCs/>
          <w:sz w:val="28"/>
          <w:szCs w:val="28"/>
          <w:lang w:val="en-GB"/>
        </w:rPr>
      </w:pPr>
      <w:r w:rsidRPr="00F5306C">
        <w:rPr>
          <w:b/>
          <w:bCs/>
          <w:sz w:val="28"/>
          <w:szCs w:val="28"/>
          <w:lang w:val="en-GB"/>
        </w:rPr>
        <w:t>Supplementary Figure S</w:t>
      </w:r>
      <w:r w:rsidR="00E66DBC">
        <w:rPr>
          <w:b/>
          <w:bCs/>
          <w:sz w:val="28"/>
          <w:szCs w:val="28"/>
          <w:lang w:val="en-GB"/>
        </w:rPr>
        <w:t>2</w:t>
      </w:r>
    </w:p>
    <w:p w14:paraId="2ED67713" w14:textId="0561A1DF" w:rsidR="009301AE" w:rsidRPr="00684D83" w:rsidRDefault="00426A7E" w:rsidP="009301AE">
      <w:pPr>
        <w:jc w:val="center"/>
        <w:rPr>
          <w:b/>
          <w:lang w:val="en-GB"/>
        </w:rPr>
      </w:pPr>
      <w:r>
        <w:rPr>
          <w:b/>
          <w:noProof/>
          <w:lang w:val="en-GB"/>
        </w:rPr>
        <w:drawing>
          <wp:inline distT="0" distB="0" distL="0" distR="0" wp14:anchorId="0D8B8CCE" wp14:editId="0E3AE730">
            <wp:extent cx="5068956" cy="7128250"/>
            <wp:effectExtent l="0" t="0" r="0" b="0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lede 1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111"/>
                    <a:stretch/>
                  </pic:blipFill>
                  <pic:spPr bwMode="auto">
                    <a:xfrm>
                      <a:off x="0" y="0"/>
                      <a:ext cx="5077099" cy="71397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DB3780" w14:textId="748B3D18" w:rsidR="002E467E" w:rsidRPr="00426A7E" w:rsidRDefault="009301AE" w:rsidP="00426A7E">
      <w:pPr>
        <w:pStyle w:val="Billedtekst"/>
        <w:jc w:val="both"/>
        <w:rPr>
          <w:b/>
          <w:i w:val="0"/>
          <w:iCs w:val="0"/>
          <w:color w:val="auto"/>
          <w:sz w:val="24"/>
          <w:szCs w:val="24"/>
          <w:lang w:val="en-GB"/>
        </w:rPr>
      </w:pPr>
      <w:r>
        <w:rPr>
          <w:b/>
          <w:bCs/>
          <w:i w:val="0"/>
          <w:iCs w:val="0"/>
          <w:color w:val="auto"/>
          <w:sz w:val="24"/>
          <w:szCs w:val="24"/>
          <w:lang w:val="en-GB"/>
        </w:rPr>
        <w:t xml:space="preserve">Supplementary </w:t>
      </w:r>
      <w:r w:rsidRPr="00684D83">
        <w:rPr>
          <w:b/>
          <w:bCs/>
          <w:i w:val="0"/>
          <w:iCs w:val="0"/>
          <w:color w:val="auto"/>
          <w:sz w:val="24"/>
          <w:szCs w:val="24"/>
          <w:lang w:val="en-GB"/>
        </w:rPr>
        <w:t>Figure</w:t>
      </w:r>
      <w:r>
        <w:rPr>
          <w:b/>
          <w:bCs/>
          <w:i w:val="0"/>
          <w:iCs w:val="0"/>
          <w:color w:val="auto"/>
          <w:sz w:val="24"/>
          <w:szCs w:val="24"/>
          <w:lang w:val="en-GB"/>
        </w:rPr>
        <w:t xml:space="preserve"> S</w:t>
      </w:r>
      <w:r w:rsidR="00634E50">
        <w:rPr>
          <w:b/>
          <w:bCs/>
          <w:i w:val="0"/>
          <w:iCs w:val="0"/>
          <w:color w:val="auto"/>
          <w:sz w:val="24"/>
          <w:szCs w:val="24"/>
          <w:lang w:val="en-GB"/>
        </w:rPr>
        <w:t>2</w:t>
      </w:r>
      <w:r w:rsidRPr="00684D83">
        <w:rPr>
          <w:b/>
          <w:bCs/>
          <w:i w:val="0"/>
          <w:iCs w:val="0"/>
          <w:color w:val="auto"/>
          <w:sz w:val="24"/>
          <w:szCs w:val="24"/>
          <w:lang w:val="en-GB"/>
        </w:rPr>
        <w:t>.</w:t>
      </w:r>
      <w:r w:rsidRPr="00684D83">
        <w:rPr>
          <w:i w:val="0"/>
          <w:iCs w:val="0"/>
          <w:color w:val="auto"/>
          <w:sz w:val="24"/>
          <w:szCs w:val="24"/>
          <w:lang w:val="en-GB"/>
        </w:rPr>
        <w:t xml:space="preserve"> </w:t>
      </w:r>
      <w:r w:rsidR="00720401" w:rsidRPr="00720401">
        <w:rPr>
          <w:b/>
          <w:bCs/>
          <w:i w:val="0"/>
          <w:iCs w:val="0"/>
          <w:color w:val="auto"/>
          <w:sz w:val="24"/>
          <w:szCs w:val="24"/>
          <w:lang w:val="en-GB"/>
        </w:rPr>
        <w:t>Landscape of Somatic Mutations</w:t>
      </w:r>
      <w:r w:rsidR="00720401" w:rsidRPr="00720401">
        <w:rPr>
          <w:b/>
          <w:bCs/>
          <w:i w:val="0"/>
          <w:iCs w:val="0"/>
          <w:color w:val="auto"/>
          <w:sz w:val="24"/>
          <w:szCs w:val="24"/>
          <w:lang w:val="en-GB"/>
        </w:rPr>
        <w:t>.</w:t>
      </w:r>
      <w:r w:rsidR="00720401" w:rsidRPr="00720401">
        <w:rPr>
          <w:i w:val="0"/>
          <w:iCs w:val="0"/>
          <w:color w:val="auto"/>
          <w:sz w:val="24"/>
          <w:szCs w:val="24"/>
          <w:lang w:val="en-GB"/>
        </w:rPr>
        <w:t xml:space="preserve"> </w:t>
      </w:r>
      <w:r w:rsidRPr="00684D83">
        <w:rPr>
          <w:i w:val="0"/>
          <w:iCs w:val="0"/>
          <w:color w:val="auto"/>
          <w:sz w:val="24"/>
          <w:szCs w:val="24"/>
          <w:lang w:val="en-GB"/>
        </w:rPr>
        <w:t>Landscape of somatic mutations in 23 non-</w:t>
      </w:r>
      <w:r w:rsidRPr="003749E6">
        <w:rPr>
          <w:color w:val="auto"/>
          <w:sz w:val="24"/>
          <w:szCs w:val="24"/>
          <w:lang w:val="en-GB"/>
        </w:rPr>
        <w:t>BRCA1/BRCA2</w:t>
      </w:r>
      <w:r w:rsidRPr="00684D83">
        <w:rPr>
          <w:i w:val="0"/>
          <w:iCs w:val="0"/>
          <w:color w:val="auto"/>
          <w:sz w:val="24"/>
          <w:szCs w:val="24"/>
          <w:lang w:val="en-GB"/>
        </w:rPr>
        <w:t xml:space="preserve"> familial breast cancers, four </w:t>
      </w:r>
      <w:r w:rsidRPr="003749E6">
        <w:rPr>
          <w:color w:val="auto"/>
          <w:sz w:val="24"/>
          <w:szCs w:val="24"/>
          <w:lang w:val="en-GB"/>
        </w:rPr>
        <w:t xml:space="preserve">BRCA1 </w:t>
      </w:r>
      <w:r>
        <w:rPr>
          <w:i w:val="0"/>
          <w:iCs w:val="0"/>
          <w:color w:val="auto"/>
          <w:sz w:val="24"/>
          <w:szCs w:val="24"/>
          <w:lang w:val="en-GB"/>
        </w:rPr>
        <w:t>positive carriers</w:t>
      </w:r>
      <w:r w:rsidRPr="00684D83">
        <w:rPr>
          <w:i w:val="0"/>
          <w:iCs w:val="0"/>
          <w:color w:val="auto"/>
          <w:sz w:val="24"/>
          <w:szCs w:val="24"/>
          <w:lang w:val="en-GB"/>
        </w:rPr>
        <w:t xml:space="preserve"> (</w:t>
      </w:r>
      <w:r>
        <w:rPr>
          <w:i w:val="0"/>
          <w:iCs w:val="0"/>
          <w:color w:val="auto"/>
          <w:sz w:val="24"/>
          <w:szCs w:val="24"/>
          <w:lang w:val="en-GB"/>
        </w:rPr>
        <w:t xml:space="preserve">tumours </w:t>
      </w:r>
      <w:r w:rsidRPr="00684D83">
        <w:rPr>
          <w:i w:val="0"/>
          <w:iCs w:val="0"/>
          <w:color w:val="auto"/>
          <w:sz w:val="24"/>
          <w:szCs w:val="24"/>
          <w:lang w:val="en-GB"/>
        </w:rPr>
        <w:t>40-43) and three</w:t>
      </w:r>
      <w:r w:rsidRPr="003749E6">
        <w:rPr>
          <w:color w:val="auto"/>
          <w:sz w:val="24"/>
          <w:szCs w:val="24"/>
          <w:lang w:val="en-GB"/>
        </w:rPr>
        <w:t xml:space="preserve"> BRCA2 </w:t>
      </w:r>
      <w:r>
        <w:rPr>
          <w:i w:val="0"/>
          <w:iCs w:val="0"/>
          <w:color w:val="auto"/>
          <w:sz w:val="24"/>
          <w:szCs w:val="24"/>
          <w:lang w:val="en-GB"/>
        </w:rPr>
        <w:t>positive carriers</w:t>
      </w:r>
      <w:r w:rsidRPr="00684D83">
        <w:rPr>
          <w:i w:val="0"/>
          <w:iCs w:val="0"/>
          <w:color w:val="auto"/>
          <w:sz w:val="24"/>
          <w:szCs w:val="24"/>
          <w:lang w:val="en-GB"/>
        </w:rPr>
        <w:t xml:space="preserve"> (</w:t>
      </w:r>
      <w:r>
        <w:rPr>
          <w:i w:val="0"/>
          <w:iCs w:val="0"/>
          <w:color w:val="auto"/>
          <w:sz w:val="24"/>
          <w:szCs w:val="24"/>
          <w:lang w:val="en-GB"/>
        </w:rPr>
        <w:t>tumours</w:t>
      </w:r>
      <w:r w:rsidRPr="00684D83">
        <w:rPr>
          <w:i w:val="0"/>
          <w:iCs w:val="0"/>
          <w:color w:val="auto"/>
          <w:sz w:val="24"/>
          <w:szCs w:val="24"/>
          <w:lang w:val="en-GB"/>
        </w:rPr>
        <w:t xml:space="preserve"> 45-47) ordered </w:t>
      </w:r>
      <w:r>
        <w:rPr>
          <w:i w:val="0"/>
          <w:iCs w:val="0"/>
          <w:color w:val="auto"/>
          <w:sz w:val="24"/>
          <w:szCs w:val="24"/>
          <w:lang w:val="en-GB"/>
        </w:rPr>
        <w:t>by</w:t>
      </w:r>
      <w:r w:rsidRPr="00684D83">
        <w:rPr>
          <w:i w:val="0"/>
          <w:iCs w:val="0"/>
          <w:color w:val="auto"/>
          <w:sz w:val="24"/>
          <w:szCs w:val="24"/>
          <w:lang w:val="en-GB"/>
        </w:rPr>
        <w:t xml:space="preserve"> HRDetect score</w:t>
      </w:r>
      <w:r>
        <w:rPr>
          <w:i w:val="0"/>
          <w:iCs w:val="0"/>
          <w:color w:val="auto"/>
          <w:sz w:val="24"/>
          <w:szCs w:val="24"/>
          <w:lang w:val="en-GB"/>
        </w:rPr>
        <w:t>, and BRCA1/BRCA2 positive carriers are ordered by BRCA status</w:t>
      </w:r>
      <w:r w:rsidRPr="00684D83">
        <w:rPr>
          <w:i w:val="0"/>
          <w:iCs w:val="0"/>
          <w:color w:val="auto"/>
          <w:sz w:val="24"/>
          <w:szCs w:val="24"/>
          <w:lang w:val="en-GB"/>
        </w:rPr>
        <w:t xml:space="preserve">. </w:t>
      </w:r>
      <w:r>
        <w:rPr>
          <w:i w:val="0"/>
          <w:iCs w:val="0"/>
          <w:color w:val="auto"/>
          <w:sz w:val="24"/>
          <w:szCs w:val="24"/>
          <w:lang w:val="en-GB"/>
        </w:rPr>
        <w:t>a</w:t>
      </w:r>
      <w:r w:rsidRPr="00684D83">
        <w:rPr>
          <w:i w:val="0"/>
          <w:iCs w:val="0"/>
          <w:color w:val="auto"/>
          <w:sz w:val="24"/>
          <w:szCs w:val="24"/>
          <w:lang w:val="en-GB"/>
        </w:rPr>
        <w:t>) Clinical and mutational annotation for each sample</w:t>
      </w:r>
      <w:r>
        <w:rPr>
          <w:i w:val="0"/>
          <w:iCs w:val="0"/>
          <w:color w:val="auto"/>
          <w:sz w:val="24"/>
          <w:szCs w:val="24"/>
          <w:lang w:val="en-GB"/>
        </w:rPr>
        <w:t>.</w:t>
      </w:r>
      <w:r w:rsidRPr="00FB760E">
        <w:rPr>
          <w:i w:val="0"/>
          <w:iCs w:val="0"/>
          <w:color w:val="auto"/>
          <w:sz w:val="24"/>
          <w:szCs w:val="24"/>
          <w:lang w:val="en-US"/>
        </w:rPr>
        <w:t xml:space="preserve"> </w:t>
      </w:r>
      <w:r>
        <w:rPr>
          <w:i w:val="0"/>
          <w:iCs w:val="0"/>
          <w:color w:val="auto"/>
          <w:sz w:val="24"/>
          <w:szCs w:val="24"/>
          <w:lang w:val="en-US"/>
        </w:rPr>
        <w:t>b</w:t>
      </w:r>
      <w:r w:rsidRPr="00684D83">
        <w:rPr>
          <w:i w:val="0"/>
          <w:iCs w:val="0"/>
          <w:color w:val="auto"/>
          <w:sz w:val="24"/>
          <w:szCs w:val="24"/>
          <w:lang w:val="en-GB"/>
        </w:rPr>
        <w:t>) BRCAness predictions: HRDetect prediction score</w:t>
      </w:r>
      <w:r w:rsidR="00720401">
        <w:rPr>
          <w:i w:val="0"/>
          <w:iCs w:val="0"/>
          <w:color w:val="auto"/>
          <w:sz w:val="24"/>
          <w:szCs w:val="24"/>
          <w:lang w:val="en-GB"/>
        </w:rPr>
        <w:t xml:space="preserve"> (scores above 0.7 considered BRCAness)</w:t>
      </w:r>
      <w:r w:rsidRPr="00684D83">
        <w:rPr>
          <w:i w:val="0"/>
          <w:iCs w:val="0"/>
          <w:color w:val="auto"/>
          <w:sz w:val="24"/>
          <w:szCs w:val="24"/>
          <w:lang w:val="en-GB"/>
        </w:rPr>
        <w:t xml:space="preserve"> and RNA </w:t>
      </w:r>
      <w:r>
        <w:rPr>
          <w:i w:val="0"/>
          <w:iCs w:val="0"/>
          <w:color w:val="auto"/>
          <w:sz w:val="24"/>
          <w:szCs w:val="24"/>
          <w:lang w:val="en-GB"/>
        </w:rPr>
        <w:t>classifier</w:t>
      </w:r>
      <w:r w:rsidRPr="00684D83">
        <w:rPr>
          <w:i w:val="0"/>
          <w:iCs w:val="0"/>
          <w:color w:val="auto"/>
          <w:sz w:val="24"/>
          <w:szCs w:val="24"/>
          <w:lang w:val="en-GB"/>
        </w:rPr>
        <w:t xml:space="preserve"> predictions. </w:t>
      </w:r>
      <w:r>
        <w:rPr>
          <w:i w:val="0"/>
          <w:iCs w:val="0"/>
          <w:color w:val="auto"/>
          <w:sz w:val="24"/>
          <w:szCs w:val="24"/>
          <w:lang w:val="en-GB"/>
        </w:rPr>
        <w:t>c</w:t>
      </w:r>
      <w:r w:rsidRPr="00684D83">
        <w:rPr>
          <w:i w:val="0"/>
          <w:iCs w:val="0"/>
          <w:color w:val="auto"/>
          <w:sz w:val="24"/>
          <w:szCs w:val="24"/>
          <w:lang w:val="en-GB"/>
        </w:rPr>
        <w:t xml:space="preserve">) </w:t>
      </w:r>
      <w:r>
        <w:rPr>
          <w:i w:val="0"/>
          <w:iCs w:val="0"/>
          <w:color w:val="auto"/>
          <w:sz w:val="24"/>
          <w:szCs w:val="24"/>
          <w:lang w:val="en-GB"/>
        </w:rPr>
        <w:t>S</w:t>
      </w:r>
      <w:r w:rsidRPr="00684D83">
        <w:rPr>
          <w:i w:val="0"/>
          <w:iCs w:val="0"/>
          <w:color w:val="auto"/>
          <w:sz w:val="24"/>
          <w:szCs w:val="24"/>
          <w:lang w:val="en-GB"/>
        </w:rPr>
        <w:t xml:space="preserve">omatic </w:t>
      </w:r>
      <w:r>
        <w:rPr>
          <w:i w:val="0"/>
          <w:iCs w:val="0"/>
          <w:color w:val="auto"/>
          <w:sz w:val="24"/>
          <w:szCs w:val="24"/>
          <w:lang w:val="en-GB"/>
        </w:rPr>
        <w:t xml:space="preserve">substitution and indel </w:t>
      </w:r>
      <w:r w:rsidRPr="00684D83">
        <w:rPr>
          <w:i w:val="0"/>
          <w:iCs w:val="0"/>
          <w:color w:val="auto"/>
          <w:sz w:val="24"/>
          <w:szCs w:val="24"/>
          <w:lang w:val="en-GB"/>
        </w:rPr>
        <w:t xml:space="preserve">driver mutations </w:t>
      </w:r>
      <w:r>
        <w:rPr>
          <w:i w:val="0"/>
          <w:iCs w:val="0"/>
          <w:color w:val="auto"/>
          <w:sz w:val="24"/>
          <w:szCs w:val="24"/>
          <w:lang w:val="en-GB"/>
        </w:rPr>
        <w:t>d</w:t>
      </w:r>
      <w:r w:rsidRPr="00684D83">
        <w:rPr>
          <w:i w:val="0"/>
          <w:iCs w:val="0"/>
          <w:color w:val="auto"/>
          <w:sz w:val="24"/>
          <w:szCs w:val="24"/>
          <w:lang w:val="en-GB"/>
        </w:rPr>
        <w:t xml:space="preserve">) Number of substitutions in each </w:t>
      </w:r>
      <w:r w:rsidRPr="00963E15">
        <w:rPr>
          <w:i w:val="0"/>
          <w:iCs w:val="0"/>
          <w:color w:val="auto"/>
          <w:sz w:val="24"/>
          <w:szCs w:val="24"/>
          <w:lang w:val="en-GB"/>
        </w:rPr>
        <w:t>breast cancer</w:t>
      </w:r>
      <w:r w:rsidRPr="00684D83">
        <w:rPr>
          <w:i w:val="0"/>
          <w:iCs w:val="0"/>
          <w:color w:val="auto"/>
          <w:sz w:val="24"/>
          <w:szCs w:val="24"/>
          <w:lang w:val="en-GB"/>
        </w:rPr>
        <w:t xml:space="preserve"> genome, categorised by the type of mutation. </w:t>
      </w:r>
      <w:r>
        <w:rPr>
          <w:i w:val="0"/>
          <w:iCs w:val="0"/>
          <w:color w:val="auto"/>
          <w:sz w:val="24"/>
          <w:szCs w:val="24"/>
          <w:lang w:val="en-GB"/>
        </w:rPr>
        <w:t>e</w:t>
      </w:r>
      <w:r w:rsidRPr="00684D83">
        <w:rPr>
          <w:i w:val="0"/>
          <w:iCs w:val="0"/>
          <w:color w:val="auto"/>
          <w:sz w:val="24"/>
          <w:szCs w:val="24"/>
          <w:lang w:val="en-GB"/>
        </w:rPr>
        <w:t xml:space="preserve">) Number of rearrangements, categorised by rearrangement type: Deletion, duplication, inversion and translocation. </w:t>
      </w:r>
      <w:r>
        <w:rPr>
          <w:i w:val="0"/>
          <w:iCs w:val="0"/>
          <w:color w:val="auto"/>
          <w:sz w:val="24"/>
          <w:szCs w:val="24"/>
          <w:lang w:val="en-GB"/>
        </w:rPr>
        <w:t>f</w:t>
      </w:r>
      <w:r w:rsidRPr="00684D83">
        <w:rPr>
          <w:i w:val="0"/>
          <w:iCs w:val="0"/>
          <w:color w:val="auto"/>
          <w:sz w:val="24"/>
          <w:szCs w:val="24"/>
          <w:lang w:val="en-GB"/>
        </w:rPr>
        <w:t>) Number of indels, subcategorised in deletion of microhomology, deletion repeat, other types of deletion, insertion and complex indels.</w:t>
      </w:r>
    </w:p>
    <w:sectPr w:rsidR="002E467E" w:rsidRPr="00426A7E" w:rsidSect="00426A7E">
      <w:pgSz w:w="11900" w:h="16840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3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205"/>
    <w:rsid w:val="00054304"/>
    <w:rsid w:val="000F3BC6"/>
    <w:rsid w:val="00114E2D"/>
    <w:rsid w:val="001D0831"/>
    <w:rsid w:val="001D5B38"/>
    <w:rsid w:val="00274D8C"/>
    <w:rsid w:val="002804A1"/>
    <w:rsid w:val="002B614D"/>
    <w:rsid w:val="002E467E"/>
    <w:rsid w:val="002E7742"/>
    <w:rsid w:val="002F1F08"/>
    <w:rsid w:val="003C4981"/>
    <w:rsid w:val="003F4277"/>
    <w:rsid w:val="0041628E"/>
    <w:rsid w:val="004262CB"/>
    <w:rsid w:val="00426A7E"/>
    <w:rsid w:val="00476C51"/>
    <w:rsid w:val="00482A85"/>
    <w:rsid w:val="004C4647"/>
    <w:rsid w:val="004C5701"/>
    <w:rsid w:val="00511CD0"/>
    <w:rsid w:val="005A2D9D"/>
    <w:rsid w:val="006154B4"/>
    <w:rsid w:val="00634E50"/>
    <w:rsid w:val="00637DD4"/>
    <w:rsid w:val="006B6957"/>
    <w:rsid w:val="006E5409"/>
    <w:rsid w:val="00720401"/>
    <w:rsid w:val="007618E9"/>
    <w:rsid w:val="00794E76"/>
    <w:rsid w:val="007D3FD9"/>
    <w:rsid w:val="007F12B5"/>
    <w:rsid w:val="008224F2"/>
    <w:rsid w:val="00853BB2"/>
    <w:rsid w:val="00883D4A"/>
    <w:rsid w:val="0089315A"/>
    <w:rsid w:val="008941B9"/>
    <w:rsid w:val="008C2A7E"/>
    <w:rsid w:val="009301AE"/>
    <w:rsid w:val="00A11BE3"/>
    <w:rsid w:val="00A12BEB"/>
    <w:rsid w:val="00A27AE3"/>
    <w:rsid w:val="00A43503"/>
    <w:rsid w:val="00AB17FD"/>
    <w:rsid w:val="00AD27B5"/>
    <w:rsid w:val="00B271EA"/>
    <w:rsid w:val="00B32FC4"/>
    <w:rsid w:val="00BD1C16"/>
    <w:rsid w:val="00BF0205"/>
    <w:rsid w:val="00CA26F1"/>
    <w:rsid w:val="00CC11F2"/>
    <w:rsid w:val="00CF33E6"/>
    <w:rsid w:val="00D33F35"/>
    <w:rsid w:val="00DA4D86"/>
    <w:rsid w:val="00DE754B"/>
    <w:rsid w:val="00E66DBC"/>
    <w:rsid w:val="00E714BD"/>
    <w:rsid w:val="00F13F51"/>
    <w:rsid w:val="00F5306C"/>
    <w:rsid w:val="00F97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F86B2"/>
  <w15:chartTrackingRefBased/>
  <w15:docId w15:val="{D2A6D817-A6C4-CF4C-84DD-8A23A288D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0205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114E2D"/>
    <w:rPr>
      <w:rFonts w:ascii="Times New Roman" w:hAnsi="Times New Roman" w:cs="Times New Roman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114E2D"/>
    <w:rPr>
      <w:rFonts w:ascii="Times New Roman" w:hAnsi="Times New Roman" w:cs="Times New Roman"/>
      <w:sz w:val="18"/>
      <w:szCs w:val="18"/>
    </w:rPr>
  </w:style>
  <w:style w:type="paragraph" w:styleId="Billedtekst">
    <w:name w:val="caption"/>
    <w:basedOn w:val="Normal"/>
    <w:next w:val="Normal"/>
    <w:uiPriority w:val="35"/>
    <w:unhideWhenUsed/>
    <w:qFormat/>
    <w:rsid w:val="009301AE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129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Andersen</dc:creator>
  <cp:keywords/>
  <dc:description/>
  <cp:lastModifiedBy>Lars Andersen</cp:lastModifiedBy>
  <cp:revision>17</cp:revision>
  <dcterms:created xsi:type="dcterms:W3CDTF">2020-10-22T13:22:00Z</dcterms:created>
  <dcterms:modified xsi:type="dcterms:W3CDTF">2021-06-28T00:28:00Z</dcterms:modified>
</cp:coreProperties>
</file>