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60B8E6" w14:textId="65AE7F83" w:rsidR="002273D7" w:rsidRDefault="00000000">
      <w:pPr>
        <w:tabs>
          <w:tab w:val="left" w:pos="1747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eastAsia="宋体" w:hAnsi="Times New Roman"/>
          <w:b/>
          <w:bCs/>
          <w:sz w:val="24"/>
          <w:szCs w:val="24"/>
        </w:rPr>
        <w:t>Supplementary Fig</w:t>
      </w:r>
      <w:r w:rsidR="001F1116">
        <w:rPr>
          <w:rFonts w:ascii="Times New Roman" w:eastAsia="宋体" w:hAnsi="Times New Roman" w:hint="eastAsia"/>
          <w:b/>
          <w:bCs/>
          <w:sz w:val="24"/>
          <w:szCs w:val="24"/>
        </w:rPr>
        <w:t>. 1</w:t>
      </w:r>
      <w:r>
        <w:rPr>
          <w:rFonts w:ascii="Times New Roman" w:hAnsi="Times New Roman"/>
        </w:rPr>
        <w:t xml:space="preserve"> </w:t>
      </w:r>
      <w:r w:rsidRPr="001F1116">
        <w:rPr>
          <w:rFonts w:ascii="Times New Roman" w:hAnsi="Times New Roman"/>
          <w:b/>
          <w:bCs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a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Mouse genotyping results. The figure illustrates that the DNA band sizes for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Nras</w:t>
      </w:r>
      <w:proofErr w:type="spellEnd"/>
      <w:r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 xml:space="preserve"> mice are 487 bp and 345 bp, indicating a heterozygous state. The DNA band size for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VavCre</w:t>
      </w:r>
      <w:proofErr w:type="spellEnd"/>
      <w:r>
        <w:rPr>
          <w:rFonts w:ascii="Times New Roman" w:hAnsi="Times New Roman"/>
          <w:sz w:val="24"/>
          <w:szCs w:val="24"/>
        </w:rPr>
        <w:t xml:space="preserve"> mice is 236 bp, indicating the expression of Cre recombinase.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b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Bar chart illustrating the proportion of CD11b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 xml:space="preserve"> cells in PB, SP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and BM of CMML and </w:t>
      </w:r>
      <w:r>
        <w:rPr>
          <w:rFonts w:ascii="Times New Roman" w:hAnsi="Times New Roman" w:hint="eastAsia"/>
          <w:sz w:val="24"/>
          <w:szCs w:val="24"/>
        </w:rPr>
        <w:t>WT</w:t>
      </w:r>
      <w:r>
        <w:rPr>
          <w:rFonts w:ascii="Times New Roman" w:hAnsi="Times New Roman"/>
          <w:sz w:val="24"/>
          <w:szCs w:val="24"/>
        </w:rPr>
        <w:t xml:space="preserve"> mice (n = 15).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c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Dynamic monitoring of the proportion of CD11b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 xml:space="preserve"> cells in </w:t>
      </w:r>
      <w:r>
        <w:rPr>
          <w:rFonts w:ascii="Times New Roman" w:hAnsi="Times New Roman" w:hint="eastAsia"/>
          <w:sz w:val="24"/>
          <w:szCs w:val="24"/>
        </w:rPr>
        <w:t xml:space="preserve">the </w:t>
      </w:r>
      <w:r>
        <w:rPr>
          <w:rFonts w:ascii="Times New Roman" w:hAnsi="Times New Roman"/>
          <w:sz w:val="24"/>
          <w:szCs w:val="24"/>
        </w:rPr>
        <w:t xml:space="preserve">PB of mice each month after birth. Data are presented as mean ± SD (n = 5).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>
        <w:rPr>
          <w:rFonts w:ascii="Times New Roman" w:hAnsi="Times New Roman" w:hint="eastAsia"/>
          <w:b/>
          <w:bCs/>
          <w:sz w:val="24"/>
          <w:szCs w:val="24"/>
        </w:rPr>
        <w:t>d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Flow cytometry plots and bar charts illustrating the gating strategy and the ratio of CD3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>CD4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 cells, CD3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>CD8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 cells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and Treg cells in </w:t>
      </w:r>
      <w:r>
        <w:rPr>
          <w:rFonts w:ascii="Times New Roman" w:hAnsi="Times New Roman" w:hint="eastAsia"/>
          <w:sz w:val="24"/>
          <w:szCs w:val="24"/>
        </w:rPr>
        <w:t xml:space="preserve">the </w:t>
      </w:r>
      <w:r>
        <w:rPr>
          <w:rFonts w:ascii="Times New Roman" w:hAnsi="Times New Roman"/>
          <w:sz w:val="24"/>
          <w:szCs w:val="24"/>
        </w:rPr>
        <w:t xml:space="preserve">BM of WT,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Nras</w:t>
      </w:r>
      <w:proofErr w:type="spellEnd"/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  <w:vertAlign w:val="superscript"/>
        </w:rPr>
        <w:t>-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VavCre</w:t>
      </w:r>
      <w:proofErr w:type="spellEnd"/>
      <w:r>
        <w:rPr>
          <w:rFonts w:ascii="Times New Roman" w:hAnsi="Times New Roman"/>
          <w:sz w:val="24"/>
          <w:szCs w:val="24"/>
        </w:rPr>
        <w:t xml:space="preserve"> and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Nras</w:t>
      </w:r>
      <w:proofErr w:type="spellEnd"/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 w:hint="eastAsia"/>
          <w:sz w:val="24"/>
          <w:szCs w:val="24"/>
          <w:vertAlign w:val="superscript"/>
        </w:rPr>
        <w:t>-</w:t>
      </w:r>
      <w:r>
        <w:rPr>
          <w:rFonts w:ascii="Times New Roman" w:hAnsi="Times New Roman"/>
          <w:i/>
          <w:iCs/>
          <w:sz w:val="24"/>
          <w:szCs w:val="24"/>
        </w:rPr>
        <w:t>Lyz2Cre</w:t>
      </w:r>
      <w:r>
        <w:rPr>
          <w:rFonts w:ascii="Times New Roman" w:hAnsi="Times New Roman"/>
          <w:sz w:val="24"/>
          <w:szCs w:val="24"/>
        </w:rPr>
        <w:t xml:space="preserve"> mice (n = 6). </w:t>
      </w:r>
    </w:p>
    <w:p w14:paraId="04A24007" w14:textId="77777777" w:rsidR="002273D7" w:rsidRDefault="00000000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14:paraId="5F7EF24E" w14:textId="0C4769C4" w:rsidR="002273D7" w:rsidRDefault="00000000">
      <w:pPr>
        <w:spacing w:line="360" w:lineRule="auto"/>
        <w:rPr>
          <w:rFonts w:ascii="Times New Roman" w:hAnsi="Times New Roman"/>
          <w:sz w:val="24"/>
          <w:szCs w:val="24"/>
          <w:lang w:val="en-GB"/>
        </w:rPr>
      </w:pPr>
      <w:r>
        <w:rPr>
          <w:rFonts w:ascii="Times New Roman" w:eastAsia="宋体" w:hAnsi="Times New Roman"/>
          <w:b/>
          <w:bCs/>
          <w:sz w:val="24"/>
          <w:szCs w:val="24"/>
        </w:rPr>
        <w:t>Supplementary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eastAsia="宋体" w:hAnsi="Times New Roman"/>
          <w:b/>
          <w:bCs/>
          <w:sz w:val="24"/>
          <w:szCs w:val="24"/>
        </w:rPr>
        <w:t>Fig</w:t>
      </w:r>
      <w:r w:rsidR="001F1116">
        <w:rPr>
          <w:rFonts w:ascii="Times New Roman" w:eastAsia="宋体" w:hAnsi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a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Upper: Comparison of the color of femurs and tibias from mice in WT, CMML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and Anti-CD69 groups. Lower: Comparison of centrifuged BM cells from mice in WT, CMML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and Anti-CD69 groups.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b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Upper: Flow cytometry plot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the gating strategy for sorting LK+LSK cells from the BM of mice. Lower: Flow cytometry plot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the gating strategy for purity assessment of sorted LK+LSK cells from the BM of mice.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c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Violin plot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CD69 expression on LK+LSK cells in the BM of mice in WT, CMML</w:t>
      </w:r>
      <w:r>
        <w:rPr>
          <w:rFonts w:ascii="Times New Roman" w:hAnsi="Times New Roman" w:hint="eastAsia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and Anti-CD69 groups (n = 3).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d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PPI network interaction analysis diagram of all interacting proteins in CMML and WT groups,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20 CD69 interacting proteins. The thickness of the lines represents the strength of interaction, with thicker lines indicating stronger interactions.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e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PPI network interaction analysis diagram of upregulated proteins in the CMML group and the WT group,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16 upregulated proteins. </w:t>
      </w:r>
      <w:r>
        <w:rPr>
          <w:rFonts w:ascii="Times New Roman" w:hAnsi="Times New Roman"/>
          <w:sz w:val="24"/>
          <w:szCs w:val="24"/>
          <w:lang w:val="en-GB"/>
        </w:rPr>
        <w:t>Thicker lines indicate greater interactions</w:t>
      </w:r>
      <w:r>
        <w:rPr>
          <w:rFonts w:ascii="Times New Roman" w:hAnsi="Times New Roman"/>
          <w:sz w:val="24"/>
          <w:szCs w:val="24"/>
        </w:rPr>
        <w:t xml:space="preserve">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PPI network interaction analysis diagram of all interacting proteins in the Anti-CD69 group and the CMML group,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seven CD69 interacting proteins. </w:t>
      </w:r>
      <w:r>
        <w:rPr>
          <w:rFonts w:ascii="Times New Roman" w:hAnsi="Times New Roman"/>
          <w:sz w:val="24"/>
          <w:szCs w:val="24"/>
          <w:lang w:val="en-GB"/>
        </w:rPr>
        <w:t>Thicker lines indicate greater interactions</w:t>
      </w:r>
      <w:r>
        <w:rPr>
          <w:rFonts w:ascii="Times New Roman" w:hAnsi="Times New Roman"/>
          <w:sz w:val="24"/>
          <w:szCs w:val="24"/>
        </w:rPr>
        <w:t xml:space="preserve">. </w:t>
      </w:r>
      <w:r w:rsidRPr="001F1116">
        <w:rPr>
          <w:rFonts w:ascii="Times New Roman" w:hAnsi="Times New Roman"/>
          <w:b/>
          <w:bCs/>
          <w:sz w:val="24"/>
          <w:szCs w:val="24"/>
        </w:rPr>
        <w:t>(</w:t>
      </w:r>
      <w:r w:rsidR="001F1116" w:rsidRPr="001F1116">
        <w:rPr>
          <w:rFonts w:ascii="Times New Roman" w:hAnsi="Times New Roman" w:hint="eastAsia"/>
          <w:b/>
          <w:bCs/>
          <w:sz w:val="24"/>
          <w:szCs w:val="24"/>
        </w:rPr>
        <w:t>g</w:t>
      </w:r>
      <w:r w:rsidRPr="001F1116"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PPI network interaction analysis diagram of downregulated interacting proteins in the Anti-CD69 group and the CMML group,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two downregulated proteins. </w:t>
      </w:r>
      <w:r>
        <w:rPr>
          <w:rFonts w:ascii="Times New Roman" w:hAnsi="Times New Roman"/>
          <w:sz w:val="24"/>
          <w:szCs w:val="24"/>
          <w:lang w:val="en-GB"/>
        </w:rPr>
        <w:t>Thicker lines indicate greater interactions.</w:t>
      </w:r>
    </w:p>
    <w:p w14:paraId="24228928" w14:textId="77777777" w:rsidR="002273D7" w:rsidRDefault="002273D7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BF48FCF" w14:textId="7D35A691" w:rsidR="002273D7" w:rsidRDefault="00000000">
      <w:pPr>
        <w:spacing w:line="360" w:lineRule="auto"/>
        <w:rPr>
          <w:rFonts w:ascii="Times New Roman" w:eastAsia="宋体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Supplementary Fig</w:t>
      </w:r>
      <w:r w:rsidR="001F1116">
        <w:rPr>
          <w:rFonts w:ascii="Times New Roman" w:hAnsi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Flow cytometry plots and bar charts </w:t>
      </w:r>
      <w:r>
        <w:rPr>
          <w:rFonts w:ascii="Times New Roman" w:eastAsia="宋体" w:hAnsi="Times New Roman" w:cs="Times New Roman"/>
          <w:sz w:val="24"/>
          <w:szCs w:val="24"/>
        </w:rPr>
        <w:t>illustrating</w:t>
      </w:r>
      <w:r>
        <w:rPr>
          <w:rFonts w:ascii="Times New Roman" w:hAnsi="Times New Roman"/>
          <w:sz w:val="24"/>
          <w:szCs w:val="24"/>
        </w:rPr>
        <w:t xml:space="preserve"> the gating </w:t>
      </w:r>
      <w:r>
        <w:rPr>
          <w:rFonts w:ascii="Times New Roman" w:hAnsi="Times New Roman"/>
          <w:sz w:val="24"/>
          <w:szCs w:val="24"/>
        </w:rPr>
        <w:lastRenderedPageBreak/>
        <w:t>strategy and the ratio of CD4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 and CD8</w:t>
      </w:r>
      <w:r>
        <w:rPr>
          <w:rFonts w:ascii="Times New Roman" w:hAnsi="Times New Roman"/>
          <w:sz w:val="24"/>
          <w:szCs w:val="24"/>
          <w:vertAlign w:val="superscript"/>
        </w:rPr>
        <w:t>+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T cells in </w:t>
      </w:r>
      <w:r>
        <w:rPr>
          <w:rFonts w:ascii="Times New Roman" w:hAnsi="Times New Roman" w:hint="eastAsia"/>
          <w:sz w:val="24"/>
          <w:szCs w:val="24"/>
        </w:rPr>
        <w:t xml:space="preserve">the </w:t>
      </w:r>
      <w:r>
        <w:rPr>
          <w:rFonts w:ascii="Times New Roman" w:hAnsi="Times New Roman"/>
          <w:sz w:val="24"/>
          <w:szCs w:val="24"/>
        </w:rPr>
        <w:t>BM of WT, CMML, and Anti-CD69 groups (WT = 19, CMML = 23, Anti-CD69 = 18)</w:t>
      </w:r>
      <w:r>
        <w:rPr>
          <w:rFonts w:ascii="Times New Roman" w:hAnsi="Times New Roman" w:hint="eastAsia"/>
          <w:sz w:val="24"/>
          <w:szCs w:val="24"/>
        </w:rPr>
        <w:t>.</w:t>
      </w:r>
    </w:p>
    <w:p w14:paraId="503DCE97" w14:textId="77777777" w:rsidR="002273D7" w:rsidRDefault="002273D7">
      <w:pPr>
        <w:spacing w:line="360" w:lineRule="auto"/>
        <w:rPr>
          <w:rFonts w:ascii="Times New Roman" w:hAnsi="Times New Roman" w:cs="Times New Roman"/>
          <w:sz w:val="24"/>
          <w:szCs w:val="32"/>
        </w:rPr>
      </w:pPr>
    </w:p>
    <w:p w14:paraId="6E2B6140" w14:textId="19E06CCD" w:rsidR="002273D7" w:rsidRDefault="001F1116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71C9F59" wp14:editId="1E76BBC6">
            <wp:simplePos x="0" y="0"/>
            <wp:positionH relativeFrom="margin">
              <wp:posOffset>21590</wp:posOffset>
            </wp:positionH>
            <wp:positionV relativeFrom="paragraph">
              <wp:posOffset>443230</wp:posOffset>
            </wp:positionV>
            <wp:extent cx="5226050" cy="4641850"/>
            <wp:effectExtent l="0" t="0" r="0" b="6350"/>
            <wp:wrapTopAndBottom/>
            <wp:docPr id="20308936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893675" name="图片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00000">
        <w:rPr>
          <w:rFonts w:ascii="Times New Roman" w:eastAsia="宋体" w:hAnsi="Times New Roman" w:cs="Times New Roman"/>
          <w:b/>
          <w:bCs/>
          <w:sz w:val="28"/>
          <w:szCs w:val="28"/>
        </w:rPr>
        <w:t>Supplementary Fig</w:t>
      </w:r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. </w:t>
      </w:r>
      <w:r w:rsidR="00000000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1</w:t>
      </w:r>
    </w:p>
    <w:p w14:paraId="113ED1C2" w14:textId="77777777" w:rsidR="002273D7" w:rsidRDefault="0000000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201BC8B" w14:textId="77777777" w:rsidR="002273D7" w:rsidRDefault="002273D7">
      <w:pPr>
        <w:rPr>
          <w:rFonts w:hint="eastAsia"/>
        </w:rPr>
      </w:pPr>
    </w:p>
    <w:p w14:paraId="07AAFBC3" w14:textId="0ABC9027" w:rsidR="002273D7" w:rsidRDefault="00000000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sz w:val="28"/>
          <w:szCs w:val="28"/>
        </w:rPr>
        <w:t>Supplementary Fig</w:t>
      </w:r>
      <w:r w:rsidR="001F1116"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. </w:t>
      </w:r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>2</w:t>
      </w:r>
    </w:p>
    <w:p w14:paraId="45892475" w14:textId="523A4CEC" w:rsidR="002273D7" w:rsidRDefault="001F1116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1A5D274" wp14:editId="714F4FFD">
            <wp:extent cx="5274310" cy="3764280"/>
            <wp:effectExtent l="0" t="0" r="2540" b="7620"/>
            <wp:docPr id="2353133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13301" name="图片 23531330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87452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2BA34322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315344EC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6287D5D8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10239D95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41611600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4495D2AB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42BFCDB3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5343353A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545DCCCF" w14:textId="77777777" w:rsidR="002273D7" w:rsidRDefault="002273D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47FD824D" w14:textId="77777777" w:rsidR="001F1116" w:rsidRDefault="001F1116">
      <w:pPr>
        <w:spacing w:line="360" w:lineRule="auto"/>
        <w:rPr>
          <w:rFonts w:ascii="Times New Roman" w:eastAsia="宋体" w:hAnsi="Times New Roman" w:cs="Times New Roman" w:hint="eastAsia"/>
          <w:b/>
          <w:bCs/>
          <w:sz w:val="28"/>
          <w:szCs w:val="28"/>
        </w:rPr>
      </w:pPr>
    </w:p>
    <w:p w14:paraId="2D86F9C4" w14:textId="77777777" w:rsidR="002273D7" w:rsidRDefault="00000000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sz w:val="28"/>
          <w:szCs w:val="28"/>
        </w:rPr>
        <w:lastRenderedPageBreak/>
        <w:t xml:space="preserve">Supplementary Figure </w:t>
      </w:r>
      <w:r>
        <w:rPr>
          <w:rFonts w:ascii="Times New Roman" w:eastAsia="宋体" w:hAnsi="Times New Roman" w:cs="Times New Roman" w:hint="eastAsia"/>
          <w:b/>
          <w:bCs/>
          <w:sz w:val="28"/>
          <w:szCs w:val="28"/>
        </w:rPr>
        <w:t>3</w:t>
      </w:r>
      <w:r>
        <w:rPr>
          <w:rFonts w:ascii="Times New Roman" w:eastAsia="宋体" w:hAnsi="Times New Roman" w:cs="Times New Roman"/>
          <w:b/>
          <w:bCs/>
          <w:sz w:val="28"/>
          <w:szCs w:val="28"/>
        </w:rPr>
        <w:t>.</w:t>
      </w:r>
    </w:p>
    <w:p w14:paraId="2E28A281" w14:textId="77777777" w:rsidR="002273D7" w:rsidRDefault="00000000">
      <w:pPr>
        <w:spacing w:line="36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0706D52" wp14:editId="541EBB5B">
            <wp:extent cx="5272405" cy="3987800"/>
            <wp:effectExtent l="0" t="0" r="4445" b="0"/>
            <wp:docPr id="6816717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671718" name="图片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917" cy="398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F0195" w14:textId="77777777" w:rsidR="002273D7" w:rsidRDefault="002273D7">
      <w:pPr>
        <w:widowControl/>
        <w:jc w:val="left"/>
        <w:rPr>
          <w:rFonts w:hint="eastAsia"/>
        </w:rPr>
      </w:pPr>
    </w:p>
    <w:sectPr w:rsidR="002273D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06ECE7" w14:textId="77777777" w:rsidR="00435A8E" w:rsidRDefault="00435A8E" w:rsidP="001F1116">
      <w:pPr>
        <w:rPr>
          <w:rFonts w:hint="eastAsia"/>
        </w:rPr>
      </w:pPr>
      <w:r>
        <w:separator/>
      </w:r>
    </w:p>
  </w:endnote>
  <w:endnote w:type="continuationSeparator" w:id="0">
    <w:p w14:paraId="54023C89" w14:textId="77777777" w:rsidR="00435A8E" w:rsidRDefault="00435A8E" w:rsidP="001F111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71AA36" w14:textId="77777777" w:rsidR="00435A8E" w:rsidRDefault="00435A8E" w:rsidP="001F1116">
      <w:pPr>
        <w:rPr>
          <w:rFonts w:hint="eastAsia"/>
        </w:rPr>
      </w:pPr>
      <w:r>
        <w:separator/>
      </w:r>
    </w:p>
  </w:footnote>
  <w:footnote w:type="continuationSeparator" w:id="0">
    <w:p w14:paraId="5243EF16" w14:textId="77777777" w:rsidR="00435A8E" w:rsidRDefault="00435A8E" w:rsidP="001F1116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396"/>
    <w:rsid w:val="00020D85"/>
    <w:rsid w:val="000958F2"/>
    <w:rsid w:val="00151256"/>
    <w:rsid w:val="0018569F"/>
    <w:rsid w:val="001B5B12"/>
    <w:rsid w:val="001F1116"/>
    <w:rsid w:val="002164D7"/>
    <w:rsid w:val="002273D7"/>
    <w:rsid w:val="002D0384"/>
    <w:rsid w:val="0034273D"/>
    <w:rsid w:val="00395B57"/>
    <w:rsid w:val="003D57A5"/>
    <w:rsid w:val="003E03DD"/>
    <w:rsid w:val="004026A8"/>
    <w:rsid w:val="00416BE4"/>
    <w:rsid w:val="00435A8E"/>
    <w:rsid w:val="004A02DD"/>
    <w:rsid w:val="004F59B5"/>
    <w:rsid w:val="00571617"/>
    <w:rsid w:val="005B2FCB"/>
    <w:rsid w:val="005E5B83"/>
    <w:rsid w:val="007146CE"/>
    <w:rsid w:val="007D0AAC"/>
    <w:rsid w:val="008D359F"/>
    <w:rsid w:val="0093002A"/>
    <w:rsid w:val="00985256"/>
    <w:rsid w:val="009906A3"/>
    <w:rsid w:val="009D59E3"/>
    <w:rsid w:val="00A1011D"/>
    <w:rsid w:val="00A12F7E"/>
    <w:rsid w:val="00A662B8"/>
    <w:rsid w:val="00AB20CC"/>
    <w:rsid w:val="00B5378A"/>
    <w:rsid w:val="00B81E35"/>
    <w:rsid w:val="00B908DB"/>
    <w:rsid w:val="00BC78DE"/>
    <w:rsid w:val="00BF24E3"/>
    <w:rsid w:val="00CC073E"/>
    <w:rsid w:val="00CC6784"/>
    <w:rsid w:val="00D62BF6"/>
    <w:rsid w:val="00DA2DFE"/>
    <w:rsid w:val="00DC3C22"/>
    <w:rsid w:val="00E00AAC"/>
    <w:rsid w:val="00E12396"/>
    <w:rsid w:val="00EA60A4"/>
    <w:rsid w:val="00F516D6"/>
    <w:rsid w:val="00F75B92"/>
    <w:rsid w:val="00FC17B0"/>
    <w:rsid w:val="00FC507A"/>
    <w:rsid w:val="00FE08AB"/>
    <w:rsid w:val="1F6A0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23504757"/>
  <w14:defaultImageDpi w14:val="32767"/>
  <w15:docId w15:val="{0FFBE8FF-F210-4100-8AE7-B36E8A35CB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next w:val="a"/>
    <w:qFormat/>
    <w:pPr>
      <w:widowControl w:val="0"/>
      <w:jc w:val="both"/>
    </w:pPr>
    <w:rPr>
      <w:rFonts w:ascii="Arial" w:eastAsia="黑体" w:hAnsi="Arial" w:cs="Times New Roman"/>
      <w:kern w:val="2"/>
      <w:szCs w:val="24"/>
    </w:rPr>
  </w:style>
  <w:style w:type="paragraph" w:styleId="a4">
    <w:name w:val="footer"/>
    <w:basedOn w:val="a"/>
    <w:link w:val="a5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Subtitle"/>
    <w:basedOn w:val="a"/>
    <w:next w:val="a"/>
    <w:link w:val="a9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a">
    <w:name w:val="Title"/>
    <w:basedOn w:val="a"/>
    <w:next w:val="a"/>
    <w:link w:val="ab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标题 1 字符"/>
    <w:basedOn w:val="a0"/>
    <w:link w:val="1"/>
    <w:uiPriority w:val="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b">
    <w:name w:val="标题 字符"/>
    <w:basedOn w:val="a0"/>
    <w:link w:val="aa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9">
    <w:name w:val="副标题 字符"/>
    <w:basedOn w:val="a0"/>
    <w:link w:val="a8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c">
    <w:name w:val="Quote"/>
    <w:basedOn w:val="a"/>
    <w:next w:val="a"/>
    <w:link w:val="ad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d">
    <w:name w:val="引用 字符"/>
    <w:basedOn w:val="a0"/>
    <w:link w:val="ac"/>
    <w:uiPriority w:val="29"/>
    <w:qFormat/>
    <w:rPr>
      <w:i/>
      <w:iCs/>
      <w:color w:val="404040" w:themeColor="text1" w:themeTint="BF"/>
    </w:rPr>
  </w:style>
  <w:style w:type="paragraph" w:styleId="ae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0">
    <w:name w:val="明显引用 字符"/>
    <w:basedOn w:val="a0"/>
    <w:link w:val="af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7">
    <w:name w:val="页眉 字符"/>
    <w:basedOn w:val="a0"/>
    <w:link w:val="a6"/>
    <w:uiPriority w:val="99"/>
    <w:qFormat/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4</Pages>
  <Words>365</Words>
  <Characters>2084</Characters>
  <Application>Microsoft Office Word</Application>
  <DocSecurity>0</DocSecurity>
  <Lines>17</Lines>
  <Paragraphs>4</Paragraphs>
  <ScaleCrop>false</ScaleCrop>
  <Company/>
  <LinksUpToDate>false</LinksUpToDate>
  <CharactersWithSpaces>2445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旭 江</cp:lastModifiedBy>
  <cp:revision>17</cp:revision>
  <dcterms:created xsi:type="dcterms:W3CDTF">2025-09-10T11:54:00Z</dcterms:created>
  <dcterms:modified xsi:type="dcterms:W3CDTF">2025-12-04T07:52:00Z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eyJoZGlkIjoiNGE4ZGM5ODA5ZGIxMjE5YmIyYmRjYjM2NzU1YTJmMTgiLCJ1c2VySWQiOiI0MTYyMDU0NzMifQ==</vt:lpwstr>
  </property>
  <property fmtid="{D5CDD505-2E9C-101B-9397-08002B2CF9AE}" pid="3" name="KSOProductBuildVer">
    <vt:lpwstr>2052-12.1.0.23542</vt:lpwstr>
  </property>
  <property fmtid="{D5CDD505-2E9C-101B-9397-08002B2CF9AE}" pid="4" name="ICV">
    <vt:lpwstr>FE654CC364CE43968AF1B3A11BE5CCEB_12</vt:lpwstr>
  </property>
</Properties>
</file>