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6C5286" w14:textId="43AF39E0" w:rsidR="006B1DFA" w:rsidRPr="00AC7600" w:rsidRDefault="008E61DC">
      <w:pPr>
        <w:rPr>
          <w:rFonts w:ascii="Times New Roman" w:hAnsi="Times New Roman" w:cs="Times New Roman"/>
          <w:b/>
          <w:bCs/>
        </w:rPr>
      </w:pPr>
      <w:r w:rsidRPr="00AC7600">
        <w:rPr>
          <w:rFonts w:ascii="Times New Roman" w:hAnsi="Times New Roman" w:cs="Times New Roman"/>
          <w:b/>
          <w:bCs/>
        </w:rPr>
        <w:t xml:space="preserve">Online </w:t>
      </w:r>
      <w:r w:rsidR="003A5957" w:rsidRPr="00AC7600">
        <w:rPr>
          <w:rFonts w:ascii="Times New Roman" w:hAnsi="Times New Roman" w:cs="Times New Roman"/>
          <w:b/>
          <w:bCs/>
        </w:rPr>
        <w:t>Appendices</w:t>
      </w:r>
    </w:p>
    <w:p w14:paraId="276EFCDE" w14:textId="0551954E" w:rsidR="00F41E3B" w:rsidRPr="00AC7600" w:rsidRDefault="00931C62">
      <w:pPr>
        <w:rPr>
          <w:rFonts w:ascii="Times New Roman" w:hAnsi="Times New Roman" w:cs="Times New Roman"/>
          <w:b/>
          <w:bCs/>
        </w:rPr>
      </w:pPr>
      <w:r w:rsidRPr="00AC7600">
        <w:rPr>
          <w:rFonts w:ascii="Times New Roman" w:hAnsi="Times New Roman" w:cs="Times New Roman"/>
          <w:b/>
          <w:bCs/>
        </w:rPr>
        <w:t>Appendix A</w:t>
      </w:r>
      <w:r w:rsidR="00C546B7" w:rsidRPr="00AC7600">
        <w:rPr>
          <w:rFonts w:ascii="Times New Roman" w:hAnsi="Times New Roman" w:cs="Times New Roman"/>
          <w:b/>
          <w:bCs/>
        </w:rPr>
        <w:t>4</w:t>
      </w:r>
      <w:r w:rsidRPr="00AC7600">
        <w:rPr>
          <w:rFonts w:ascii="Times New Roman" w:hAnsi="Times New Roman" w:cs="Times New Roman"/>
          <w:b/>
          <w:bCs/>
        </w:rPr>
        <w:t xml:space="preserve">. </w:t>
      </w:r>
      <w:r w:rsidR="00F41E3B" w:rsidRPr="00AC7600">
        <w:rPr>
          <w:rFonts w:ascii="Times New Roman" w:hAnsi="Times New Roman" w:cs="Times New Roman"/>
          <w:b/>
          <w:bCs/>
        </w:rPr>
        <w:t>Processor-Level Breakdown of Externalities</w:t>
      </w:r>
    </w:p>
    <w:p w14:paraId="145B2A1B" w14:textId="2CDF4055" w:rsidR="00252EF0" w:rsidRPr="00AC7600" w:rsidRDefault="00931C62">
      <w:pPr>
        <w:rPr>
          <w:rFonts w:ascii="Times New Roman" w:hAnsi="Times New Roman" w:cs="Times New Roman"/>
        </w:rPr>
      </w:pPr>
      <w:r w:rsidRPr="00AC7600">
        <w:rPr>
          <w:rFonts w:ascii="Times New Roman" w:hAnsi="Times New Roman" w:cs="Times New Roman"/>
        </w:rPr>
        <w:t>Table A</w:t>
      </w:r>
      <w:r w:rsidR="00587588" w:rsidRPr="00AC7600">
        <w:rPr>
          <w:rFonts w:ascii="Times New Roman" w:hAnsi="Times New Roman" w:cs="Times New Roman"/>
        </w:rPr>
        <w:t>4a</w:t>
      </w:r>
      <w:r w:rsidRPr="00AC7600">
        <w:rPr>
          <w:rFonts w:ascii="Times New Roman" w:hAnsi="Times New Roman" w:cs="Times New Roman"/>
        </w:rPr>
        <w:t xml:space="preserve">. </w:t>
      </w:r>
      <w:r w:rsidR="00252EF0" w:rsidRPr="00AC7600">
        <w:rPr>
          <w:rFonts w:ascii="Times New Roman" w:hAnsi="Times New Roman" w:cs="Times New Roman"/>
        </w:rPr>
        <w:t>Whey-Based Smoothie</w:t>
      </w:r>
      <w:r w:rsidR="00587588" w:rsidRPr="00AC7600">
        <w:rPr>
          <w:rFonts w:ascii="Times New Roman" w:hAnsi="Times New Roman" w:cs="Times New Roman"/>
        </w:rPr>
        <w:t xml:space="preserve"> processor</w:t>
      </w:r>
    </w:p>
    <w:tbl>
      <w:tblPr>
        <w:tblStyle w:val="Tabel-Gitte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1803"/>
        <w:gridCol w:w="1803"/>
        <w:gridCol w:w="1803"/>
        <w:gridCol w:w="1803"/>
        <w:gridCol w:w="1804"/>
      </w:tblGrid>
      <w:tr w:rsidR="00AC7600" w:rsidRPr="00AC7600" w14:paraId="3680F7B9" w14:textId="77777777" w:rsidTr="00AC3689">
        <w:tc>
          <w:tcPr>
            <w:tcW w:w="1803" w:type="dxa"/>
            <w:tcBorders>
              <w:top w:val="single" w:sz="4" w:space="0" w:color="auto"/>
              <w:bottom w:val="single" w:sz="4" w:space="0" w:color="auto"/>
            </w:tcBorders>
            <w:vAlign w:val="center"/>
          </w:tcPr>
          <w:p w14:paraId="17AC8166" w14:textId="5B80DD5D" w:rsidR="0095501C" w:rsidRPr="00AC7600" w:rsidRDefault="0095501C" w:rsidP="0095501C">
            <w:pP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Externality Type</w:t>
            </w:r>
          </w:p>
        </w:tc>
        <w:tc>
          <w:tcPr>
            <w:tcW w:w="1803" w:type="dxa"/>
            <w:tcBorders>
              <w:top w:val="single" w:sz="4" w:space="0" w:color="auto"/>
              <w:bottom w:val="single" w:sz="4" w:space="0" w:color="auto"/>
            </w:tcBorders>
            <w:vAlign w:val="center"/>
          </w:tcPr>
          <w:p w14:paraId="4FECD1D0" w14:textId="4C85105D" w:rsidR="0095501C" w:rsidRPr="00AC7600" w:rsidRDefault="0095501C"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Estimation Basis</w:t>
            </w:r>
          </w:p>
        </w:tc>
        <w:tc>
          <w:tcPr>
            <w:tcW w:w="1803" w:type="dxa"/>
            <w:tcBorders>
              <w:top w:val="single" w:sz="4" w:space="0" w:color="auto"/>
              <w:bottom w:val="single" w:sz="4" w:space="0" w:color="auto"/>
            </w:tcBorders>
            <w:vAlign w:val="center"/>
          </w:tcPr>
          <w:p w14:paraId="4B39F566" w14:textId="31BCC13E" w:rsidR="0095501C" w:rsidRPr="00AC7600" w:rsidRDefault="0095501C"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Quantity per yr (t or unit)</w:t>
            </w:r>
          </w:p>
        </w:tc>
        <w:tc>
          <w:tcPr>
            <w:tcW w:w="1803" w:type="dxa"/>
            <w:tcBorders>
              <w:top w:val="single" w:sz="4" w:space="0" w:color="auto"/>
              <w:bottom w:val="single" w:sz="4" w:space="0" w:color="auto"/>
            </w:tcBorders>
            <w:vAlign w:val="center"/>
          </w:tcPr>
          <w:p w14:paraId="098825EC" w14:textId="20E6AD34" w:rsidR="0095501C" w:rsidRPr="00AC7600" w:rsidRDefault="0095501C"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Unit Value (USD/unit)</w:t>
            </w:r>
          </w:p>
        </w:tc>
        <w:tc>
          <w:tcPr>
            <w:tcW w:w="1804" w:type="dxa"/>
            <w:tcBorders>
              <w:top w:val="single" w:sz="4" w:space="0" w:color="auto"/>
              <w:bottom w:val="single" w:sz="4" w:space="0" w:color="auto"/>
            </w:tcBorders>
            <w:vAlign w:val="center"/>
          </w:tcPr>
          <w:p w14:paraId="4723765F" w14:textId="3370734D" w:rsidR="0095501C" w:rsidRPr="00AC7600" w:rsidRDefault="0095501C"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Total Value (USD yr⁻¹)</w:t>
            </w:r>
          </w:p>
        </w:tc>
      </w:tr>
      <w:tr w:rsidR="00AC7600" w:rsidRPr="00AC7600" w14:paraId="125BCBFD" w14:textId="77777777" w:rsidTr="00AC3689">
        <w:tc>
          <w:tcPr>
            <w:tcW w:w="1803" w:type="dxa"/>
            <w:tcBorders>
              <w:top w:val="single" w:sz="4" w:space="0" w:color="auto"/>
            </w:tcBorders>
            <w:vAlign w:val="center"/>
          </w:tcPr>
          <w:p w14:paraId="0CAC4C8D" w14:textId="477AF8C5" w:rsidR="0095501C" w:rsidRPr="00AC7600" w:rsidRDefault="0095501C" w:rsidP="0095501C">
            <w:pP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GHG emission reduction</w:t>
            </w:r>
          </w:p>
        </w:tc>
        <w:tc>
          <w:tcPr>
            <w:tcW w:w="1803" w:type="dxa"/>
            <w:tcBorders>
              <w:top w:val="single" w:sz="4" w:space="0" w:color="auto"/>
            </w:tcBorders>
            <w:vAlign w:val="center"/>
          </w:tcPr>
          <w:p w14:paraId="4901769E" w14:textId="320C3BCD" w:rsidR="0095501C" w:rsidRPr="00AC7600" w:rsidRDefault="0095501C"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0.55 t CO₂e t⁻¹ whey</w:t>
            </w:r>
          </w:p>
        </w:tc>
        <w:tc>
          <w:tcPr>
            <w:tcW w:w="1803" w:type="dxa"/>
            <w:tcBorders>
              <w:top w:val="single" w:sz="4" w:space="0" w:color="auto"/>
            </w:tcBorders>
            <w:vAlign w:val="center"/>
          </w:tcPr>
          <w:p w14:paraId="58306A7B" w14:textId="4A0168E4" w:rsidR="0095501C" w:rsidRPr="00AC7600" w:rsidRDefault="0095501C"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0.87 t CO₂e</w:t>
            </w:r>
          </w:p>
        </w:tc>
        <w:tc>
          <w:tcPr>
            <w:tcW w:w="1803" w:type="dxa"/>
            <w:tcBorders>
              <w:top w:val="single" w:sz="4" w:space="0" w:color="auto"/>
            </w:tcBorders>
            <w:vAlign w:val="center"/>
          </w:tcPr>
          <w:p w14:paraId="5471DDC7" w14:textId="308DA6A0" w:rsidR="0095501C" w:rsidRPr="00AC7600" w:rsidRDefault="0095501C"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10 t⁻¹ CO₂e</w:t>
            </w:r>
          </w:p>
        </w:tc>
        <w:tc>
          <w:tcPr>
            <w:tcW w:w="1804" w:type="dxa"/>
            <w:tcBorders>
              <w:top w:val="single" w:sz="4" w:space="0" w:color="auto"/>
            </w:tcBorders>
            <w:vAlign w:val="center"/>
          </w:tcPr>
          <w:p w14:paraId="2F56071E" w14:textId="7970AC01" w:rsidR="0095501C" w:rsidRPr="00AC7600" w:rsidRDefault="0095501C"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9</w:t>
            </w:r>
          </w:p>
        </w:tc>
      </w:tr>
      <w:tr w:rsidR="00AC7600" w:rsidRPr="00AC7600" w14:paraId="245AA48F" w14:textId="77777777" w:rsidTr="00AC3689">
        <w:tc>
          <w:tcPr>
            <w:tcW w:w="1803" w:type="dxa"/>
            <w:vAlign w:val="center"/>
          </w:tcPr>
          <w:p w14:paraId="66AD6454" w14:textId="407BD55A" w:rsidR="0095501C" w:rsidRPr="00AC7600" w:rsidRDefault="0095501C" w:rsidP="0095501C">
            <w:pP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Wastewater pollution avoidance</w:t>
            </w:r>
          </w:p>
        </w:tc>
        <w:tc>
          <w:tcPr>
            <w:tcW w:w="1803" w:type="dxa"/>
            <w:vAlign w:val="center"/>
          </w:tcPr>
          <w:p w14:paraId="24EEC5EE" w14:textId="54E654F5" w:rsidR="0095501C" w:rsidRPr="00AC7600" w:rsidRDefault="0095501C"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1 t whey</w:t>
            </w:r>
          </w:p>
        </w:tc>
        <w:tc>
          <w:tcPr>
            <w:tcW w:w="1803" w:type="dxa"/>
            <w:vAlign w:val="center"/>
          </w:tcPr>
          <w:p w14:paraId="772C0603" w14:textId="3AD19877" w:rsidR="0095501C" w:rsidRPr="00AC7600" w:rsidRDefault="0095501C"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1.58 t</w:t>
            </w:r>
          </w:p>
        </w:tc>
        <w:tc>
          <w:tcPr>
            <w:tcW w:w="1803" w:type="dxa"/>
            <w:vAlign w:val="center"/>
          </w:tcPr>
          <w:p w14:paraId="6EEF9706" w14:textId="56F76F36" w:rsidR="0095501C" w:rsidRPr="00AC7600" w:rsidRDefault="0095501C"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12.5 t⁻¹ whey</w:t>
            </w:r>
          </w:p>
        </w:tc>
        <w:tc>
          <w:tcPr>
            <w:tcW w:w="1804" w:type="dxa"/>
            <w:vAlign w:val="center"/>
          </w:tcPr>
          <w:p w14:paraId="7881BDC8" w14:textId="53A7CEF3" w:rsidR="0095501C" w:rsidRPr="00AC7600" w:rsidRDefault="0095501C"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20</w:t>
            </w:r>
          </w:p>
        </w:tc>
      </w:tr>
      <w:tr w:rsidR="00AC7600" w:rsidRPr="00AC7600" w14:paraId="5ACCDF32" w14:textId="77777777" w:rsidTr="00AC3689">
        <w:tc>
          <w:tcPr>
            <w:tcW w:w="1803" w:type="dxa"/>
            <w:vAlign w:val="center"/>
          </w:tcPr>
          <w:p w14:paraId="4467C203" w14:textId="138918AC" w:rsidR="0095501C" w:rsidRPr="00AC7600" w:rsidRDefault="0095501C" w:rsidP="0095501C">
            <w:pP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Energy recovery</w:t>
            </w:r>
          </w:p>
        </w:tc>
        <w:tc>
          <w:tcPr>
            <w:tcW w:w="1803" w:type="dxa"/>
            <w:vAlign w:val="center"/>
          </w:tcPr>
          <w:p w14:paraId="5B8AD28B" w14:textId="248BAFE2" w:rsidR="0095501C" w:rsidRPr="00AC7600" w:rsidRDefault="0095501C"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2.8 GJ t⁻¹ whey</w:t>
            </w:r>
          </w:p>
        </w:tc>
        <w:tc>
          <w:tcPr>
            <w:tcW w:w="1803" w:type="dxa"/>
            <w:vAlign w:val="center"/>
          </w:tcPr>
          <w:p w14:paraId="77BBF616" w14:textId="4C91D877" w:rsidR="0095501C" w:rsidRPr="00AC7600" w:rsidRDefault="0095501C"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4.4 GJ</w:t>
            </w:r>
          </w:p>
        </w:tc>
        <w:tc>
          <w:tcPr>
            <w:tcW w:w="1803" w:type="dxa"/>
            <w:vAlign w:val="center"/>
          </w:tcPr>
          <w:p w14:paraId="00DC90CC" w14:textId="762F6EF3" w:rsidR="0095501C" w:rsidRPr="00AC7600" w:rsidRDefault="0095501C"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10.8 USD GJ⁻¹ (eqv 30 t⁻¹)</w:t>
            </w:r>
          </w:p>
        </w:tc>
        <w:tc>
          <w:tcPr>
            <w:tcW w:w="1804" w:type="dxa"/>
            <w:vAlign w:val="center"/>
          </w:tcPr>
          <w:p w14:paraId="28AB9DAE" w14:textId="31F4AF6F" w:rsidR="0095501C" w:rsidRPr="00AC7600" w:rsidRDefault="0095501C"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47</w:t>
            </w:r>
          </w:p>
        </w:tc>
      </w:tr>
      <w:tr w:rsidR="00AC7600" w:rsidRPr="00AC7600" w14:paraId="7380837F" w14:textId="77777777" w:rsidTr="00AC3689">
        <w:tc>
          <w:tcPr>
            <w:tcW w:w="1803" w:type="dxa"/>
            <w:tcBorders>
              <w:bottom w:val="dotted" w:sz="4" w:space="0" w:color="auto"/>
            </w:tcBorders>
            <w:vAlign w:val="center"/>
          </w:tcPr>
          <w:p w14:paraId="009B7558" w14:textId="4262485F" w:rsidR="0095501C" w:rsidRPr="00AC7600" w:rsidRDefault="0095501C" w:rsidP="0095501C">
            <w:pP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Employment &amp; social inclusion</w:t>
            </w:r>
          </w:p>
        </w:tc>
        <w:tc>
          <w:tcPr>
            <w:tcW w:w="1803" w:type="dxa"/>
            <w:tcBorders>
              <w:bottom w:val="dotted" w:sz="4" w:space="0" w:color="auto"/>
            </w:tcBorders>
            <w:vAlign w:val="center"/>
          </w:tcPr>
          <w:p w14:paraId="66F1699D" w14:textId="61342119" w:rsidR="0095501C" w:rsidRPr="00AC7600" w:rsidRDefault="0095501C"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2.7 FTE per 1,000 t whey</w:t>
            </w:r>
          </w:p>
        </w:tc>
        <w:tc>
          <w:tcPr>
            <w:tcW w:w="1803" w:type="dxa"/>
            <w:tcBorders>
              <w:bottom w:val="dotted" w:sz="4" w:space="0" w:color="auto"/>
            </w:tcBorders>
            <w:vAlign w:val="center"/>
          </w:tcPr>
          <w:p w14:paraId="566D922A" w14:textId="53F87192" w:rsidR="0095501C" w:rsidRPr="00AC7600" w:rsidRDefault="0095501C"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0.004 FTE</w:t>
            </w:r>
          </w:p>
        </w:tc>
        <w:tc>
          <w:tcPr>
            <w:tcW w:w="1803" w:type="dxa"/>
            <w:tcBorders>
              <w:bottom w:val="dotted" w:sz="4" w:space="0" w:color="auto"/>
            </w:tcBorders>
            <w:vAlign w:val="center"/>
          </w:tcPr>
          <w:p w14:paraId="448D2A4D" w14:textId="46A3B762" w:rsidR="0095501C" w:rsidRPr="00AC7600" w:rsidRDefault="0095501C"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3,500 FTE⁻¹</w:t>
            </w:r>
          </w:p>
        </w:tc>
        <w:tc>
          <w:tcPr>
            <w:tcW w:w="1804" w:type="dxa"/>
            <w:tcBorders>
              <w:bottom w:val="dotted" w:sz="4" w:space="0" w:color="auto"/>
            </w:tcBorders>
            <w:vAlign w:val="center"/>
          </w:tcPr>
          <w:p w14:paraId="769CAC07" w14:textId="6AC09633" w:rsidR="0095501C" w:rsidRPr="00AC7600" w:rsidRDefault="0095501C"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15</w:t>
            </w:r>
          </w:p>
        </w:tc>
      </w:tr>
      <w:tr w:rsidR="0095501C" w:rsidRPr="00AC7600" w14:paraId="4911225C" w14:textId="77777777" w:rsidTr="00AC3689">
        <w:tc>
          <w:tcPr>
            <w:tcW w:w="1803" w:type="dxa"/>
            <w:tcBorders>
              <w:bottom w:val="single" w:sz="4" w:space="0" w:color="auto"/>
            </w:tcBorders>
            <w:vAlign w:val="center"/>
          </w:tcPr>
          <w:p w14:paraId="2441A230" w14:textId="69DD89A8" w:rsidR="0095501C" w:rsidRPr="00AC7600" w:rsidRDefault="0095501C" w:rsidP="0095501C">
            <w:pP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Total (USD yr⁻¹)</w:t>
            </w:r>
          </w:p>
        </w:tc>
        <w:tc>
          <w:tcPr>
            <w:tcW w:w="1803" w:type="dxa"/>
            <w:tcBorders>
              <w:bottom w:val="single" w:sz="4" w:space="0" w:color="auto"/>
            </w:tcBorders>
            <w:vAlign w:val="center"/>
          </w:tcPr>
          <w:p w14:paraId="04F7D971" w14:textId="0689BB8B" w:rsidR="0095501C" w:rsidRPr="00AC7600" w:rsidRDefault="0095501C"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w:t>
            </w:r>
          </w:p>
        </w:tc>
        <w:tc>
          <w:tcPr>
            <w:tcW w:w="1803" w:type="dxa"/>
            <w:tcBorders>
              <w:bottom w:val="single" w:sz="4" w:space="0" w:color="auto"/>
            </w:tcBorders>
            <w:vAlign w:val="center"/>
          </w:tcPr>
          <w:p w14:paraId="335D7AE6" w14:textId="44F39345" w:rsidR="0095501C" w:rsidRPr="00AC7600" w:rsidRDefault="0095501C"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w:t>
            </w:r>
          </w:p>
        </w:tc>
        <w:tc>
          <w:tcPr>
            <w:tcW w:w="1803" w:type="dxa"/>
            <w:tcBorders>
              <w:bottom w:val="single" w:sz="4" w:space="0" w:color="auto"/>
            </w:tcBorders>
            <w:vAlign w:val="center"/>
          </w:tcPr>
          <w:p w14:paraId="2440A1E6" w14:textId="06E07833" w:rsidR="0095501C" w:rsidRPr="00AC7600" w:rsidRDefault="0095501C"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w:t>
            </w:r>
          </w:p>
        </w:tc>
        <w:tc>
          <w:tcPr>
            <w:tcW w:w="1804" w:type="dxa"/>
            <w:tcBorders>
              <w:bottom w:val="single" w:sz="4" w:space="0" w:color="auto"/>
            </w:tcBorders>
            <w:vAlign w:val="center"/>
          </w:tcPr>
          <w:p w14:paraId="5E8FADF3" w14:textId="1D5CE7C7" w:rsidR="0095501C" w:rsidRPr="00AC7600" w:rsidRDefault="0095501C"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 91</w:t>
            </w:r>
          </w:p>
        </w:tc>
      </w:tr>
    </w:tbl>
    <w:p w14:paraId="393A9680" w14:textId="77777777" w:rsidR="0095501C" w:rsidRPr="00AC7600" w:rsidRDefault="0095501C">
      <w:pPr>
        <w:rPr>
          <w:rFonts w:ascii="Times New Roman" w:hAnsi="Times New Roman" w:cs="Times New Roman"/>
        </w:rPr>
      </w:pPr>
    </w:p>
    <w:p w14:paraId="3DF37795" w14:textId="7471F124" w:rsidR="00F566DC" w:rsidRPr="00AC7600" w:rsidRDefault="00F566DC">
      <w:pPr>
        <w:rPr>
          <w:rFonts w:ascii="Times New Roman" w:hAnsi="Times New Roman" w:cs="Times New Roman"/>
        </w:rPr>
      </w:pPr>
      <w:r w:rsidRPr="00AC7600">
        <w:rPr>
          <w:rFonts w:ascii="Times New Roman" w:hAnsi="Times New Roman" w:cs="Times New Roman"/>
        </w:rPr>
        <w:t xml:space="preserve">The whey-based smoothie processor operation </w:t>
      </w:r>
      <w:r w:rsidR="001C0D94" w:rsidRPr="00AC7600">
        <w:rPr>
          <w:rFonts w:ascii="Times New Roman" w:hAnsi="Times New Roman" w:cs="Times New Roman"/>
        </w:rPr>
        <w:t>valorizes</w:t>
      </w:r>
      <w:r w:rsidRPr="00AC7600">
        <w:rPr>
          <w:rFonts w:ascii="Times New Roman" w:hAnsi="Times New Roman" w:cs="Times New Roman"/>
        </w:rPr>
        <w:t xml:space="preserve"> about </w:t>
      </w:r>
      <w:r w:rsidRPr="00AC7600">
        <w:rPr>
          <w:rStyle w:val="Strk"/>
          <w:rFonts w:ascii="Times New Roman" w:hAnsi="Times New Roman" w:cs="Times New Roman"/>
          <w:b w:val="0"/>
          <w:bCs w:val="0"/>
        </w:rPr>
        <w:t>1.6 t yr⁻¹</w:t>
      </w:r>
      <w:r w:rsidRPr="00AC7600">
        <w:rPr>
          <w:rFonts w:ascii="Times New Roman" w:hAnsi="Times New Roman" w:cs="Times New Roman"/>
        </w:rPr>
        <w:t xml:space="preserve"> of whey, generating modest but positive external benefits—mainly from </w:t>
      </w:r>
      <w:r w:rsidRPr="00AC7600">
        <w:rPr>
          <w:rStyle w:val="Strk"/>
          <w:rFonts w:ascii="Times New Roman" w:hAnsi="Times New Roman" w:cs="Times New Roman"/>
          <w:b w:val="0"/>
          <w:bCs w:val="0"/>
        </w:rPr>
        <w:t>energy recovery (52 %)</w:t>
      </w:r>
      <w:r w:rsidRPr="00AC7600">
        <w:rPr>
          <w:rFonts w:ascii="Times New Roman" w:hAnsi="Times New Roman" w:cs="Times New Roman"/>
        </w:rPr>
        <w:t xml:space="preserve"> and </w:t>
      </w:r>
      <w:r w:rsidRPr="00AC7600">
        <w:rPr>
          <w:rStyle w:val="Strk"/>
          <w:rFonts w:ascii="Times New Roman" w:hAnsi="Times New Roman" w:cs="Times New Roman"/>
          <w:b w:val="0"/>
          <w:bCs w:val="0"/>
        </w:rPr>
        <w:t>wastewater savings (22 %)</w:t>
      </w:r>
      <w:r w:rsidRPr="00AC7600">
        <w:rPr>
          <w:rFonts w:ascii="Times New Roman" w:hAnsi="Times New Roman" w:cs="Times New Roman"/>
          <w:b/>
          <w:bCs/>
        </w:rPr>
        <w:t>.</w:t>
      </w:r>
      <w:r w:rsidRPr="00AC7600">
        <w:rPr>
          <w:rFonts w:ascii="Times New Roman" w:hAnsi="Times New Roman" w:cs="Times New Roman"/>
        </w:rPr>
        <w:t xml:space="preserve"> Even micro-enterprises contribute measurable welfare gains when side-stream </w:t>
      </w:r>
      <w:r w:rsidR="001C0D94" w:rsidRPr="00AC7600">
        <w:rPr>
          <w:rFonts w:ascii="Times New Roman" w:hAnsi="Times New Roman" w:cs="Times New Roman"/>
        </w:rPr>
        <w:t>utilization</w:t>
      </w:r>
      <w:r w:rsidRPr="00AC7600">
        <w:rPr>
          <w:rFonts w:ascii="Times New Roman" w:hAnsi="Times New Roman" w:cs="Times New Roman"/>
        </w:rPr>
        <w:t xml:space="preserve"> prevents untreated discharge.</w:t>
      </w:r>
    </w:p>
    <w:p w14:paraId="34C67014" w14:textId="1AEBA3BF" w:rsidR="00931C62" w:rsidRPr="00AC7600" w:rsidRDefault="00931C62">
      <w:pPr>
        <w:rPr>
          <w:rFonts w:ascii="Times New Roman" w:hAnsi="Times New Roman" w:cs="Times New Roman"/>
        </w:rPr>
      </w:pPr>
      <w:r w:rsidRPr="00AC7600">
        <w:rPr>
          <w:rFonts w:ascii="Times New Roman" w:hAnsi="Times New Roman" w:cs="Times New Roman"/>
        </w:rPr>
        <w:t xml:space="preserve">Table </w:t>
      </w:r>
      <w:r w:rsidR="00587588" w:rsidRPr="00AC7600">
        <w:t>A4b</w:t>
      </w:r>
      <w:r w:rsidRPr="00AC7600">
        <w:rPr>
          <w:rFonts w:ascii="Times New Roman" w:hAnsi="Times New Roman" w:cs="Times New Roman"/>
        </w:rPr>
        <w:t>.</w:t>
      </w:r>
      <w:r w:rsidR="00E44907" w:rsidRPr="00AC7600">
        <w:rPr>
          <w:rFonts w:ascii="Times New Roman" w:hAnsi="Times New Roman" w:cs="Times New Roman"/>
        </w:rPr>
        <w:t xml:space="preserve"> </w:t>
      </w:r>
      <w:bookmarkStart w:id="0" w:name="_Hlk212654021"/>
      <w:r w:rsidR="001548E7" w:rsidRPr="00AC7600">
        <w:rPr>
          <w:rFonts w:ascii="Times New Roman" w:hAnsi="Times New Roman" w:cs="Times New Roman"/>
        </w:rPr>
        <w:t>Whey Combined processor</w:t>
      </w:r>
    </w:p>
    <w:tbl>
      <w:tblPr>
        <w:tblStyle w:val="Tabel-Gitte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1803"/>
        <w:gridCol w:w="1803"/>
        <w:gridCol w:w="1803"/>
        <w:gridCol w:w="1803"/>
        <w:gridCol w:w="1804"/>
      </w:tblGrid>
      <w:tr w:rsidR="00AC7600" w:rsidRPr="00AC7600" w14:paraId="2C090C61" w14:textId="77777777" w:rsidTr="006C177D">
        <w:tc>
          <w:tcPr>
            <w:tcW w:w="1803" w:type="dxa"/>
            <w:tcBorders>
              <w:top w:val="single" w:sz="4" w:space="0" w:color="auto"/>
              <w:bottom w:val="single" w:sz="4" w:space="0" w:color="auto"/>
            </w:tcBorders>
            <w:vAlign w:val="center"/>
          </w:tcPr>
          <w:p w14:paraId="6A14AEBD" w14:textId="7B3BF421" w:rsidR="006C177D" w:rsidRPr="00AC7600" w:rsidRDefault="006C177D" w:rsidP="006C177D">
            <w:pP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Externality Type</w:t>
            </w:r>
          </w:p>
        </w:tc>
        <w:tc>
          <w:tcPr>
            <w:tcW w:w="1803" w:type="dxa"/>
            <w:tcBorders>
              <w:top w:val="single" w:sz="4" w:space="0" w:color="auto"/>
              <w:bottom w:val="single" w:sz="4" w:space="0" w:color="auto"/>
            </w:tcBorders>
            <w:vAlign w:val="center"/>
          </w:tcPr>
          <w:p w14:paraId="36807592" w14:textId="4611997D" w:rsidR="006C177D" w:rsidRPr="00AC7600" w:rsidRDefault="006C177D"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Estimation Basis</w:t>
            </w:r>
          </w:p>
        </w:tc>
        <w:tc>
          <w:tcPr>
            <w:tcW w:w="1803" w:type="dxa"/>
            <w:tcBorders>
              <w:top w:val="single" w:sz="4" w:space="0" w:color="auto"/>
              <w:bottom w:val="single" w:sz="4" w:space="0" w:color="auto"/>
            </w:tcBorders>
            <w:vAlign w:val="center"/>
          </w:tcPr>
          <w:p w14:paraId="792B2938" w14:textId="2C3A21DC" w:rsidR="006C177D" w:rsidRPr="00AC7600" w:rsidRDefault="006C177D"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Quantity per yr (t or unit)</w:t>
            </w:r>
          </w:p>
        </w:tc>
        <w:tc>
          <w:tcPr>
            <w:tcW w:w="1803" w:type="dxa"/>
            <w:tcBorders>
              <w:top w:val="single" w:sz="4" w:space="0" w:color="auto"/>
              <w:bottom w:val="single" w:sz="4" w:space="0" w:color="auto"/>
            </w:tcBorders>
            <w:vAlign w:val="center"/>
          </w:tcPr>
          <w:p w14:paraId="07D9389E" w14:textId="4D31B968" w:rsidR="006C177D" w:rsidRPr="00AC7600" w:rsidRDefault="006C177D"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Unit Value (USD/unit)</w:t>
            </w:r>
          </w:p>
        </w:tc>
        <w:tc>
          <w:tcPr>
            <w:tcW w:w="1804" w:type="dxa"/>
            <w:tcBorders>
              <w:top w:val="single" w:sz="4" w:space="0" w:color="auto"/>
              <w:bottom w:val="single" w:sz="4" w:space="0" w:color="auto"/>
            </w:tcBorders>
            <w:vAlign w:val="center"/>
          </w:tcPr>
          <w:p w14:paraId="335DAED6" w14:textId="07A2A560" w:rsidR="006C177D" w:rsidRPr="00AC7600" w:rsidRDefault="006C177D"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Total Value (USD yr⁻¹)</w:t>
            </w:r>
          </w:p>
        </w:tc>
      </w:tr>
      <w:tr w:rsidR="00AC7600" w:rsidRPr="00AC7600" w14:paraId="0911947F" w14:textId="77777777" w:rsidTr="006C177D">
        <w:tc>
          <w:tcPr>
            <w:tcW w:w="1803" w:type="dxa"/>
            <w:tcBorders>
              <w:top w:val="single" w:sz="4" w:space="0" w:color="auto"/>
            </w:tcBorders>
            <w:vAlign w:val="center"/>
          </w:tcPr>
          <w:p w14:paraId="722CA766" w14:textId="05AEF825" w:rsidR="006C177D" w:rsidRPr="00AC7600" w:rsidRDefault="006C177D" w:rsidP="006C177D">
            <w:pP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GHG emission reduction</w:t>
            </w:r>
          </w:p>
        </w:tc>
        <w:tc>
          <w:tcPr>
            <w:tcW w:w="1803" w:type="dxa"/>
            <w:tcBorders>
              <w:top w:val="single" w:sz="4" w:space="0" w:color="auto"/>
            </w:tcBorders>
            <w:vAlign w:val="center"/>
          </w:tcPr>
          <w:p w14:paraId="361EDCCE" w14:textId="2472539F" w:rsidR="006C177D" w:rsidRPr="00AC7600" w:rsidRDefault="006C177D"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0.55 t CO₂e t⁻¹ whey</w:t>
            </w:r>
          </w:p>
        </w:tc>
        <w:tc>
          <w:tcPr>
            <w:tcW w:w="1803" w:type="dxa"/>
            <w:tcBorders>
              <w:top w:val="single" w:sz="4" w:space="0" w:color="auto"/>
            </w:tcBorders>
            <w:vAlign w:val="center"/>
          </w:tcPr>
          <w:p w14:paraId="5909A247" w14:textId="50FECCBC" w:rsidR="006C177D" w:rsidRPr="00AC7600" w:rsidRDefault="006C177D"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6.33 t CO₂e</w:t>
            </w:r>
          </w:p>
        </w:tc>
        <w:tc>
          <w:tcPr>
            <w:tcW w:w="1803" w:type="dxa"/>
            <w:tcBorders>
              <w:top w:val="single" w:sz="4" w:space="0" w:color="auto"/>
            </w:tcBorders>
            <w:vAlign w:val="center"/>
          </w:tcPr>
          <w:p w14:paraId="61A356A8" w14:textId="5A011732" w:rsidR="006C177D" w:rsidRPr="00AC7600" w:rsidRDefault="006C177D"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10 t⁻¹ CO₂e</w:t>
            </w:r>
          </w:p>
        </w:tc>
        <w:tc>
          <w:tcPr>
            <w:tcW w:w="1804" w:type="dxa"/>
            <w:tcBorders>
              <w:top w:val="single" w:sz="4" w:space="0" w:color="auto"/>
            </w:tcBorders>
            <w:vAlign w:val="center"/>
          </w:tcPr>
          <w:p w14:paraId="52405534" w14:textId="76E3BD44" w:rsidR="006C177D" w:rsidRPr="00AC7600" w:rsidRDefault="006C177D"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63</w:t>
            </w:r>
          </w:p>
        </w:tc>
      </w:tr>
      <w:tr w:rsidR="00AC7600" w:rsidRPr="00AC7600" w14:paraId="3EC0E25F" w14:textId="77777777" w:rsidTr="006C177D">
        <w:tc>
          <w:tcPr>
            <w:tcW w:w="1803" w:type="dxa"/>
            <w:vAlign w:val="center"/>
          </w:tcPr>
          <w:p w14:paraId="027A6F22" w14:textId="19E0CD52" w:rsidR="006C177D" w:rsidRPr="00AC7600" w:rsidRDefault="006C177D" w:rsidP="006C177D">
            <w:pP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Wastewater pollution avoidance</w:t>
            </w:r>
          </w:p>
        </w:tc>
        <w:tc>
          <w:tcPr>
            <w:tcW w:w="1803" w:type="dxa"/>
            <w:vAlign w:val="center"/>
          </w:tcPr>
          <w:p w14:paraId="2E061829" w14:textId="603180C1" w:rsidR="006C177D" w:rsidRPr="00AC7600" w:rsidRDefault="006C177D"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1 t whey</w:t>
            </w:r>
          </w:p>
        </w:tc>
        <w:tc>
          <w:tcPr>
            <w:tcW w:w="1803" w:type="dxa"/>
            <w:vAlign w:val="center"/>
          </w:tcPr>
          <w:p w14:paraId="3AD9A833" w14:textId="66254E44" w:rsidR="006C177D" w:rsidRPr="00AC7600" w:rsidRDefault="006C177D"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11.50 t</w:t>
            </w:r>
          </w:p>
        </w:tc>
        <w:tc>
          <w:tcPr>
            <w:tcW w:w="1803" w:type="dxa"/>
            <w:vAlign w:val="center"/>
          </w:tcPr>
          <w:p w14:paraId="4B168C10" w14:textId="403884F5" w:rsidR="006C177D" w:rsidRPr="00AC7600" w:rsidRDefault="006C177D"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12.5 t⁻¹ whey</w:t>
            </w:r>
          </w:p>
        </w:tc>
        <w:tc>
          <w:tcPr>
            <w:tcW w:w="1804" w:type="dxa"/>
            <w:vAlign w:val="center"/>
          </w:tcPr>
          <w:p w14:paraId="3B080BFE" w14:textId="53518751" w:rsidR="006C177D" w:rsidRPr="00AC7600" w:rsidRDefault="006C177D"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144</w:t>
            </w:r>
          </w:p>
        </w:tc>
      </w:tr>
      <w:tr w:rsidR="00AC7600" w:rsidRPr="00AC7600" w14:paraId="7CD6CE2C" w14:textId="77777777" w:rsidTr="006C177D">
        <w:tc>
          <w:tcPr>
            <w:tcW w:w="1803" w:type="dxa"/>
            <w:vAlign w:val="center"/>
          </w:tcPr>
          <w:p w14:paraId="08B91ADA" w14:textId="79C0FFDF" w:rsidR="006C177D" w:rsidRPr="00AC7600" w:rsidRDefault="006C177D" w:rsidP="006C177D">
            <w:pP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Energy recovery</w:t>
            </w:r>
          </w:p>
        </w:tc>
        <w:tc>
          <w:tcPr>
            <w:tcW w:w="1803" w:type="dxa"/>
            <w:vAlign w:val="center"/>
          </w:tcPr>
          <w:p w14:paraId="4047C37C" w14:textId="7C24F8DB" w:rsidR="006C177D" w:rsidRPr="00AC7600" w:rsidRDefault="006C177D"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2.8 GJ t⁻¹ whey</w:t>
            </w:r>
          </w:p>
        </w:tc>
        <w:tc>
          <w:tcPr>
            <w:tcW w:w="1803" w:type="dxa"/>
            <w:vAlign w:val="center"/>
          </w:tcPr>
          <w:p w14:paraId="1C233EEC" w14:textId="316BEAA9" w:rsidR="006C177D" w:rsidRPr="00AC7600" w:rsidRDefault="006C177D"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32.2 GJ</w:t>
            </w:r>
          </w:p>
        </w:tc>
        <w:tc>
          <w:tcPr>
            <w:tcW w:w="1803" w:type="dxa"/>
            <w:vAlign w:val="center"/>
          </w:tcPr>
          <w:p w14:paraId="0F31932B" w14:textId="14162E0A" w:rsidR="006C177D" w:rsidRPr="00AC7600" w:rsidRDefault="006C177D"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10.8 USD GJ⁻¹</w:t>
            </w:r>
          </w:p>
        </w:tc>
        <w:tc>
          <w:tcPr>
            <w:tcW w:w="1804" w:type="dxa"/>
            <w:vAlign w:val="center"/>
          </w:tcPr>
          <w:p w14:paraId="7BE78B45" w14:textId="31F0E48A" w:rsidR="006C177D" w:rsidRPr="00AC7600" w:rsidRDefault="006C177D"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345</w:t>
            </w:r>
          </w:p>
        </w:tc>
      </w:tr>
      <w:tr w:rsidR="00AC7600" w:rsidRPr="00AC7600" w14:paraId="1B07EE73" w14:textId="77777777" w:rsidTr="006C177D">
        <w:tc>
          <w:tcPr>
            <w:tcW w:w="1803" w:type="dxa"/>
            <w:tcBorders>
              <w:bottom w:val="dotted" w:sz="4" w:space="0" w:color="auto"/>
            </w:tcBorders>
            <w:vAlign w:val="center"/>
          </w:tcPr>
          <w:p w14:paraId="57B074C7" w14:textId="017C50BD" w:rsidR="006C177D" w:rsidRPr="00AC7600" w:rsidRDefault="006C177D" w:rsidP="006C177D">
            <w:pP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Employment &amp; social inclusion</w:t>
            </w:r>
          </w:p>
        </w:tc>
        <w:tc>
          <w:tcPr>
            <w:tcW w:w="1803" w:type="dxa"/>
            <w:tcBorders>
              <w:bottom w:val="dotted" w:sz="4" w:space="0" w:color="auto"/>
            </w:tcBorders>
            <w:vAlign w:val="center"/>
          </w:tcPr>
          <w:p w14:paraId="277CEDCE" w14:textId="19320488" w:rsidR="006C177D" w:rsidRPr="00AC7600" w:rsidRDefault="006C177D"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2.7 FTE per 1,000 t whey</w:t>
            </w:r>
          </w:p>
        </w:tc>
        <w:tc>
          <w:tcPr>
            <w:tcW w:w="1803" w:type="dxa"/>
            <w:tcBorders>
              <w:bottom w:val="dotted" w:sz="4" w:space="0" w:color="auto"/>
            </w:tcBorders>
            <w:vAlign w:val="center"/>
          </w:tcPr>
          <w:p w14:paraId="7EBBC6CF" w14:textId="2EE48CC8" w:rsidR="006C177D" w:rsidRPr="00AC7600" w:rsidRDefault="006C177D"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0.031 FTE</w:t>
            </w:r>
          </w:p>
        </w:tc>
        <w:tc>
          <w:tcPr>
            <w:tcW w:w="1803" w:type="dxa"/>
            <w:tcBorders>
              <w:bottom w:val="dotted" w:sz="4" w:space="0" w:color="auto"/>
            </w:tcBorders>
            <w:vAlign w:val="center"/>
          </w:tcPr>
          <w:p w14:paraId="04C6DE47" w14:textId="10F99C8E" w:rsidR="006C177D" w:rsidRPr="00AC7600" w:rsidRDefault="006C177D"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3,500 FTE⁻¹</w:t>
            </w:r>
          </w:p>
        </w:tc>
        <w:tc>
          <w:tcPr>
            <w:tcW w:w="1804" w:type="dxa"/>
            <w:tcBorders>
              <w:bottom w:val="dotted" w:sz="4" w:space="0" w:color="auto"/>
            </w:tcBorders>
            <w:vAlign w:val="center"/>
          </w:tcPr>
          <w:p w14:paraId="5C49ECA2" w14:textId="52F79EC8" w:rsidR="006C177D" w:rsidRPr="00AC7600" w:rsidRDefault="006C177D"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109</w:t>
            </w:r>
          </w:p>
        </w:tc>
      </w:tr>
      <w:tr w:rsidR="0095501C" w:rsidRPr="00AC7600" w14:paraId="59124A23" w14:textId="77777777" w:rsidTr="006C177D">
        <w:tc>
          <w:tcPr>
            <w:tcW w:w="1803" w:type="dxa"/>
            <w:tcBorders>
              <w:bottom w:val="single" w:sz="4" w:space="0" w:color="auto"/>
            </w:tcBorders>
            <w:vAlign w:val="center"/>
          </w:tcPr>
          <w:p w14:paraId="1A538553" w14:textId="009340C7" w:rsidR="006C177D" w:rsidRPr="00AC7600" w:rsidRDefault="006C177D" w:rsidP="006C177D">
            <w:pP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Total (USD yr⁻¹)</w:t>
            </w:r>
          </w:p>
        </w:tc>
        <w:tc>
          <w:tcPr>
            <w:tcW w:w="1803" w:type="dxa"/>
            <w:tcBorders>
              <w:bottom w:val="single" w:sz="4" w:space="0" w:color="auto"/>
            </w:tcBorders>
            <w:vAlign w:val="center"/>
          </w:tcPr>
          <w:p w14:paraId="112E88F0" w14:textId="2C28D37B" w:rsidR="006C177D" w:rsidRPr="00AC7600" w:rsidRDefault="006C177D"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w:t>
            </w:r>
          </w:p>
        </w:tc>
        <w:tc>
          <w:tcPr>
            <w:tcW w:w="1803" w:type="dxa"/>
            <w:tcBorders>
              <w:bottom w:val="single" w:sz="4" w:space="0" w:color="auto"/>
            </w:tcBorders>
            <w:vAlign w:val="center"/>
          </w:tcPr>
          <w:p w14:paraId="4148131D" w14:textId="3545F093" w:rsidR="006C177D" w:rsidRPr="00AC7600" w:rsidRDefault="006C177D"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w:t>
            </w:r>
          </w:p>
        </w:tc>
        <w:tc>
          <w:tcPr>
            <w:tcW w:w="1803" w:type="dxa"/>
            <w:tcBorders>
              <w:bottom w:val="single" w:sz="4" w:space="0" w:color="auto"/>
            </w:tcBorders>
            <w:vAlign w:val="center"/>
          </w:tcPr>
          <w:p w14:paraId="051214A8" w14:textId="572B030B" w:rsidR="006C177D" w:rsidRPr="00AC7600" w:rsidRDefault="006C177D"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w:t>
            </w:r>
          </w:p>
        </w:tc>
        <w:tc>
          <w:tcPr>
            <w:tcW w:w="1804" w:type="dxa"/>
            <w:tcBorders>
              <w:bottom w:val="single" w:sz="4" w:space="0" w:color="auto"/>
            </w:tcBorders>
            <w:vAlign w:val="center"/>
          </w:tcPr>
          <w:p w14:paraId="21AF31B2" w14:textId="282091B4" w:rsidR="006C177D" w:rsidRPr="00AC7600" w:rsidRDefault="006C177D" w:rsidP="00587588">
            <w:pPr>
              <w:jc w:val="center"/>
              <w:rPr>
                <w:rFonts w:ascii="Times New Roman" w:hAnsi="Times New Roman" w:cs="Times New Roman"/>
              </w:rPr>
            </w:pPr>
            <w:r w:rsidRPr="00AC7600">
              <w:rPr>
                <w:rFonts w:ascii="Times New Roman" w:eastAsia="Times New Roman" w:hAnsi="Times New Roman" w:cs="Times New Roman"/>
                <w:kern w:val="0"/>
                <w:sz w:val="20"/>
                <w:szCs w:val="20"/>
                <w:lang/>
                <w14:ligatures w14:val="none"/>
              </w:rPr>
              <w:t>≈ 661</w:t>
            </w:r>
          </w:p>
        </w:tc>
      </w:tr>
      <w:bookmarkEnd w:id="0"/>
    </w:tbl>
    <w:p w14:paraId="3210E0DF" w14:textId="77777777" w:rsidR="0095501C" w:rsidRPr="00AC7600" w:rsidRDefault="0095501C">
      <w:pPr>
        <w:rPr>
          <w:rFonts w:ascii="Times New Roman" w:hAnsi="Times New Roman" w:cs="Times New Roman"/>
        </w:rPr>
      </w:pPr>
    </w:p>
    <w:p w14:paraId="3100978C" w14:textId="68EE03AE" w:rsidR="001548E7" w:rsidRPr="00AC7600" w:rsidRDefault="003A7773">
      <w:pPr>
        <w:rPr>
          <w:rFonts w:ascii="Times New Roman" w:hAnsi="Times New Roman" w:cs="Times New Roman"/>
        </w:rPr>
      </w:pPr>
      <w:r w:rsidRPr="00AC7600">
        <w:rPr>
          <w:rFonts w:ascii="Times New Roman" w:hAnsi="Times New Roman" w:cs="Times New Roman"/>
        </w:rPr>
        <w:t xml:space="preserve">Whey Combined processor </w:t>
      </w:r>
      <w:r w:rsidR="001C0D94" w:rsidRPr="00AC7600">
        <w:rPr>
          <w:rFonts w:ascii="Times New Roman" w:hAnsi="Times New Roman" w:cs="Times New Roman"/>
        </w:rPr>
        <w:t>valorizes</w:t>
      </w:r>
      <w:r w:rsidRPr="00AC7600">
        <w:rPr>
          <w:rFonts w:ascii="Times New Roman" w:hAnsi="Times New Roman" w:cs="Times New Roman"/>
        </w:rPr>
        <w:t xml:space="preserve"> roughly 11.5 t whey yr⁻¹, yielding about USD 660 yr⁻¹ in externalities. The bulk stems from energy substitution (52 %) and wastewater cost</w:t>
      </w:r>
      <w:r w:rsidRPr="00AC7600">
        <w:rPr>
          <w:rFonts w:ascii="Times New Roman" w:hAnsi="Times New Roman" w:cs="Times New Roman"/>
          <w:b/>
          <w:bCs/>
        </w:rPr>
        <w:t xml:space="preserve"> </w:t>
      </w:r>
      <w:r w:rsidRPr="00AC7600">
        <w:rPr>
          <w:rFonts w:ascii="Times New Roman" w:hAnsi="Times New Roman" w:cs="Times New Roman"/>
        </w:rPr>
        <w:t xml:space="preserve">avoidance (22 %), consistent with literature showing that whey diversion from effluent streams drastically reduces organic load </w:t>
      </w:r>
      <w:sdt>
        <w:sdtPr>
          <w:rPr>
            <w:rFonts w:ascii="Times New Roman" w:hAnsi="Times New Roman" w:cs="Times New Roman"/>
          </w:rPr>
          <w:tag w:val="MENDELEY_CITATION_v3_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"/>
          <w:id w:val="-1111971312"/>
          <w:placeholder>
            <w:docPart w:val="DefaultPlaceholder_-1854013440"/>
          </w:placeholder>
        </w:sdtPr>
        <w:sdtEndPr/>
        <w:sdtContent>
          <w:r w:rsidR="001C0D94" w:rsidRPr="00AC7600">
            <w:rPr>
              <w:rFonts w:ascii="Times New Roman" w:hAnsi="Times New Roman" w:cs="Times New Roman"/>
            </w:rPr>
            <w:t>(</w:t>
          </w:r>
          <w:proofErr w:type="spellStart"/>
          <w:r w:rsidR="001C0D94" w:rsidRPr="00AC7600">
            <w:rPr>
              <w:rFonts w:ascii="Times New Roman" w:hAnsi="Times New Roman" w:cs="Times New Roman"/>
            </w:rPr>
            <w:t>Goldáraz-Salamero</w:t>
          </w:r>
          <w:proofErr w:type="spellEnd"/>
          <w:r w:rsidR="001C0D94" w:rsidRPr="00AC7600">
            <w:rPr>
              <w:rFonts w:ascii="Times New Roman" w:hAnsi="Times New Roman" w:cs="Times New Roman"/>
            </w:rPr>
            <w:t xml:space="preserve"> et al., 2025; Wedgwood, 2024)</w:t>
          </w:r>
        </w:sdtContent>
      </w:sdt>
      <w:r w:rsidR="007329E2" w:rsidRPr="00AC7600">
        <w:rPr>
          <w:rFonts w:ascii="Times New Roman" w:hAnsi="Times New Roman" w:cs="Times New Roman"/>
        </w:rPr>
        <w:t>.</w:t>
      </w:r>
    </w:p>
    <w:p w14:paraId="5814A8B1" w14:textId="63FA077D" w:rsidR="00063366" w:rsidRPr="00AC7600" w:rsidRDefault="00063366" w:rsidP="00063366">
      <w:pPr>
        <w:rPr>
          <w:rFonts w:ascii="Times New Roman" w:hAnsi="Times New Roman" w:cs="Times New Roman"/>
        </w:rPr>
      </w:pPr>
      <w:r w:rsidRPr="00AC7600">
        <w:rPr>
          <w:rFonts w:ascii="Times New Roman" w:hAnsi="Times New Roman" w:cs="Times New Roman"/>
        </w:rPr>
        <w:t xml:space="preserve">Table </w:t>
      </w:r>
      <w:r w:rsidR="00587588" w:rsidRPr="00AC7600">
        <w:t>A4c</w:t>
      </w:r>
      <w:r w:rsidRPr="00AC7600">
        <w:rPr>
          <w:rFonts w:ascii="Times New Roman" w:hAnsi="Times New Roman" w:cs="Times New Roman"/>
        </w:rPr>
        <w:t xml:space="preserve">. Whey </w:t>
      </w:r>
      <w:r w:rsidR="002A6D32" w:rsidRPr="00AC7600">
        <w:rPr>
          <w:rFonts w:ascii="Times New Roman" w:hAnsi="Times New Roman" w:cs="Times New Roman"/>
        </w:rPr>
        <w:t xml:space="preserve">drinking </w:t>
      </w:r>
      <w:r w:rsidR="001C0D94" w:rsidRPr="00AC7600">
        <w:rPr>
          <w:rFonts w:ascii="Times New Roman" w:hAnsi="Times New Roman" w:cs="Times New Roman"/>
        </w:rPr>
        <w:t>yoghurt</w:t>
      </w:r>
      <w:r w:rsidR="00587588" w:rsidRPr="00AC7600">
        <w:rPr>
          <w:rFonts w:ascii="Times New Roman" w:hAnsi="Times New Roman" w:cs="Times New Roman"/>
        </w:rPr>
        <w:t xml:space="preserve"> processor</w:t>
      </w:r>
    </w:p>
    <w:tbl>
      <w:tblPr>
        <w:tblStyle w:val="Tabel-Gitte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1803"/>
        <w:gridCol w:w="1803"/>
        <w:gridCol w:w="1803"/>
        <w:gridCol w:w="1803"/>
        <w:gridCol w:w="1804"/>
      </w:tblGrid>
      <w:tr w:rsidR="00AC7600" w:rsidRPr="00AC7600" w14:paraId="18AC4502" w14:textId="77777777" w:rsidTr="00AC3689">
        <w:tc>
          <w:tcPr>
            <w:tcW w:w="1803" w:type="dxa"/>
            <w:tcBorders>
              <w:top w:val="single" w:sz="4" w:space="0" w:color="auto"/>
              <w:bottom w:val="single" w:sz="4" w:space="0" w:color="auto"/>
            </w:tcBorders>
            <w:vAlign w:val="center"/>
          </w:tcPr>
          <w:p w14:paraId="7E289A8C" w14:textId="7FA04752" w:rsidR="0095501C" w:rsidRPr="00AC7600" w:rsidRDefault="0095501C" w:rsidP="0095501C">
            <w:pPr>
              <w:rPr>
                <w:rFonts w:ascii="Times New Roman" w:hAnsi="Times New Roman" w:cs="Times New Roman"/>
              </w:rPr>
            </w:pPr>
            <w:r w:rsidRPr="00AC7600">
              <w:rPr>
                <w:rFonts w:ascii="Times New Roman" w:hAnsi="Times New Roman" w:cs="Times New Roman"/>
                <w:sz w:val="20"/>
                <w:szCs w:val="20"/>
              </w:rPr>
              <w:t>Externality Type</w:t>
            </w:r>
          </w:p>
        </w:tc>
        <w:tc>
          <w:tcPr>
            <w:tcW w:w="1803" w:type="dxa"/>
            <w:tcBorders>
              <w:top w:val="single" w:sz="4" w:space="0" w:color="auto"/>
              <w:bottom w:val="single" w:sz="4" w:space="0" w:color="auto"/>
            </w:tcBorders>
            <w:vAlign w:val="center"/>
          </w:tcPr>
          <w:p w14:paraId="76BDFA19" w14:textId="33256C82" w:rsidR="0095501C" w:rsidRPr="00AC7600" w:rsidRDefault="0095501C" w:rsidP="00587588">
            <w:pPr>
              <w:jc w:val="center"/>
              <w:rPr>
                <w:rFonts w:ascii="Times New Roman" w:hAnsi="Times New Roman" w:cs="Times New Roman"/>
              </w:rPr>
            </w:pPr>
            <w:r w:rsidRPr="00AC7600">
              <w:rPr>
                <w:rFonts w:ascii="Times New Roman" w:hAnsi="Times New Roman" w:cs="Times New Roman"/>
                <w:sz w:val="20"/>
                <w:szCs w:val="20"/>
              </w:rPr>
              <w:t>Estimation Basis</w:t>
            </w:r>
          </w:p>
        </w:tc>
        <w:tc>
          <w:tcPr>
            <w:tcW w:w="1803" w:type="dxa"/>
            <w:tcBorders>
              <w:top w:val="single" w:sz="4" w:space="0" w:color="auto"/>
              <w:bottom w:val="single" w:sz="4" w:space="0" w:color="auto"/>
            </w:tcBorders>
            <w:vAlign w:val="center"/>
          </w:tcPr>
          <w:p w14:paraId="71307A0E" w14:textId="1B42DC20" w:rsidR="0095501C" w:rsidRPr="00AC7600" w:rsidRDefault="0095501C" w:rsidP="00587588">
            <w:pPr>
              <w:jc w:val="center"/>
              <w:rPr>
                <w:rFonts w:ascii="Times New Roman" w:hAnsi="Times New Roman" w:cs="Times New Roman"/>
              </w:rPr>
            </w:pPr>
            <w:r w:rsidRPr="00AC7600">
              <w:rPr>
                <w:rFonts w:ascii="Times New Roman" w:hAnsi="Times New Roman" w:cs="Times New Roman"/>
                <w:sz w:val="20"/>
                <w:szCs w:val="20"/>
              </w:rPr>
              <w:t>Quantity per yr (t or unit)</w:t>
            </w:r>
          </w:p>
        </w:tc>
        <w:tc>
          <w:tcPr>
            <w:tcW w:w="1803" w:type="dxa"/>
            <w:tcBorders>
              <w:top w:val="single" w:sz="4" w:space="0" w:color="auto"/>
              <w:bottom w:val="single" w:sz="4" w:space="0" w:color="auto"/>
            </w:tcBorders>
            <w:vAlign w:val="center"/>
          </w:tcPr>
          <w:p w14:paraId="6BC7575B" w14:textId="70B4FBAD" w:rsidR="0095501C" w:rsidRPr="00AC7600" w:rsidRDefault="0095501C" w:rsidP="00587588">
            <w:pPr>
              <w:jc w:val="center"/>
              <w:rPr>
                <w:rFonts w:ascii="Times New Roman" w:hAnsi="Times New Roman" w:cs="Times New Roman"/>
              </w:rPr>
            </w:pPr>
            <w:r w:rsidRPr="00AC7600">
              <w:rPr>
                <w:rFonts w:ascii="Times New Roman" w:hAnsi="Times New Roman" w:cs="Times New Roman"/>
                <w:sz w:val="20"/>
                <w:szCs w:val="20"/>
              </w:rPr>
              <w:t>Unit Value (USD/unit)</w:t>
            </w:r>
          </w:p>
        </w:tc>
        <w:tc>
          <w:tcPr>
            <w:tcW w:w="1804" w:type="dxa"/>
            <w:tcBorders>
              <w:top w:val="single" w:sz="4" w:space="0" w:color="auto"/>
              <w:bottom w:val="single" w:sz="4" w:space="0" w:color="auto"/>
            </w:tcBorders>
            <w:vAlign w:val="center"/>
          </w:tcPr>
          <w:p w14:paraId="596F2A07" w14:textId="1D8A0A56" w:rsidR="0095501C" w:rsidRPr="00AC7600" w:rsidRDefault="0095501C" w:rsidP="00587588">
            <w:pPr>
              <w:jc w:val="center"/>
              <w:rPr>
                <w:rFonts w:ascii="Times New Roman" w:hAnsi="Times New Roman" w:cs="Times New Roman"/>
              </w:rPr>
            </w:pPr>
            <w:r w:rsidRPr="00AC7600">
              <w:rPr>
                <w:rFonts w:ascii="Times New Roman" w:hAnsi="Times New Roman" w:cs="Times New Roman"/>
                <w:sz w:val="20"/>
                <w:szCs w:val="20"/>
              </w:rPr>
              <w:t>Total Value (USD yr⁻¹)</w:t>
            </w:r>
          </w:p>
        </w:tc>
      </w:tr>
      <w:tr w:rsidR="00AC7600" w:rsidRPr="00AC7600" w14:paraId="315354D2" w14:textId="77777777" w:rsidTr="00AC3689">
        <w:tc>
          <w:tcPr>
            <w:tcW w:w="1803" w:type="dxa"/>
            <w:tcBorders>
              <w:top w:val="single" w:sz="4" w:space="0" w:color="auto"/>
            </w:tcBorders>
            <w:vAlign w:val="center"/>
          </w:tcPr>
          <w:p w14:paraId="23E017DF" w14:textId="543EB131" w:rsidR="0095501C" w:rsidRPr="00AC7600" w:rsidRDefault="0095501C" w:rsidP="0095501C">
            <w:pPr>
              <w:rPr>
                <w:rFonts w:ascii="Times New Roman" w:hAnsi="Times New Roman" w:cs="Times New Roman"/>
              </w:rPr>
            </w:pPr>
            <w:r w:rsidRPr="00AC7600">
              <w:rPr>
                <w:rFonts w:ascii="Times New Roman" w:hAnsi="Times New Roman" w:cs="Times New Roman"/>
                <w:sz w:val="20"/>
                <w:szCs w:val="20"/>
              </w:rPr>
              <w:t>GHG emission reduction</w:t>
            </w:r>
          </w:p>
        </w:tc>
        <w:tc>
          <w:tcPr>
            <w:tcW w:w="1803" w:type="dxa"/>
            <w:tcBorders>
              <w:top w:val="single" w:sz="4" w:space="0" w:color="auto"/>
            </w:tcBorders>
            <w:vAlign w:val="center"/>
          </w:tcPr>
          <w:p w14:paraId="67009E0D" w14:textId="6DAA0B1E" w:rsidR="0095501C" w:rsidRPr="00AC7600" w:rsidRDefault="0095501C" w:rsidP="00587588">
            <w:pPr>
              <w:jc w:val="center"/>
              <w:rPr>
                <w:rFonts w:ascii="Times New Roman" w:hAnsi="Times New Roman" w:cs="Times New Roman"/>
              </w:rPr>
            </w:pPr>
            <w:r w:rsidRPr="00AC7600">
              <w:rPr>
                <w:rFonts w:ascii="Times New Roman" w:hAnsi="Times New Roman" w:cs="Times New Roman"/>
                <w:sz w:val="20"/>
                <w:szCs w:val="20"/>
              </w:rPr>
              <w:t xml:space="preserve">0.55 t </w:t>
            </w:r>
            <w:proofErr w:type="spellStart"/>
            <w:r w:rsidRPr="00AC7600">
              <w:rPr>
                <w:rFonts w:ascii="Times New Roman" w:hAnsi="Times New Roman" w:cs="Times New Roman"/>
                <w:sz w:val="20"/>
                <w:szCs w:val="20"/>
              </w:rPr>
              <w:t>CO₂e</w:t>
            </w:r>
            <w:proofErr w:type="spellEnd"/>
            <w:r w:rsidRPr="00AC7600">
              <w:rPr>
                <w:rFonts w:ascii="Times New Roman" w:hAnsi="Times New Roman" w:cs="Times New Roman"/>
                <w:sz w:val="20"/>
                <w:szCs w:val="20"/>
              </w:rPr>
              <w:t xml:space="preserve"> t⁻¹ whey</w:t>
            </w:r>
          </w:p>
        </w:tc>
        <w:tc>
          <w:tcPr>
            <w:tcW w:w="1803" w:type="dxa"/>
            <w:tcBorders>
              <w:top w:val="single" w:sz="4" w:space="0" w:color="auto"/>
            </w:tcBorders>
            <w:vAlign w:val="center"/>
          </w:tcPr>
          <w:p w14:paraId="1DBC42F9" w14:textId="62382527" w:rsidR="0095501C" w:rsidRPr="00AC7600" w:rsidRDefault="0095501C" w:rsidP="00587588">
            <w:pPr>
              <w:jc w:val="center"/>
              <w:rPr>
                <w:rFonts w:ascii="Times New Roman" w:hAnsi="Times New Roman" w:cs="Times New Roman"/>
              </w:rPr>
            </w:pPr>
            <w:r w:rsidRPr="00AC7600">
              <w:rPr>
                <w:rFonts w:ascii="Times New Roman" w:hAnsi="Times New Roman" w:cs="Times New Roman"/>
                <w:sz w:val="20"/>
                <w:szCs w:val="20"/>
              </w:rPr>
              <w:t xml:space="preserve">63.86 t </w:t>
            </w:r>
            <w:proofErr w:type="spellStart"/>
            <w:r w:rsidRPr="00AC7600">
              <w:rPr>
                <w:rFonts w:ascii="Times New Roman" w:hAnsi="Times New Roman" w:cs="Times New Roman"/>
                <w:sz w:val="20"/>
                <w:szCs w:val="20"/>
              </w:rPr>
              <w:t>CO₂e</w:t>
            </w:r>
            <w:proofErr w:type="spellEnd"/>
          </w:p>
        </w:tc>
        <w:tc>
          <w:tcPr>
            <w:tcW w:w="1803" w:type="dxa"/>
            <w:tcBorders>
              <w:top w:val="single" w:sz="4" w:space="0" w:color="auto"/>
            </w:tcBorders>
            <w:vAlign w:val="center"/>
          </w:tcPr>
          <w:p w14:paraId="5A6213A9" w14:textId="68DCB985" w:rsidR="0095501C" w:rsidRPr="00AC7600" w:rsidRDefault="0095501C" w:rsidP="00587588">
            <w:pPr>
              <w:jc w:val="center"/>
              <w:rPr>
                <w:rFonts w:ascii="Times New Roman" w:hAnsi="Times New Roman" w:cs="Times New Roman"/>
              </w:rPr>
            </w:pPr>
            <w:r w:rsidRPr="00AC7600">
              <w:rPr>
                <w:rFonts w:ascii="Times New Roman" w:hAnsi="Times New Roman" w:cs="Times New Roman"/>
                <w:sz w:val="20"/>
                <w:szCs w:val="20"/>
              </w:rPr>
              <w:t xml:space="preserve">10 t⁻¹ </w:t>
            </w:r>
            <w:proofErr w:type="spellStart"/>
            <w:r w:rsidRPr="00AC7600">
              <w:rPr>
                <w:rFonts w:ascii="Times New Roman" w:hAnsi="Times New Roman" w:cs="Times New Roman"/>
                <w:sz w:val="20"/>
                <w:szCs w:val="20"/>
              </w:rPr>
              <w:t>CO₂e</w:t>
            </w:r>
            <w:proofErr w:type="spellEnd"/>
          </w:p>
        </w:tc>
        <w:tc>
          <w:tcPr>
            <w:tcW w:w="1804" w:type="dxa"/>
            <w:tcBorders>
              <w:top w:val="single" w:sz="4" w:space="0" w:color="auto"/>
            </w:tcBorders>
            <w:vAlign w:val="center"/>
          </w:tcPr>
          <w:p w14:paraId="7F9925FD" w14:textId="26008886" w:rsidR="0095501C" w:rsidRPr="00AC7600" w:rsidRDefault="0095501C" w:rsidP="00587588">
            <w:pPr>
              <w:jc w:val="center"/>
              <w:rPr>
                <w:rFonts w:ascii="Times New Roman" w:hAnsi="Times New Roman" w:cs="Times New Roman"/>
              </w:rPr>
            </w:pPr>
            <w:r w:rsidRPr="00AC7600">
              <w:rPr>
                <w:rStyle w:val="Strk"/>
                <w:rFonts w:ascii="Times New Roman" w:hAnsi="Times New Roman" w:cs="Times New Roman"/>
                <w:b w:val="0"/>
                <w:bCs w:val="0"/>
                <w:sz w:val="20"/>
                <w:szCs w:val="20"/>
              </w:rPr>
              <w:t>639</w:t>
            </w:r>
          </w:p>
        </w:tc>
      </w:tr>
      <w:tr w:rsidR="00AC7600" w:rsidRPr="00AC7600" w14:paraId="7CED1DE6" w14:textId="77777777" w:rsidTr="00AC3689">
        <w:tc>
          <w:tcPr>
            <w:tcW w:w="1803" w:type="dxa"/>
            <w:vAlign w:val="center"/>
          </w:tcPr>
          <w:p w14:paraId="64E9C425" w14:textId="0741B76A" w:rsidR="0095501C" w:rsidRPr="00AC7600" w:rsidRDefault="0095501C" w:rsidP="0095501C">
            <w:pPr>
              <w:rPr>
                <w:rFonts w:ascii="Times New Roman" w:hAnsi="Times New Roman" w:cs="Times New Roman"/>
              </w:rPr>
            </w:pPr>
            <w:r w:rsidRPr="00AC7600">
              <w:rPr>
                <w:rFonts w:ascii="Times New Roman" w:hAnsi="Times New Roman" w:cs="Times New Roman"/>
                <w:sz w:val="20"/>
                <w:szCs w:val="20"/>
              </w:rPr>
              <w:t>Wastewater pollution avoidance</w:t>
            </w:r>
          </w:p>
        </w:tc>
        <w:tc>
          <w:tcPr>
            <w:tcW w:w="1803" w:type="dxa"/>
            <w:vAlign w:val="center"/>
          </w:tcPr>
          <w:p w14:paraId="7716A0B2" w14:textId="709A79E9" w:rsidR="0095501C" w:rsidRPr="00AC7600" w:rsidRDefault="0095501C" w:rsidP="00587588">
            <w:pPr>
              <w:jc w:val="center"/>
              <w:rPr>
                <w:rFonts w:ascii="Times New Roman" w:hAnsi="Times New Roman" w:cs="Times New Roman"/>
              </w:rPr>
            </w:pPr>
            <w:r w:rsidRPr="00AC7600">
              <w:rPr>
                <w:rFonts w:ascii="Times New Roman" w:hAnsi="Times New Roman" w:cs="Times New Roman"/>
                <w:sz w:val="20"/>
                <w:szCs w:val="20"/>
              </w:rPr>
              <w:t>1 t whey</w:t>
            </w:r>
          </w:p>
        </w:tc>
        <w:tc>
          <w:tcPr>
            <w:tcW w:w="1803" w:type="dxa"/>
            <w:vAlign w:val="center"/>
          </w:tcPr>
          <w:p w14:paraId="3A1FC407" w14:textId="4F380FE5" w:rsidR="0095501C" w:rsidRPr="00AC7600" w:rsidRDefault="0095501C" w:rsidP="00587588">
            <w:pPr>
              <w:jc w:val="center"/>
              <w:rPr>
                <w:rFonts w:ascii="Times New Roman" w:hAnsi="Times New Roman" w:cs="Times New Roman"/>
              </w:rPr>
            </w:pPr>
            <w:r w:rsidRPr="00AC7600">
              <w:rPr>
                <w:rFonts w:ascii="Times New Roman" w:hAnsi="Times New Roman" w:cs="Times New Roman"/>
                <w:sz w:val="20"/>
                <w:szCs w:val="20"/>
              </w:rPr>
              <w:t>116.12 t</w:t>
            </w:r>
          </w:p>
        </w:tc>
        <w:tc>
          <w:tcPr>
            <w:tcW w:w="1803" w:type="dxa"/>
            <w:vAlign w:val="center"/>
          </w:tcPr>
          <w:p w14:paraId="6FB001A7" w14:textId="4452D770" w:rsidR="0095501C" w:rsidRPr="00AC7600" w:rsidRDefault="0095501C" w:rsidP="00587588">
            <w:pPr>
              <w:jc w:val="center"/>
              <w:rPr>
                <w:rFonts w:ascii="Times New Roman" w:hAnsi="Times New Roman" w:cs="Times New Roman"/>
              </w:rPr>
            </w:pPr>
            <w:r w:rsidRPr="00AC7600">
              <w:rPr>
                <w:rFonts w:ascii="Times New Roman" w:hAnsi="Times New Roman" w:cs="Times New Roman"/>
                <w:sz w:val="20"/>
                <w:szCs w:val="20"/>
              </w:rPr>
              <w:t>12.5 t⁻¹ whey</w:t>
            </w:r>
          </w:p>
        </w:tc>
        <w:tc>
          <w:tcPr>
            <w:tcW w:w="1804" w:type="dxa"/>
            <w:vAlign w:val="center"/>
          </w:tcPr>
          <w:p w14:paraId="4E3C5DF3" w14:textId="123AEFC5" w:rsidR="0095501C" w:rsidRPr="00AC7600" w:rsidRDefault="0095501C" w:rsidP="00587588">
            <w:pPr>
              <w:jc w:val="center"/>
              <w:rPr>
                <w:rFonts w:ascii="Times New Roman" w:hAnsi="Times New Roman" w:cs="Times New Roman"/>
              </w:rPr>
            </w:pPr>
            <w:r w:rsidRPr="00AC7600">
              <w:rPr>
                <w:rStyle w:val="Strk"/>
                <w:rFonts w:ascii="Times New Roman" w:hAnsi="Times New Roman" w:cs="Times New Roman"/>
                <w:b w:val="0"/>
                <w:bCs w:val="0"/>
                <w:sz w:val="20"/>
                <w:szCs w:val="20"/>
              </w:rPr>
              <w:t>1,451</w:t>
            </w:r>
          </w:p>
        </w:tc>
      </w:tr>
      <w:tr w:rsidR="00AC7600" w:rsidRPr="00AC7600" w14:paraId="71A18182" w14:textId="77777777" w:rsidTr="00AC3689">
        <w:tc>
          <w:tcPr>
            <w:tcW w:w="1803" w:type="dxa"/>
            <w:vAlign w:val="center"/>
          </w:tcPr>
          <w:p w14:paraId="2FA0EC9A" w14:textId="61D8D090" w:rsidR="0095501C" w:rsidRPr="00AC7600" w:rsidRDefault="0095501C" w:rsidP="0095501C">
            <w:pPr>
              <w:rPr>
                <w:rFonts w:ascii="Times New Roman" w:hAnsi="Times New Roman" w:cs="Times New Roman"/>
              </w:rPr>
            </w:pPr>
            <w:r w:rsidRPr="00AC7600">
              <w:rPr>
                <w:rFonts w:ascii="Times New Roman" w:hAnsi="Times New Roman" w:cs="Times New Roman"/>
                <w:sz w:val="20"/>
                <w:szCs w:val="20"/>
              </w:rPr>
              <w:t>Energy recovery</w:t>
            </w:r>
          </w:p>
        </w:tc>
        <w:tc>
          <w:tcPr>
            <w:tcW w:w="1803" w:type="dxa"/>
            <w:vAlign w:val="center"/>
          </w:tcPr>
          <w:p w14:paraId="4BA1A716" w14:textId="2A15546D" w:rsidR="0095501C" w:rsidRPr="00AC7600" w:rsidRDefault="0095501C" w:rsidP="00587588">
            <w:pPr>
              <w:jc w:val="center"/>
              <w:rPr>
                <w:rFonts w:ascii="Times New Roman" w:hAnsi="Times New Roman" w:cs="Times New Roman"/>
              </w:rPr>
            </w:pPr>
            <w:r w:rsidRPr="00AC7600">
              <w:rPr>
                <w:rFonts w:ascii="Times New Roman" w:hAnsi="Times New Roman" w:cs="Times New Roman"/>
                <w:sz w:val="20"/>
                <w:szCs w:val="20"/>
              </w:rPr>
              <w:t>2.8 GJ t⁻¹ whey</w:t>
            </w:r>
          </w:p>
        </w:tc>
        <w:tc>
          <w:tcPr>
            <w:tcW w:w="1803" w:type="dxa"/>
            <w:vAlign w:val="center"/>
          </w:tcPr>
          <w:p w14:paraId="1393DA5A" w14:textId="3AF11559" w:rsidR="0095501C" w:rsidRPr="00AC7600" w:rsidRDefault="0095501C" w:rsidP="00587588">
            <w:pPr>
              <w:jc w:val="center"/>
              <w:rPr>
                <w:rFonts w:ascii="Times New Roman" w:hAnsi="Times New Roman" w:cs="Times New Roman"/>
              </w:rPr>
            </w:pPr>
            <w:r w:rsidRPr="00AC7600">
              <w:rPr>
                <w:rFonts w:ascii="Times New Roman" w:hAnsi="Times New Roman" w:cs="Times New Roman"/>
                <w:sz w:val="20"/>
                <w:szCs w:val="20"/>
              </w:rPr>
              <w:t>325.1 GJ</w:t>
            </w:r>
          </w:p>
        </w:tc>
        <w:tc>
          <w:tcPr>
            <w:tcW w:w="1803" w:type="dxa"/>
            <w:vAlign w:val="center"/>
          </w:tcPr>
          <w:p w14:paraId="2A2C5CA1" w14:textId="467E4B47" w:rsidR="0095501C" w:rsidRPr="00AC7600" w:rsidRDefault="0095501C" w:rsidP="00587588">
            <w:pPr>
              <w:jc w:val="center"/>
              <w:rPr>
                <w:rFonts w:ascii="Times New Roman" w:hAnsi="Times New Roman" w:cs="Times New Roman"/>
              </w:rPr>
            </w:pPr>
            <w:r w:rsidRPr="00AC7600">
              <w:rPr>
                <w:rFonts w:ascii="Times New Roman" w:hAnsi="Times New Roman" w:cs="Times New Roman"/>
                <w:sz w:val="20"/>
                <w:szCs w:val="20"/>
              </w:rPr>
              <w:t>10.8 USD GJ⁻¹</w:t>
            </w:r>
          </w:p>
        </w:tc>
        <w:tc>
          <w:tcPr>
            <w:tcW w:w="1804" w:type="dxa"/>
            <w:vAlign w:val="center"/>
          </w:tcPr>
          <w:p w14:paraId="02EA4D3B" w14:textId="7817434D" w:rsidR="0095501C" w:rsidRPr="00AC7600" w:rsidRDefault="0095501C" w:rsidP="00587588">
            <w:pPr>
              <w:jc w:val="center"/>
              <w:rPr>
                <w:rFonts w:ascii="Times New Roman" w:hAnsi="Times New Roman" w:cs="Times New Roman"/>
              </w:rPr>
            </w:pPr>
            <w:r w:rsidRPr="00AC7600">
              <w:rPr>
                <w:rStyle w:val="Strk"/>
                <w:rFonts w:ascii="Times New Roman" w:hAnsi="Times New Roman" w:cs="Times New Roman"/>
                <w:b w:val="0"/>
                <w:bCs w:val="0"/>
                <w:sz w:val="20"/>
                <w:szCs w:val="20"/>
              </w:rPr>
              <w:t>3,484</w:t>
            </w:r>
          </w:p>
        </w:tc>
      </w:tr>
      <w:tr w:rsidR="00AC7600" w:rsidRPr="00AC7600" w14:paraId="4AC13294" w14:textId="77777777" w:rsidTr="00AC3689">
        <w:tc>
          <w:tcPr>
            <w:tcW w:w="1803" w:type="dxa"/>
            <w:tcBorders>
              <w:bottom w:val="dotted" w:sz="4" w:space="0" w:color="auto"/>
            </w:tcBorders>
            <w:vAlign w:val="center"/>
          </w:tcPr>
          <w:p w14:paraId="5BF25775" w14:textId="08A4EA96" w:rsidR="0095501C" w:rsidRPr="00AC7600" w:rsidRDefault="0095501C" w:rsidP="0095501C">
            <w:pPr>
              <w:rPr>
                <w:rFonts w:ascii="Times New Roman" w:hAnsi="Times New Roman" w:cs="Times New Roman"/>
              </w:rPr>
            </w:pPr>
            <w:r w:rsidRPr="00AC7600">
              <w:rPr>
                <w:rFonts w:ascii="Times New Roman" w:hAnsi="Times New Roman" w:cs="Times New Roman"/>
                <w:sz w:val="20"/>
                <w:szCs w:val="20"/>
              </w:rPr>
              <w:t>Employment &amp; social inclusion</w:t>
            </w:r>
          </w:p>
        </w:tc>
        <w:tc>
          <w:tcPr>
            <w:tcW w:w="1803" w:type="dxa"/>
            <w:tcBorders>
              <w:bottom w:val="dotted" w:sz="4" w:space="0" w:color="auto"/>
            </w:tcBorders>
            <w:vAlign w:val="center"/>
          </w:tcPr>
          <w:p w14:paraId="7B11FE63" w14:textId="4DF3C523" w:rsidR="0095501C" w:rsidRPr="00AC7600" w:rsidRDefault="0095501C" w:rsidP="00587588">
            <w:pPr>
              <w:jc w:val="center"/>
              <w:rPr>
                <w:rFonts w:ascii="Times New Roman" w:hAnsi="Times New Roman" w:cs="Times New Roman"/>
              </w:rPr>
            </w:pPr>
            <w:r w:rsidRPr="00AC7600">
              <w:rPr>
                <w:rFonts w:ascii="Times New Roman" w:hAnsi="Times New Roman" w:cs="Times New Roman"/>
                <w:sz w:val="20"/>
                <w:szCs w:val="20"/>
              </w:rPr>
              <w:t>2.7 FTE per 1,000 t whey</w:t>
            </w:r>
          </w:p>
        </w:tc>
        <w:tc>
          <w:tcPr>
            <w:tcW w:w="1803" w:type="dxa"/>
            <w:tcBorders>
              <w:bottom w:val="dotted" w:sz="4" w:space="0" w:color="auto"/>
            </w:tcBorders>
            <w:vAlign w:val="center"/>
          </w:tcPr>
          <w:p w14:paraId="7C5928D4" w14:textId="4B65B85D" w:rsidR="0095501C" w:rsidRPr="00AC7600" w:rsidRDefault="0095501C" w:rsidP="00587588">
            <w:pPr>
              <w:jc w:val="center"/>
              <w:rPr>
                <w:rFonts w:ascii="Times New Roman" w:hAnsi="Times New Roman" w:cs="Times New Roman"/>
              </w:rPr>
            </w:pPr>
            <w:r w:rsidRPr="00AC7600">
              <w:rPr>
                <w:rFonts w:ascii="Times New Roman" w:hAnsi="Times New Roman" w:cs="Times New Roman"/>
                <w:sz w:val="20"/>
                <w:szCs w:val="20"/>
              </w:rPr>
              <w:t>0.313 FTE</w:t>
            </w:r>
          </w:p>
        </w:tc>
        <w:tc>
          <w:tcPr>
            <w:tcW w:w="1803" w:type="dxa"/>
            <w:tcBorders>
              <w:bottom w:val="dotted" w:sz="4" w:space="0" w:color="auto"/>
            </w:tcBorders>
            <w:vAlign w:val="center"/>
          </w:tcPr>
          <w:p w14:paraId="03803971" w14:textId="045F46CA" w:rsidR="0095501C" w:rsidRPr="00AC7600" w:rsidRDefault="0095501C" w:rsidP="00587588">
            <w:pPr>
              <w:jc w:val="center"/>
              <w:rPr>
                <w:rFonts w:ascii="Times New Roman" w:hAnsi="Times New Roman" w:cs="Times New Roman"/>
              </w:rPr>
            </w:pPr>
            <w:r w:rsidRPr="00AC7600">
              <w:rPr>
                <w:rFonts w:ascii="Times New Roman" w:hAnsi="Times New Roman" w:cs="Times New Roman"/>
                <w:sz w:val="20"/>
                <w:szCs w:val="20"/>
              </w:rPr>
              <w:t>3,500 FTE⁻¹</w:t>
            </w:r>
          </w:p>
        </w:tc>
        <w:tc>
          <w:tcPr>
            <w:tcW w:w="1804" w:type="dxa"/>
            <w:tcBorders>
              <w:bottom w:val="dotted" w:sz="4" w:space="0" w:color="auto"/>
            </w:tcBorders>
            <w:vAlign w:val="center"/>
          </w:tcPr>
          <w:p w14:paraId="6928513B" w14:textId="5891C90D" w:rsidR="0095501C" w:rsidRPr="00AC7600" w:rsidRDefault="0095501C" w:rsidP="00587588">
            <w:pPr>
              <w:jc w:val="center"/>
              <w:rPr>
                <w:rFonts w:ascii="Times New Roman" w:hAnsi="Times New Roman" w:cs="Times New Roman"/>
              </w:rPr>
            </w:pPr>
            <w:r w:rsidRPr="00AC7600">
              <w:rPr>
                <w:rStyle w:val="Strk"/>
                <w:rFonts w:ascii="Times New Roman" w:hAnsi="Times New Roman" w:cs="Times New Roman"/>
                <w:b w:val="0"/>
                <w:bCs w:val="0"/>
                <w:sz w:val="20"/>
                <w:szCs w:val="20"/>
              </w:rPr>
              <w:t>1,097</w:t>
            </w:r>
          </w:p>
        </w:tc>
      </w:tr>
      <w:tr w:rsidR="0095501C" w:rsidRPr="00AC7600" w14:paraId="2E9D46F1" w14:textId="77777777" w:rsidTr="00AC3689">
        <w:tc>
          <w:tcPr>
            <w:tcW w:w="1803" w:type="dxa"/>
            <w:tcBorders>
              <w:bottom w:val="single" w:sz="4" w:space="0" w:color="auto"/>
            </w:tcBorders>
            <w:vAlign w:val="center"/>
          </w:tcPr>
          <w:p w14:paraId="70BE320D" w14:textId="4777D286" w:rsidR="0095501C" w:rsidRPr="00AC7600" w:rsidRDefault="0095501C" w:rsidP="0095501C">
            <w:pPr>
              <w:rPr>
                <w:rFonts w:ascii="Times New Roman" w:hAnsi="Times New Roman" w:cs="Times New Roman"/>
              </w:rPr>
            </w:pPr>
            <w:r w:rsidRPr="00AC7600">
              <w:rPr>
                <w:rStyle w:val="Strk"/>
                <w:rFonts w:ascii="Times New Roman" w:hAnsi="Times New Roman" w:cs="Times New Roman"/>
                <w:b w:val="0"/>
                <w:bCs w:val="0"/>
                <w:sz w:val="20"/>
                <w:szCs w:val="20"/>
              </w:rPr>
              <w:t>Total (USD yr⁻¹)</w:t>
            </w:r>
          </w:p>
        </w:tc>
        <w:tc>
          <w:tcPr>
            <w:tcW w:w="1803" w:type="dxa"/>
            <w:tcBorders>
              <w:bottom w:val="single" w:sz="4" w:space="0" w:color="auto"/>
            </w:tcBorders>
            <w:vAlign w:val="center"/>
          </w:tcPr>
          <w:p w14:paraId="4B931834" w14:textId="1AB1562E" w:rsidR="0095501C" w:rsidRPr="00AC7600" w:rsidRDefault="0095501C" w:rsidP="00587588">
            <w:pPr>
              <w:jc w:val="center"/>
              <w:rPr>
                <w:rFonts w:ascii="Times New Roman" w:hAnsi="Times New Roman" w:cs="Times New Roman"/>
              </w:rPr>
            </w:pPr>
            <w:r w:rsidRPr="00AC7600">
              <w:rPr>
                <w:rFonts w:ascii="Times New Roman" w:hAnsi="Times New Roman" w:cs="Times New Roman"/>
                <w:sz w:val="20"/>
                <w:szCs w:val="20"/>
              </w:rPr>
              <w:t>—</w:t>
            </w:r>
          </w:p>
        </w:tc>
        <w:tc>
          <w:tcPr>
            <w:tcW w:w="1803" w:type="dxa"/>
            <w:tcBorders>
              <w:bottom w:val="single" w:sz="4" w:space="0" w:color="auto"/>
            </w:tcBorders>
            <w:vAlign w:val="center"/>
          </w:tcPr>
          <w:p w14:paraId="651469EA" w14:textId="6845A109" w:rsidR="0095501C" w:rsidRPr="00AC7600" w:rsidRDefault="0095501C" w:rsidP="00587588">
            <w:pPr>
              <w:jc w:val="center"/>
              <w:rPr>
                <w:rFonts w:ascii="Times New Roman" w:hAnsi="Times New Roman" w:cs="Times New Roman"/>
              </w:rPr>
            </w:pPr>
            <w:r w:rsidRPr="00AC7600">
              <w:rPr>
                <w:rFonts w:ascii="Times New Roman" w:hAnsi="Times New Roman" w:cs="Times New Roman"/>
                <w:sz w:val="20"/>
                <w:szCs w:val="20"/>
              </w:rPr>
              <w:t>—</w:t>
            </w:r>
          </w:p>
        </w:tc>
        <w:tc>
          <w:tcPr>
            <w:tcW w:w="1803" w:type="dxa"/>
            <w:tcBorders>
              <w:bottom w:val="single" w:sz="4" w:space="0" w:color="auto"/>
            </w:tcBorders>
            <w:vAlign w:val="center"/>
          </w:tcPr>
          <w:p w14:paraId="5B302CD8" w14:textId="72539CD2" w:rsidR="0095501C" w:rsidRPr="00AC7600" w:rsidRDefault="0095501C" w:rsidP="00587588">
            <w:pPr>
              <w:jc w:val="center"/>
              <w:rPr>
                <w:rFonts w:ascii="Times New Roman" w:hAnsi="Times New Roman" w:cs="Times New Roman"/>
              </w:rPr>
            </w:pPr>
            <w:r w:rsidRPr="00AC7600">
              <w:rPr>
                <w:rFonts w:ascii="Times New Roman" w:hAnsi="Times New Roman" w:cs="Times New Roman"/>
                <w:sz w:val="20"/>
                <w:szCs w:val="20"/>
              </w:rPr>
              <w:t>—</w:t>
            </w:r>
          </w:p>
        </w:tc>
        <w:tc>
          <w:tcPr>
            <w:tcW w:w="1804" w:type="dxa"/>
            <w:tcBorders>
              <w:bottom w:val="single" w:sz="4" w:space="0" w:color="auto"/>
            </w:tcBorders>
            <w:vAlign w:val="center"/>
          </w:tcPr>
          <w:p w14:paraId="62353774" w14:textId="75255050" w:rsidR="0095501C" w:rsidRPr="00AC7600" w:rsidRDefault="0095501C" w:rsidP="00587588">
            <w:pPr>
              <w:jc w:val="center"/>
              <w:rPr>
                <w:rFonts w:ascii="Times New Roman" w:hAnsi="Times New Roman" w:cs="Times New Roman"/>
              </w:rPr>
            </w:pPr>
            <w:r w:rsidRPr="00AC7600">
              <w:rPr>
                <w:rStyle w:val="Strk"/>
                <w:rFonts w:ascii="Times New Roman" w:hAnsi="Times New Roman" w:cs="Times New Roman"/>
                <w:b w:val="0"/>
                <w:bCs w:val="0"/>
                <w:sz w:val="20"/>
                <w:szCs w:val="20"/>
              </w:rPr>
              <w:t>≈ 6,671</w:t>
            </w:r>
          </w:p>
        </w:tc>
      </w:tr>
    </w:tbl>
    <w:p w14:paraId="69B95E5F" w14:textId="77777777" w:rsidR="0095501C" w:rsidRPr="00AC7600" w:rsidRDefault="0095501C">
      <w:pPr>
        <w:rPr>
          <w:rFonts w:ascii="Times New Roman" w:hAnsi="Times New Roman" w:cs="Times New Roman"/>
        </w:rPr>
      </w:pPr>
    </w:p>
    <w:p w14:paraId="6D694DAA" w14:textId="111C152E" w:rsidR="00BD041E" w:rsidRPr="00AC7600" w:rsidRDefault="00063366">
      <w:pPr>
        <w:rPr>
          <w:rFonts w:ascii="Times New Roman" w:hAnsi="Times New Roman" w:cs="Times New Roman"/>
        </w:rPr>
      </w:pPr>
      <w:r w:rsidRPr="00AC7600">
        <w:rPr>
          <w:rFonts w:ascii="Times New Roman" w:hAnsi="Times New Roman" w:cs="Times New Roman"/>
        </w:rPr>
        <w:lastRenderedPageBreak/>
        <w:t xml:space="preserve"> </w:t>
      </w:r>
      <w:r w:rsidR="002A6D32" w:rsidRPr="00AC7600">
        <w:rPr>
          <w:rFonts w:ascii="Times New Roman" w:hAnsi="Times New Roman" w:cs="Times New Roman"/>
        </w:rPr>
        <w:t xml:space="preserve">As the largest processor, </w:t>
      </w:r>
      <w:r w:rsidR="00C54BA0" w:rsidRPr="00AC7600">
        <w:rPr>
          <w:rFonts w:ascii="Times New Roman" w:hAnsi="Times New Roman" w:cs="Times New Roman"/>
        </w:rPr>
        <w:t xml:space="preserve">Whey drinking </w:t>
      </w:r>
      <w:r w:rsidR="001C0D94" w:rsidRPr="00AC7600">
        <w:rPr>
          <w:rFonts w:ascii="Times New Roman" w:hAnsi="Times New Roman" w:cs="Times New Roman"/>
        </w:rPr>
        <w:t>yoghurt</w:t>
      </w:r>
      <w:r w:rsidR="00C54BA0" w:rsidRPr="00AC7600">
        <w:rPr>
          <w:rFonts w:ascii="Times New Roman" w:hAnsi="Times New Roman" w:cs="Times New Roman"/>
        </w:rPr>
        <w:t xml:space="preserve"> </w:t>
      </w:r>
      <w:r w:rsidR="002A6D32" w:rsidRPr="00AC7600">
        <w:rPr>
          <w:rFonts w:ascii="Times New Roman" w:hAnsi="Times New Roman" w:cs="Times New Roman"/>
        </w:rPr>
        <w:t>accounts for ~80 % of total social-environmental benefits. Energy recovery dominates (</w:t>
      </w:r>
      <w:r w:rsidR="001C0D94" w:rsidRPr="00AC7600">
        <w:rPr>
          <w:rFonts w:ascii="Times New Roman" w:hAnsi="Times New Roman" w:cs="Times New Roman"/>
        </w:rPr>
        <w:t>52%</w:t>
      </w:r>
      <w:r w:rsidR="002A6D32" w:rsidRPr="00AC7600">
        <w:rPr>
          <w:rFonts w:ascii="Times New Roman" w:hAnsi="Times New Roman" w:cs="Times New Roman"/>
        </w:rPr>
        <w:t xml:space="preserve">), but </w:t>
      </w:r>
      <w:proofErr w:type="spellStart"/>
      <w:r w:rsidR="002A6D32" w:rsidRPr="00AC7600">
        <w:rPr>
          <w:rFonts w:ascii="Times New Roman" w:hAnsi="Times New Roman" w:cs="Times New Roman"/>
        </w:rPr>
        <w:t>labour</w:t>
      </w:r>
      <w:proofErr w:type="spellEnd"/>
      <w:r w:rsidR="002A6D32" w:rsidRPr="00AC7600">
        <w:rPr>
          <w:rFonts w:ascii="Times New Roman" w:hAnsi="Times New Roman" w:cs="Times New Roman"/>
        </w:rPr>
        <w:t xml:space="preserve"> and inclusion effects are also substantial—supporting rural jobs and gender participation within formal dairy value chains </w:t>
      </w:r>
      <w:sdt>
        <w:sdtPr>
          <w:rPr>
            <w:rFonts w:ascii="Times New Roman" w:hAnsi="Times New Roman" w:cs="Times New Roman"/>
          </w:rPr>
          <w:tag w:val="MENDELEY_CITATION_v3_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"/>
          <w:id w:val="1528529919"/>
          <w:placeholder>
            <w:docPart w:val="DefaultPlaceholder_-1854013440"/>
          </w:placeholder>
        </w:sdtPr>
        <w:sdtEndPr/>
        <w:sdtContent>
          <w:r w:rsidR="001C0D94" w:rsidRPr="00AC7600">
            <w:rPr>
              <w:rFonts w:ascii="Times New Roman" w:hAnsi="Times New Roman" w:cs="Times New Roman"/>
            </w:rPr>
            <w:t>(Mutio et al., 2025)</w:t>
          </w:r>
        </w:sdtContent>
      </w:sdt>
    </w:p>
    <w:p w14:paraId="62CEF4D3" w14:textId="37D116C6" w:rsidR="00BD041E" w:rsidRPr="00AC7600" w:rsidRDefault="00BD041E">
      <w:pPr>
        <w:rPr>
          <w:rFonts w:ascii="Times New Roman" w:hAnsi="Times New Roman" w:cs="Times New Roman"/>
        </w:rPr>
      </w:pPr>
      <w:r w:rsidRPr="00AC7600">
        <w:rPr>
          <w:rFonts w:ascii="Times New Roman" w:hAnsi="Times New Roman" w:cs="Times New Roman"/>
        </w:rPr>
        <w:t xml:space="preserve">Table </w:t>
      </w:r>
      <w:r w:rsidR="00587588" w:rsidRPr="00AC7600">
        <w:t>A4d</w:t>
      </w:r>
      <w:r w:rsidRPr="00AC7600">
        <w:rPr>
          <w:rFonts w:ascii="Times New Roman" w:hAnsi="Times New Roman" w:cs="Times New Roman"/>
        </w:rPr>
        <w:t xml:space="preserve">. Whey </w:t>
      </w:r>
      <w:r w:rsidR="00B135A8" w:rsidRPr="00AC7600">
        <w:rPr>
          <w:rFonts w:ascii="Times New Roman" w:hAnsi="Times New Roman" w:cs="Times New Roman"/>
        </w:rPr>
        <w:t>only</w:t>
      </w:r>
      <w:r w:rsidR="00587588" w:rsidRPr="00AC7600">
        <w:rPr>
          <w:rFonts w:ascii="Times New Roman" w:hAnsi="Times New Roman" w:cs="Times New Roman"/>
        </w:rPr>
        <w:t xml:space="preserve"> processor</w:t>
      </w:r>
    </w:p>
    <w:tbl>
      <w:tblPr>
        <w:tblStyle w:val="Tabel-Gitte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1803"/>
        <w:gridCol w:w="1803"/>
        <w:gridCol w:w="1803"/>
        <w:gridCol w:w="1803"/>
        <w:gridCol w:w="1804"/>
      </w:tblGrid>
      <w:tr w:rsidR="00AC7600" w:rsidRPr="00AC7600" w14:paraId="31BD4FE4" w14:textId="77777777" w:rsidTr="00AC3689">
        <w:tc>
          <w:tcPr>
            <w:tcW w:w="1803" w:type="dxa"/>
            <w:tcBorders>
              <w:top w:val="single" w:sz="4" w:space="0" w:color="auto"/>
              <w:bottom w:val="single" w:sz="4" w:space="0" w:color="auto"/>
            </w:tcBorders>
            <w:vAlign w:val="center"/>
          </w:tcPr>
          <w:p w14:paraId="7B722FB0" w14:textId="717862E1" w:rsidR="0095501C" w:rsidRPr="00AC7600" w:rsidRDefault="0095501C" w:rsidP="0095501C">
            <w:pPr>
              <w:rPr>
                <w:rFonts w:ascii="Times New Roman" w:hAnsi="Times New Roman" w:cs="Times New Roman"/>
              </w:rPr>
            </w:pPr>
            <w:r w:rsidRPr="00AC7600">
              <w:rPr>
                <w:rFonts w:ascii="Times New Roman" w:hAnsi="Times New Roman" w:cs="Times New Roman"/>
                <w:sz w:val="20"/>
                <w:szCs w:val="20"/>
              </w:rPr>
              <w:t>Externality Type</w:t>
            </w:r>
          </w:p>
        </w:tc>
        <w:tc>
          <w:tcPr>
            <w:tcW w:w="1803" w:type="dxa"/>
            <w:tcBorders>
              <w:top w:val="single" w:sz="4" w:space="0" w:color="auto"/>
              <w:bottom w:val="single" w:sz="4" w:space="0" w:color="auto"/>
            </w:tcBorders>
            <w:vAlign w:val="center"/>
          </w:tcPr>
          <w:p w14:paraId="669C6ECB" w14:textId="7F0769BE" w:rsidR="0095501C" w:rsidRPr="00AC7600" w:rsidRDefault="0095501C" w:rsidP="00587588">
            <w:pPr>
              <w:jc w:val="center"/>
              <w:rPr>
                <w:rFonts w:ascii="Times New Roman" w:hAnsi="Times New Roman" w:cs="Times New Roman"/>
              </w:rPr>
            </w:pPr>
            <w:r w:rsidRPr="00AC7600">
              <w:rPr>
                <w:rFonts w:ascii="Times New Roman" w:hAnsi="Times New Roman" w:cs="Times New Roman"/>
                <w:sz w:val="20"/>
                <w:szCs w:val="20"/>
              </w:rPr>
              <w:t>Estimation Basis</w:t>
            </w:r>
          </w:p>
        </w:tc>
        <w:tc>
          <w:tcPr>
            <w:tcW w:w="1803" w:type="dxa"/>
            <w:tcBorders>
              <w:top w:val="single" w:sz="4" w:space="0" w:color="auto"/>
              <w:bottom w:val="single" w:sz="4" w:space="0" w:color="auto"/>
            </w:tcBorders>
            <w:vAlign w:val="center"/>
          </w:tcPr>
          <w:p w14:paraId="1A534554" w14:textId="2F69F243" w:rsidR="0095501C" w:rsidRPr="00AC7600" w:rsidRDefault="0095501C" w:rsidP="00587588">
            <w:pPr>
              <w:jc w:val="center"/>
              <w:rPr>
                <w:rFonts w:ascii="Times New Roman" w:hAnsi="Times New Roman" w:cs="Times New Roman"/>
              </w:rPr>
            </w:pPr>
            <w:r w:rsidRPr="00AC7600">
              <w:rPr>
                <w:rFonts w:ascii="Times New Roman" w:hAnsi="Times New Roman" w:cs="Times New Roman"/>
                <w:sz w:val="20"/>
                <w:szCs w:val="20"/>
              </w:rPr>
              <w:t>Quantity per yr (t or unit)</w:t>
            </w:r>
          </w:p>
        </w:tc>
        <w:tc>
          <w:tcPr>
            <w:tcW w:w="1803" w:type="dxa"/>
            <w:tcBorders>
              <w:top w:val="single" w:sz="4" w:space="0" w:color="auto"/>
              <w:bottom w:val="single" w:sz="4" w:space="0" w:color="auto"/>
            </w:tcBorders>
            <w:vAlign w:val="center"/>
          </w:tcPr>
          <w:p w14:paraId="07976A5B" w14:textId="558349FF" w:rsidR="0095501C" w:rsidRPr="00AC7600" w:rsidRDefault="0095501C" w:rsidP="00587588">
            <w:pPr>
              <w:jc w:val="center"/>
              <w:rPr>
                <w:rFonts w:ascii="Times New Roman" w:hAnsi="Times New Roman" w:cs="Times New Roman"/>
              </w:rPr>
            </w:pPr>
            <w:r w:rsidRPr="00AC7600">
              <w:rPr>
                <w:rFonts w:ascii="Times New Roman" w:hAnsi="Times New Roman" w:cs="Times New Roman"/>
                <w:sz w:val="20"/>
                <w:szCs w:val="20"/>
              </w:rPr>
              <w:t>Unit Value (USD/unit)</w:t>
            </w:r>
          </w:p>
        </w:tc>
        <w:tc>
          <w:tcPr>
            <w:tcW w:w="1804" w:type="dxa"/>
            <w:tcBorders>
              <w:top w:val="single" w:sz="4" w:space="0" w:color="auto"/>
              <w:bottom w:val="single" w:sz="4" w:space="0" w:color="auto"/>
            </w:tcBorders>
            <w:vAlign w:val="center"/>
          </w:tcPr>
          <w:p w14:paraId="56D7D96F" w14:textId="1C667411" w:rsidR="0095501C" w:rsidRPr="00AC7600" w:rsidRDefault="0095501C" w:rsidP="00587588">
            <w:pPr>
              <w:jc w:val="center"/>
              <w:rPr>
                <w:rFonts w:ascii="Times New Roman" w:hAnsi="Times New Roman" w:cs="Times New Roman"/>
              </w:rPr>
            </w:pPr>
            <w:r w:rsidRPr="00AC7600">
              <w:rPr>
                <w:rFonts w:ascii="Times New Roman" w:hAnsi="Times New Roman" w:cs="Times New Roman"/>
                <w:sz w:val="20"/>
                <w:szCs w:val="20"/>
              </w:rPr>
              <w:t>Total Value (USD yr⁻¹)</w:t>
            </w:r>
          </w:p>
        </w:tc>
      </w:tr>
      <w:tr w:rsidR="00AC7600" w:rsidRPr="00AC7600" w14:paraId="4FB352B9" w14:textId="77777777" w:rsidTr="00AC3689">
        <w:tc>
          <w:tcPr>
            <w:tcW w:w="1803" w:type="dxa"/>
            <w:tcBorders>
              <w:top w:val="single" w:sz="4" w:space="0" w:color="auto"/>
            </w:tcBorders>
            <w:vAlign w:val="center"/>
          </w:tcPr>
          <w:p w14:paraId="46AEAC21" w14:textId="32E1C404" w:rsidR="0095501C" w:rsidRPr="00AC7600" w:rsidRDefault="0095501C" w:rsidP="0095501C">
            <w:pPr>
              <w:rPr>
                <w:rFonts w:ascii="Times New Roman" w:hAnsi="Times New Roman" w:cs="Times New Roman"/>
              </w:rPr>
            </w:pPr>
            <w:r w:rsidRPr="00AC7600">
              <w:rPr>
                <w:rFonts w:ascii="Times New Roman" w:hAnsi="Times New Roman" w:cs="Times New Roman"/>
                <w:sz w:val="20"/>
                <w:szCs w:val="20"/>
              </w:rPr>
              <w:t>GHG emission reduction</w:t>
            </w:r>
          </w:p>
        </w:tc>
        <w:tc>
          <w:tcPr>
            <w:tcW w:w="1803" w:type="dxa"/>
            <w:tcBorders>
              <w:top w:val="single" w:sz="4" w:space="0" w:color="auto"/>
            </w:tcBorders>
            <w:vAlign w:val="center"/>
          </w:tcPr>
          <w:p w14:paraId="360E40B6" w14:textId="4B0699CA" w:rsidR="0095501C" w:rsidRPr="00AC7600" w:rsidRDefault="0095501C" w:rsidP="00587588">
            <w:pPr>
              <w:jc w:val="center"/>
              <w:rPr>
                <w:rFonts w:ascii="Times New Roman" w:hAnsi="Times New Roman" w:cs="Times New Roman"/>
              </w:rPr>
            </w:pPr>
            <w:r w:rsidRPr="00AC7600">
              <w:rPr>
                <w:rFonts w:ascii="Times New Roman" w:hAnsi="Times New Roman" w:cs="Times New Roman"/>
                <w:sz w:val="20"/>
                <w:szCs w:val="20"/>
              </w:rPr>
              <w:t xml:space="preserve">0.55 t </w:t>
            </w:r>
            <w:proofErr w:type="spellStart"/>
            <w:r w:rsidRPr="00AC7600">
              <w:rPr>
                <w:rFonts w:ascii="Times New Roman" w:hAnsi="Times New Roman" w:cs="Times New Roman"/>
                <w:sz w:val="20"/>
                <w:szCs w:val="20"/>
              </w:rPr>
              <w:t>CO₂e</w:t>
            </w:r>
            <w:proofErr w:type="spellEnd"/>
            <w:r w:rsidRPr="00AC7600">
              <w:rPr>
                <w:rFonts w:ascii="Times New Roman" w:hAnsi="Times New Roman" w:cs="Times New Roman"/>
                <w:sz w:val="20"/>
                <w:szCs w:val="20"/>
              </w:rPr>
              <w:t xml:space="preserve"> t⁻¹ whey</w:t>
            </w:r>
          </w:p>
        </w:tc>
        <w:tc>
          <w:tcPr>
            <w:tcW w:w="1803" w:type="dxa"/>
            <w:tcBorders>
              <w:top w:val="single" w:sz="4" w:space="0" w:color="auto"/>
            </w:tcBorders>
            <w:vAlign w:val="center"/>
          </w:tcPr>
          <w:p w14:paraId="5BD54DF9" w14:textId="4DCD6844" w:rsidR="0095501C" w:rsidRPr="00AC7600" w:rsidRDefault="0095501C" w:rsidP="00587588">
            <w:pPr>
              <w:jc w:val="center"/>
              <w:rPr>
                <w:rFonts w:ascii="Times New Roman" w:hAnsi="Times New Roman" w:cs="Times New Roman"/>
              </w:rPr>
            </w:pPr>
            <w:r w:rsidRPr="00AC7600">
              <w:rPr>
                <w:rFonts w:ascii="Times New Roman" w:hAnsi="Times New Roman" w:cs="Times New Roman"/>
                <w:sz w:val="20"/>
                <w:szCs w:val="20"/>
              </w:rPr>
              <w:t xml:space="preserve">8.44 t </w:t>
            </w:r>
            <w:proofErr w:type="spellStart"/>
            <w:r w:rsidRPr="00AC7600">
              <w:rPr>
                <w:rFonts w:ascii="Times New Roman" w:hAnsi="Times New Roman" w:cs="Times New Roman"/>
                <w:sz w:val="20"/>
                <w:szCs w:val="20"/>
              </w:rPr>
              <w:t>CO₂e</w:t>
            </w:r>
            <w:proofErr w:type="spellEnd"/>
          </w:p>
        </w:tc>
        <w:tc>
          <w:tcPr>
            <w:tcW w:w="1803" w:type="dxa"/>
            <w:tcBorders>
              <w:top w:val="single" w:sz="4" w:space="0" w:color="auto"/>
            </w:tcBorders>
            <w:vAlign w:val="center"/>
          </w:tcPr>
          <w:p w14:paraId="211D2AB7" w14:textId="35272C58" w:rsidR="0095501C" w:rsidRPr="00AC7600" w:rsidRDefault="0095501C" w:rsidP="00587588">
            <w:pPr>
              <w:jc w:val="center"/>
              <w:rPr>
                <w:rFonts w:ascii="Times New Roman" w:hAnsi="Times New Roman" w:cs="Times New Roman"/>
              </w:rPr>
            </w:pPr>
            <w:r w:rsidRPr="00AC7600">
              <w:rPr>
                <w:rFonts w:ascii="Times New Roman" w:hAnsi="Times New Roman" w:cs="Times New Roman"/>
                <w:sz w:val="20"/>
                <w:szCs w:val="20"/>
              </w:rPr>
              <w:t xml:space="preserve">10 t⁻¹ </w:t>
            </w:r>
            <w:proofErr w:type="spellStart"/>
            <w:r w:rsidRPr="00AC7600">
              <w:rPr>
                <w:rFonts w:ascii="Times New Roman" w:hAnsi="Times New Roman" w:cs="Times New Roman"/>
                <w:sz w:val="20"/>
                <w:szCs w:val="20"/>
              </w:rPr>
              <w:t>CO₂e</w:t>
            </w:r>
            <w:proofErr w:type="spellEnd"/>
          </w:p>
        </w:tc>
        <w:tc>
          <w:tcPr>
            <w:tcW w:w="1804" w:type="dxa"/>
            <w:tcBorders>
              <w:top w:val="single" w:sz="4" w:space="0" w:color="auto"/>
            </w:tcBorders>
            <w:vAlign w:val="center"/>
          </w:tcPr>
          <w:p w14:paraId="76FC7F7A" w14:textId="4D8AB87B" w:rsidR="0095501C" w:rsidRPr="00AC7600" w:rsidRDefault="0095501C" w:rsidP="00587588">
            <w:pPr>
              <w:jc w:val="center"/>
              <w:rPr>
                <w:rFonts w:ascii="Times New Roman" w:hAnsi="Times New Roman" w:cs="Times New Roman"/>
              </w:rPr>
            </w:pPr>
            <w:r w:rsidRPr="00AC7600">
              <w:rPr>
                <w:rStyle w:val="Strk"/>
                <w:rFonts w:ascii="Times New Roman" w:hAnsi="Times New Roman" w:cs="Times New Roman"/>
                <w:b w:val="0"/>
                <w:bCs w:val="0"/>
                <w:sz w:val="20"/>
                <w:szCs w:val="20"/>
              </w:rPr>
              <w:t>84</w:t>
            </w:r>
          </w:p>
        </w:tc>
      </w:tr>
      <w:tr w:rsidR="00AC7600" w:rsidRPr="00AC7600" w14:paraId="3C7EF535" w14:textId="77777777" w:rsidTr="00AC3689">
        <w:tc>
          <w:tcPr>
            <w:tcW w:w="1803" w:type="dxa"/>
            <w:vAlign w:val="center"/>
          </w:tcPr>
          <w:p w14:paraId="2D795029" w14:textId="2F1E58C6" w:rsidR="0095501C" w:rsidRPr="00AC7600" w:rsidRDefault="0095501C" w:rsidP="0095501C">
            <w:pPr>
              <w:rPr>
                <w:rFonts w:ascii="Times New Roman" w:hAnsi="Times New Roman" w:cs="Times New Roman"/>
              </w:rPr>
            </w:pPr>
            <w:r w:rsidRPr="00AC7600">
              <w:rPr>
                <w:rFonts w:ascii="Times New Roman" w:hAnsi="Times New Roman" w:cs="Times New Roman"/>
                <w:sz w:val="20"/>
                <w:szCs w:val="20"/>
              </w:rPr>
              <w:t>Wastewater pollution avoidance</w:t>
            </w:r>
          </w:p>
        </w:tc>
        <w:tc>
          <w:tcPr>
            <w:tcW w:w="1803" w:type="dxa"/>
            <w:vAlign w:val="center"/>
          </w:tcPr>
          <w:p w14:paraId="2204FD47" w14:textId="55797382" w:rsidR="0095501C" w:rsidRPr="00AC7600" w:rsidRDefault="0095501C" w:rsidP="00587588">
            <w:pPr>
              <w:jc w:val="center"/>
              <w:rPr>
                <w:rFonts w:ascii="Times New Roman" w:hAnsi="Times New Roman" w:cs="Times New Roman"/>
              </w:rPr>
            </w:pPr>
            <w:r w:rsidRPr="00AC7600">
              <w:rPr>
                <w:rFonts w:ascii="Times New Roman" w:hAnsi="Times New Roman" w:cs="Times New Roman"/>
                <w:sz w:val="20"/>
                <w:szCs w:val="20"/>
              </w:rPr>
              <w:t>1 t whey</w:t>
            </w:r>
          </w:p>
        </w:tc>
        <w:tc>
          <w:tcPr>
            <w:tcW w:w="1803" w:type="dxa"/>
            <w:vAlign w:val="center"/>
          </w:tcPr>
          <w:p w14:paraId="3475521A" w14:textId="55A5EA3C" w:rsidR="0095501C" w:rsidRPr="00AC7600" w:rsidRDefault="0095501C" w:rsidP="00587588">
            <w:pPr>
              <w:jc w:val="center"/>
              <w:rPr>
                <w:rFonts w:ascii="Times New Roman" w:hAnsi="Times New Roman" w:cs="Times New Roman"/>
              </w:rPr>
            </w:pPr>
            <w:r w:rsidRPr="00AC7600">
              <w:rPr>
                <w:rFonts w:ascii="Times New Roman" w:hAnsi="Times New Roman" w:cs="Times New Roman"/>
                <w:sz w:val="20"/>
                <w:szCs w:val="20"/>
              </w:rPr>
              <w:t>15.34 t</w:t>
            </w:r>
          </w:p>
        </w:tc>
        <w:tc>
          <w:tcPr>
            <w:tcW w:w="1803" w:type="dxa"/>
            <w:vAlign w:val="center"/>
          </w:tcPr>
          <w:p w14:paraId="13DB89F6" w14:textId="04CE1F54" w:rsidR="0095501C" w:rsidRPr="00AC7600" w:rsidRDefault="0095501C" w:rsidP="00587588">
            <w:pPr>
              <w:jc w:val="center"/>
              <w:rPr>
                <w:rFonts w:ascii="Times New Roman" w:hAnsi="Times New Roman" w:cs="Times New Roman"/>
              </w:rPr>
            </w:pPr>
            <w:r w:rsidRPr="00AC7600">
              <w:rPr>
                <w:rFonts w:ascii="Times New Roman" w:hAnsi="Times New Roman" w:cs="Times New Roman"/>
                <w:sz w:val="20"/>
                <w:szCs w:val="20"/>
              </w:rPr>
              <w:t>12.5 t⁻¹ whey</w:t>
            </w:r>
          </w:p>
        </w:tc>
        <w:tc>
          <w:tcPr>
            <w:tcW w:w="1804" w:type="dxa"/>
            <w:vAlign w:val="center"/>
          </w:tcPr>
          <w:p w14:paraId="68486606" w14:textId="476AA406" w:rsidR="0095501C" w:rsidRPr="00AC7600" w:rsidRDefault="0095501C" w:rsidP="00587588">
            <w:pPr>
              <w:jc w:val="center"/>
              <w:rPr>
                <w:rFonts w:ascii="Times New Roman" w:hAnsi="Times New Roman" w:cs="Times New Roman"/>
              </w:rPr>
            </w:pPr>
            <w:r w:rsidRPr="00AC7600">
              <w:rPr>
                <w:rStyle w:val="Strk"/>
                <w:rFonts w:ascii="Times New Roman" w:hAnsi="Times New Roman" w:cs="Times New Roman"/>
                <w:b w:val="0"/>
                <w:bCs w:val="0"/>
                <w:sz w:val="20"/>
                <w:szCs w:val="20"/>
              </w:rPr>
              <w:t>192</w:t>
            </w:r>
          </w:p>
        </w:tc>
      </w:tr>
      <w:tr w:rsidR="00AC7600" w:rsidRPr="00AC7600" w14:paraId="1396C785" w14:textId="77777777" w:rsidTr="00AC3689">
        <w:tc>
          <w:tcPr>
            <w:tcW w:w="1803" w:type="dxa"/>
            <w:vAlign w:val="center"/>
          </w:tcPr>
          <w:p w14:paraId="6D91C3D9" w14:textId="239492E7" w:rsidR="0095501C" w:rsidRPr="00AC7600" w:rsidRDefault="0095501C" w:rsidP="0095501C">
            <w:pPr>
              <w:rPr>
                <w:rFonts w:ascii="Times New Roman" w:hAnsi="Times New Roman" w:cs="Times New Roman"/>
              </w:rPr>
            </w:pPr>
            <w:r w:rsidRPr="00AC7600">
              <w:rPr>
                <w:rFonts w:ascii="Times New Roman" w:hAnsi="Times New Roman" w:cs="Times New Roman"/>
                <w:sz w:val="20"/>
                <w:szCs w:val="20"/>
              </w:rPr>
              <w:t>Energy recovery</w:t>
            </w:r>
          </w:p>
        </w:tc>
        <w:tc>
          <w:tcPr>
            <w:tcW w:w="1803" w:type="dxa"/>
            <w:vAlign w:val="center"/>
          </w:tcPr>
          <w:p w14:paraId="0C13549F" w14:textId="13970BC2" w:rsidR="0095501C" w:rsidRPr="00AC7600" w:rsidRDefault="0095501C" w:rsidP="00587588">
            <w:pPr>
              <w:jc w:val="center"/>
              <w:rPr>
                <w:rFonts w:ascii="Times New Roman" w:hAnsi="Times New Roman" w:cs="Times New Roman"/>
              </w:rPr>
            </w:pPr>
            <w:r w:rsidRPr="00AC7600">
              <w:rPr>
                <w:rFonts w:ascii="Times New Roman" w:hAnsi="Times New Roman" w:cs="Times New Roman"/>
                <w:sz w:val="20"/>
                <w:szCs w:val="20"/>
              </w:rPr>
              <w:t>2.8 GJ t⁻¹ whey</w:t>
            </w:r>
          </w:p>
        </w:tc>
        <w:tc>
          <w:tcPr>
            <w:tcW w:w="1803" w:type="dxa"/>
            <w:vAlign w:val="center"/>
          </w:tcPr>
          <w:p w14:paraId="5CA203BE" w14:textId="4527A3C3" w:rsidR="0095501C" w:rsidRPr="00AC7600" w:rsidRDefault="0095501C" w:rsidP="00587588">
            <w:pPr>
              <w:jc w:val="center"/>
              <w:rPr>
                <w:rFonts w:ascii="Times New Roman" w:hAnsi="Times New Roman" w:cs="Times New Roman"/>
              </w:rPr>
            </w:pPr>
            <w:r w:rsidRPr="00AC7600">
              <w:rPr>
                <w:rFonts w:ascii="Times New Roman" w:hAnsi="Times New Roman" w:cs="Times New Roman"/>
                <w:sz w:val="20"/>
                <w:szCs w:val="20"/>
              </w:rPr>
              <w:t>42.9 GJ</w:t>
            </w:r>
          </w:p>
        </w:tc>
        <w:tc>
          <w:tcPr>
            <w:tcW w:w="1803" w:type="dxa"/>
            <w:vAlign w:val="center"/>
          </w:tcPr>
          <w:p w14:paraId="4E7681C4" w14:textId="657D1F47" w:rsidR="0095501C" w:rsidRPr="00AC7600" w:rsidRDefault="0095501C" w:rsidP="00587588">
            <w:pPr>
              <w:jc w:val="center"/>
              <w:rPr>
                <w:rFonts w:ascii="Times New Roman" w:hAnsi="Times New Roman" w:cs="Times New Roman"/>
              </w:rPr>
            </w:pPr>
            <w:r w:rsidRPr="00AC7600">
              <w:rPr>
                <w:rFonts w:ascii="Times New Roman" w:hAnsi="Times New Roman" w:cs="Times New Roman"/>
                <w:sz w:val="20"/>
                <w:szCs w:val="20"/>
              </w:rPr>
              <w:t>10.8 USD GJ⁻¹</w:t>
            </w:r>
          </w:p>
        </w:tc>
        <w:tc>
          <w:tcPr>
            <w:tcW w:w="1804" w:type="dxa"/>
            <w:vAlign w:val="center"/>
          </w:tcPr>
          <w:p w14:paraId="335D0BB4" w14:textId="20644CA1" w:rsidR="0095501C" w:rsidRPr="00AC7600" w:rsidRDefault="0095501C" w:rsidP="00587588">
            <w:pPr>
              <w:jc w:val="center"/>
              <w:rPr>
                <w:rFonts w:ascii="Times New Roman" w:hAnsi="Times New Roman" w:cs="Times New Roman"/>
              </w:rPr>
            </w:pPr>
            <w:r w:rsidRPr="00AC7600">
              <w:rPr>
                <w:rStyle w:val="Strk"/>
                <w:rFonts w:ascii="Times New Roman" w:hAnsi="Times New Roman" w:cs="Times New Roman"/>
                <w:b w:val="0"/>
                <w:bCs w:val="0"/>
                <w:sz w:val="20"/>
                <w:szCs w:val="20"/>
              </w:rPr>
              <w:t>460</w:t>
            </w:r>
          </w:p>
        </w:tc>
      </w:tr>
      <w:tr w:rsidR="00AC7600" w:rsidRPr="00AC7600" w14:paraId="0AB393D0" w14:textId="77777777" w:rsidTr="00AC3689">
        <w:tc>
          <w:tcPr>
            <w:tcW w:w="1803" w:type="dxa"/>
            <w:tcBorders>
              <w:bottom w:val="dotted" w:sz="4" w:space="0" w:color="auto"/>
            </w:tcBorders>
            <w:vAlign w:val="center"/>
          </w:tcPr>
          <w:p w14:paraId="1A70E59A" w14:textId="1E5B616C" w:rsidR="0095501C" w:rsidRPr="00AC7600" w:rsidRDefault="0095501C" w:rsidP="0095501C">
            <w:pPr>
              <w:rPr>
                <w:rFonts w:ascii="Times New Roman" w:hAnsi="Times New Roman" w:cs="Times New Roman"/>
              </w:rPr>
            </w:pPr>
            <w:r w:rsidRPr="00AC7600">
              <w:rPr>
                <w:rFonts w:ascii="Times New Roman" w:hAnsi="Times New Roman" w:cs="Times New Roman"/>
                <w:sz w:val="20"/>
                <w:szCs w:val="20"/>
              </w:rPr>
              <w:t>Employment &amp; social inclusion</w:t>
            </w:r>
          </w:p>
        </w:tc>
        <w:tc>
          <w:tcPr>
            <w:tcW w:w="1803" w:type="dxa"/>
            <w:tcBorders>
              <w:bottom w:val="dotted" w:sz="4" w:space="0" w:color="auto"/>
            </w:tcBorders>
            <w:vAlign w:val="center"/>
          </w:tcPr>
          <w:p w14:paraId="782505D5" w14:textId="6AA24E5F" w:rsidR="0095501C" w:rsidRPr="00AC7600" w:rsidRDefault="0095501C" w:rsidP="00587588">
            <w:pPr>
              <w:jc w:val="center"/>
              <w:rPr>
                <w:rFonts w:ascii="Times New Roman" w:hAnsi="Times New Roman" w:cs="Times New Roman"/>
              </w:rPr>
            </w:pPr>
            <w:r w:rsidRPr="00AC7600">
              <w:rPr>
                <w:rFonts w:ascii="Times New Roman" w:hAnsi="Times New Roman" w:cs="Times New Roman"/>
                <w:sz w:val="20"/>
                <w:szCs w:val="20"/>
              </w:rPr>
              <w:t>2.7 FTE per 1,000 t whey</w:t>
            </w:r>
          </w:p>
        </w:tc>
        <w:tc>
          <w:tcPr>
            <w:tcW w:w="1803" w:type="dxa"/>
            <w:tcBorders>
              <w:bottom w:val="dotted" w:sz="4" w:space="0" w:color="auto"/>
            </w:tcBorders>
            <w:vAlign w:val="center"/>
          </w:tcPr>
          <w:p w14:paraId="3F5DA1C2" w14:textId="3C1D1D9F" w:rsidR="0095501C" w:rsidRPr="00AC7600" w:rsidRDefault="0095501C" w:rsidP="00587588">
            <w:pPr>
              <w:jc w:val="center"/>
              <w:rPr>
                <w:rFonts w:ascii="Times New Roman" w:hAnsi="Times New Roman" w:cs="Times New Roman"/>
              </w:rPr>
            </w:pPr>
            <w:r w:rsidRPr="00AC7600">
              <w:rPr>
                <w:rFonts w:ascii="Times New Roman" w:hAnsi="Times New Roman" w:cs="Times New Roman"/>
                <w:sz w:val="20"/>
                <w:szCs w:val="20"/>
              </w:rPr>
              <w:t>0.041 FTE</w:t>
            </w:r>
          </w:p>
        </w:tc>
        <w:tc>
          <w:tcPr>
            <w:tcW w:w="1803" w:type="dxa"/>
            <w:tcBorders>
              <w:bottom w:val="dotted" w:sz="4" w:space="0" w:color="auto"/>
            </w:tcBorders>
            <w:vAlign w:val="center"/>
          </w:tcPr>
          <w:p w14:paraId="0613602E" w14:textId="3C610F84" w:rsidR="0095501C" w:rsidRPr="00AC7600" w:rsidRDefault="0095501C" w:rsidP="00587588">
            <w:pPr>
              <w:jc w:val="center"/>
              <w:rPr>
                <w:rFonts w:ascii="Times New Roman" w:hAnsi="Times New Roman" w:cs="Times New Roman"/>
              </w:rPr>
            </w:pPr>
            <w:r w:rsidRPr="00AC7600">
              <w:rPr>
                <w:rFonts w:ascii="Times New Roman" w:hAnsi="Times New Roman" w:cs="Times New Roman"/>
                <w:sz w:val="20"/>
                <w:szCs w:val="20"/>
              </w:rPr>
              <w:t>3,500 FTE⁻¹</w:t>
            </w:r>
          </w:p>
        </w:tc>
        <w:tc>
          <w:tcPr>
            <w:tcW w:w="1804" w:type="dxa"/>
            <w:tcBorders>
              <w:bottom w:val="dotted" w:sz="4" w:space="0" w:color="auto"/>
            </w:tcBorders>
            <w:vAlign w:val="center"/>
          </w:tcPr>
          <w:p w14:paraId="305D69E0" w14:textId="0E75C9F5" w:rsidR="0095501C" w:rsidRPr="00AC7600" w:rsidRDefault="0095501C" w:rsidP="00587588">
            <w:pPr>
              <w:jc w:val="center"/>
              <w:rPr>
                <w:rFonts w:ascii="Times New Roman" w:hAnsi="Times New Roman" w:cs="Times New Roman"/>
              </w:rPr>
            </w:pPr>
            <w:r w:rsidRPr="00AC7600">
              <w:rPr>
                <w:rStyle w:val="Strk"/>
                <w:rFonts w:ascii="Times New Roman" w:hAnsi="Times New Roman" w:cs="Times New Roman"/>
                <w:b w:val="0"/>
                <w:bCs w:val="0"/>
                <w:sz w:val="20"/>
                <w:szCs w:val="20"/>
              </w:rPr>
              <w:t>145</w:t>
            </w:r>
          </w:p>
        </w:tc>
      </w:tr>
      <w:tr w:rsidR="0095501C" w:rsidRPr="00AC7600" w14:paraId="70FFD507" w14:textId="77777777" w:rsidTr="00AC3689">
        <w:tc>
          <w:tcPr>
            <w:tcW w:w="1803" w:type="dxa"/>
            <w:tcBorders>
              <w:bottom w:val="single" w:sz="4" w:space="0" w:color="auto"/>
            </w:tcBorders>
            <w:vAlign w:val="center"/>
          </w:tcPr>
          <w:p w14:paraId="263A5972" w14:textId="19218E2F" w:rsidR="0095501C" w:rsidRPr="00AC7600" w:rsidRDefault="0095501C" w:rsidP="0095501C">
            <w:pPr>
              <w:rPr>
                <w:rFonts w:ascii="Times New Roman" w:hAnsi="Times New Roman" w:cs="Times New Roman"/>
              </w:rPr>
            </w:pPr>
            <w:r w:rsidRPr="00AC7600">
              <w:rPr>
                <w:rStyle w:val="Strk"/>
                <w:rFonts w:ascii="Times New Roman" w:hAnsi="Times New Roman" w:cs="Times New Roman"/>
                <w:b w:val="0"/>
                <w:bCs w:val="0"/>
                <w:sz w:val="20"/>
                <w:szCs w:val="20"/>
              </w:rPr>
              <w:t>Total (USD yr⁻¹)</w:t>
            </w:r>
          </w:p>
        </w:tc>
        <w:tc>
          <w:tcPr>
            <w:tcW w:w="1803" w:type="dxa"/>
            <w:tcBorders>
              <w:bottom w:val="single" w:sz="4" w:space="0" w:color="auto"/>
            </w:tcBorders>
            <w:vAlign w:val="center"/>
          </w:tcPr>
          <w:p w14:paraId="27863DD0" w14:textId="56AA091D" w:rsidR="0095501C" w:rsidRPr="00AC7600" w:rsidRDefault="0095501C" w:rsidP="00587588">
            <w:pPr>
              <w:jc w:val="center"/>
              <w:rPr>
                <w:rFonts w:ascii="Times New Roman" w:hAnsi="Times New Roman" w:cs="Times New Roman"/>
              </w:rPr>
            </w:pPr>
            <w:r w:rsidRPr="00AC7600">
              <w:rPr>
                <w:rFonts w:ascii="Times New Roman" w:hAnsi="Times New Roman" w:cs="Times New Roman"/>
                <w:sz w:val="20"/>
                <w:szCs w:val="20"/>
              </w:rPr>
              <w:t>—</w:t>
            </w:r>
          </w:p>
        </w:tc>
        <w:tc>
          <w:tcPr>
            <w:tcW w:w="1803" w:type="dxa"/>
            <w:tcBorders>
              <w:bottom w:val="single" w:sz="4" w:space="0" w:color="auto"/>
            </w:tcBorders>
            <w:vAlign w:val="center"/>
          </w:tcPr>
          <w:p w14:paraId="63FE0E68" w14:textId="48B2F222" w:rsidR="0095501C" w:rsidRPr="00AC7600" w:rsidRDefault="0095501C" w:rsidP="00587588">
            <w:pPr>
              <w:jc w:val="center"/>
              <w:rPr>
                <w:rFonts w:ascii="Times New Roman" w:hAnsi="Times New Roman" w:cs="Times New Roman"/>
              </w:rPr>
            </w:pPr>
            <w:r w:rsidRPr="00AC7600">
              <w:rPr>
                <w:rFonts w:ascii="Times New Roman" w:hAnsi="Times New Roman" w:cs="Times New Roman"/>
                <w:sz w:val="20"/>
                <w:szCs w:val="20"/>
              </w:rPr>
              <w:t>—</w:t>
            </w:r>
          </w:p>
        </w:tc>
        <w:tc>
          <w:tcPr>
            <w:tcW w:w="1803" w:type="dxa"/>
            <w:tcBorders>
              <w:bottom w:val="single" w:sz="4" w:space="0" w:color="auto"/>
            </w:tcBorders>
            <w:vAlign w:val="center"/>
          </w:tcPr>
          <w:p w14:paraId="247B8E50" w14:textId="5A784C6B" w:rsidR="0095501C" w:rsidRPr="00AC7600" w:rsidRDefault="0095501C" w:rsidP="00587588">
            <w:pPr>
              <w:jc w:val="center"/>
              <w:rPr>
                <w:rFonts w:ascii="Times New Roman" w:hAnsi="Times New Roman" w:cs="Times New Roman"/>
              </w:rPr>
            </w:pPr>
            <w:r w:rsidRPr="00AC7600">
              <w:rPr>
                <w:rFonts w:ascii="Times New Roman" w:hAnsi="Times New Roman" w:cs="Times New Roman"/>
                <w:sz w:val="20"/>
                <w:szCs w:val="20"/>
              </w:rPr>
              <w:t>—</w:t>
            </w:r>
          </w:p>
        </w:tc>
        <w:tc>
          <w:tcPr>
            <w:tcW w:w="1804" w:type="dxa"/>
            <w:tcBorders>
              <w:bottom w:val="single" w:sz="4" w:space="0" w:color="auto"/>
            </w:tcBorders>
            <w:vAlign w:val="center"/>
          </w:tcPr>
          <w:p w14:paraId="330F676F" w14:textId="4D73BEC0" w:rsidR="0095501C" w:rsidRPr="00AC7600" w:rsidRDefault="0095501C" w:rsidP="00587588">
            <w:pPr>
              <w:jc w:val="center"/>
              <w:rPr>
                <w:rFonts w:ascii="Times New Roman" w:hAnsi="Times New Roman" w:cs="Times New Roman"/>
              </w:rPr>
            </w:pPr>
            <w:r w:rsidRPr="00AC7600">
              <w:rPr>
                <w:rStyle w:val="Strk"/>
                <w:rFonts w:ascii="Times New Roman" w:hAnsi="Times New Roman" w:cs="Times New Roman"/>
                <w:b w:val="0"/>
                <w:bCs w:val="0"/>
                <w:sz w:val="20"/>
                <w:szCs w:val="20"/>
              </w:rPr>
              <w:t>≈ 881</w:t>
            </w:r>
          </w:p>
        </w:tc>
      </w:tr>
    </w:tbl>
    <w:p w14:paraId="35139D0B" w14:textId="77777777" w:rsidR="0095501C" w:rsidRPr="00AC7600" w:rsidRDefault="0095501C">
      <w:pPr>
        <w:rPr>
          <w:rFonts w:ascii="Times New Roman" w:hAnsi="Times New Roman" w:cs="Times New Roman"/>
        </w:rPr>
      </w:pPr>
    </w:p>
    <w:p w14:paraId="758F5333" w14:textId="0CCA9D5F" w:rsidR="006C4E79" w:rsidRPr="00AC7600" w:rsidRDefault="00B135A8">
      <w:pPr>
        <w:rPr>
          <w:rFonts w:ascii="Times New Roman" w:hAnsi="Times New Roman" w:cs="Times New Roman"/>
        </w:rPr>
      </w:pPr>
      <w:r w:rsidRPr="00AC7600">
        <w:rPr>
          <w:rFonts w:ascii="Times New Roman" w:hAnsi="Times New Roman" w:cs="Times New Roman"/>
        </w:rPr>
        <w:t xml:space="preserve">Whey only processor </w:t>
      </w:r>
      <w:r w:rsidR="001C0D94" w:rsidRPr="00AC7600">
        <w:rPr>
          <w:rFonts w:ascii="Times New Roman" w:hAnsi="Times New Roman" w:cs="Times New Roman"/>
        </w:rPr>
        <w:t>valorizes</w:t>
      </w:r>
      <w:r w:rsidRPr="00AC7600">
        <w:rPr>
          <w:rFonts w:ascii="Times New Roman" w:hAnsi="Times New Roman" w:cs="Times New Roman"/>
        </w:rPr>
        <w:t xml:space="preserve"> approximately 15 t yr⁻¹ of whey, producing USD 880 yr⁻¹ in welfare gains. Its process relies on whey-protein recovery, giving high energy-recovery and pollution-avoidance benefits relative to volume processed</w:t>
      </w:r>
      <w:r w:rsidR="006C4E79" w:rsidRPr="00AC7600">
        <w:rPr>
          <w:rFonts w:ascii="Times New Roman" w:hAnsi="Times New Roman" w:cs="Times New Roman"/>
        </w:rPr>
        <w:t>.</w:t>
      </w:r>
    </w:p>
    <w:p w14:paraId="6E917E85" w14:textId="46E9EAEA" w:rsidR="006C4E79" w:rsidRPr="00AC7600" w:rsidRDefault="006C4E79">
      <w:pPr>
        <w:rPr>
          <w:rFonts w:ascii="Times New Roman" w:hAnsi="Times New Roman" w:cs="Times New Roman"/>
        </w:rPr>
      </w:pPr>
      <w:r w:rsidRPr="00AC7600">
        <w:rPr>
          <w:rFonts w:ascii="Times New Roman" w:hAnsi="Times New Roman" w:cs="Times New Roman"/>
        </w:rPr>
        <w:t xml:space="preserve">Therefore, all processors combined, whey </w:t>
      </w:r>
      <w:r w:rsidR="001C0D94" w:rsidRPr="00AC7600">
        <w:rPr>
          <w:rFonts w:ascii="Times New Roman" w:hAnsi="Times New Roman" w:cs="Times New Roman"/>
        </w:rPr>
        <w:t>valorization</w:t>
      </w:r>
      <w:r w:rsidRPr="00AC7600">
        <w:rPr>
          <w:rFonts w:ascii="Times New Roman" w:hAnsi="Times New Roman" w:cs="Times New Roman"/>
        </w:rPr>
        <w:t xml:space="preserve"> yields roughly 8,300 USD yr⁻¹ in quantified externalities—equivalent to 12–18 % of their private net returns. If scaled to Kenya’s estimated 20,000 t of formal whey streams, these externalities correspond to 1.1–1.5</w:t>
      </w:r>
      <w:r w:rsidRPr="00AC7600">
        <w:rPr>
          <w:rFonts w:ascii="Times New Roman" w:hAnsi="Times New Roman" w:cs="Times New Roman"/>
          <w:b/>
          <w:bCs/>
        </w:rPr>
        <w:t xml:space="preserve"> </w:t>
      </w:r>
      <w:r w:rsidRPr="00AC7600">
        <w:rPr>
          <w:rFonts w:ascii="Times New Roman" w:hAnsi="Times New Roman" w:cs="Times New Roman"/>
        </w:rPr>
        <w:t>million USD yr⁻¹ in national welfare gains through avoided emissions, pollution control, renewable-energy substitution, and inclusive employment.</w:t>
      </w:r>
    </w:p>
    <w:p w14:paraId="2C5E28C7" w14:textId="77777777" w:rsidR="000F6CB0" w:rsidRPr="00AC7600" w:rsidRDefault="000F6CB0">
      <w:pPr>
        <w:rPr>
          <w:rFonts w:ascii="Times New Roman" w:hAnsi="Times New Roman" w:cs="Times New Roman"/>
        </w:rPr>
      </w:pPr>
    </w:p>
    <w:p w14:paraId="4CBFC8FC" w14:textId="2410F983" w:rsidR="000F6CB0" w:rsidRPr="00AC7600" w:rsidRDefault="000F6CB0" w:rsidP="000F6CB0">
      <w:pPr>
        <w:rPr>
          <w:rFonts w:ascii="Times New Roman" w:hAnsi="Times New Roman" w:cs="Times New Roman"/>
          <w:b/>
          <w:bCs/>
        </w:rPr>
      </w:pPr>
      <w:r w:rsidRPr="00AC7600">
        <w:rPr>
          <w:rFonts w:ascii="Times New Roman" w:hAnsi="Times New Roman" w:cs="Times New Roman"/>
          <w:b/>
          <w:bCs/>
        </w:rPr>
        <w:t>Appendix A</w:t>
      </w:r>
      <w:r w:rsidR="00C546B7" w:rsidRPr="00AC7600">
        <w:rPr>
          <w:rFonts w:ascii="Times New Roman" w:hAnsi="Times New Roman" w:cs="Times New Roman"/>
          <w:b/>
          <w:bCs/>
        </w:rPr>
        <w:t>5</w:t>
      </w:r>
      <w:r w:rsidRPr="00AC7600">
        <w:rPr>
          <w:rFonts w:ascii="Times New Roman" w:hAnsi="Times New Roman" w:cs="Times New Roman"/>
          <w:b/>
          <w:bCs/>
        </w:rPr>
        <w:t>:</w:t>
      </w:r>
      <w:r w:rsidRPr="00AC7600">
        <w:rPr>
          <w:rFonts w:ascii="Times New Roman" w:hAnsi="Times New Roman" w:cs="Times New Roman"/>
        </w:rPr>
        <w:t xml:space="preserve"> </w:t>
      </w:r>
      <w:r w:rsidRPr="00AC7600">
        <w:rPr>
          <w:rFonts w:ascii="Times New Roman" w:hAnsi="Times New Roman" w:cs="Times New Roman"/>
          <w:b/>
          <w:bCs/>
        </w:rPr>
        <w:t>Estimation of national whey stream</w:t>
      </w:r>
    </w:p>
    <w:p w14:paraId="748E3CEB" w14:textId="25A491DF" w:rsidR="000F6CB0" w:rsidRPr="00AC7600" w:rsidRDefault="000F6CB0" w:rsidP="000F6CB0">
      <w:pPr>
        <w:rPr>
          <w:rFonts w:ascii="Times New Roman" w:hAnsi="Times New Roman" w:cs="Times New Roman"/>
        </w:rPr>
      </w:pPr>
      <w:r w:rsidRPr="00AC7600">
        <w:rPr>
          <w:rFonts w:ascii="Times New Roman" w:hAnsi="Times New Roman" w:cs="Times New Roman"/>
        </w:rPr>
        <w:t xml:space="preserve">To contextualize processor-level results within the broader Kenyan dairy sector, the total quantity of whey generated annually was approximated at ~20,000 </w:t>
      </w:r>
      <w:proofErr w:type="spellStart"/>
      <w:r w:rsidRPr="00AC7600">
        <w:rPr>
          <w:rFonts w:ascii="Times New Roman" w:hAnsi="Times New Roman" w:cs="Times New Roman"/>
        </w:rPr>
        <w:t>tonnes</w:t>
      </w:r>
      <w:proofErr w:type="spellEnd"/>
      <w:r w:rsidRPr="00AC7600">
        <w:rPr>
          <w:rFonts w:ascii="Times New Roman" w:hAnsi="Times New Roman" w:cs="Times New Roman"/>
        </w:rPr>
        <w:t xml:space="preserve"> per year. This estimate was derived from official production data indicating that Kenya produces 6.03 billion litres of milk annually, of which 14 % (≈0.84 million </w:t>
      </w:r>
      <w:proofErr w:type="spellStart"/>
      <w:r w:rsidRPr="00AC7600">
        <w:rPr>
          <w:rFonts w:ascii="Times New Roman" w:hAnsi="Times New Roman" w:cs="Times New Roman"/>
        </w:rPr>
        <w:t>tonnes</w:t>
      </w:r>
      <w:proofErr w:type="spellEnd"/>
      <w:r w:rsidRPr="00AC7600">
        <w:rPr>
          <w:rFonts w:ascii="Times New Roman" w:hAnsi="Times New Roman" w:cs="Times New Roman"/>
        </w:rPr>
        <w:t xml:space="preserve">) is processed formally </w:t>
      </w:r>
      <w:sdt>
        <w:sdtPr>
          <w:rPr>
            <w:rFonts w:ascii="Times New Roman" w:hAnsi="Times New Roman" w:cs="Times New Roman"/>
          </w:rPr>
          <w:tag w:val="MENDELEY_CITATION_v3_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"/>
          <w:id w:val="-193383922"/>
          <w:placeholder>
            <w:docPart w:val="C90DF80D5AA84E9EBFE9151D8A312CE3"/>
          </w:placeholder>
        </w:sdtPr>
        <w:sdtEndPr/>
        <w:sdtContent>
          <w:r w:rsidR="001C0D94" w:rsidRPr="00AC7600">
            <w:rPr>
              <w:rFonts w:ascii="Times New Roman" w:hAnsi="Times New Roman" w:cs="Times New Roman"/>
            </w:rPr>
            <w:t>(Kenya Dairy Board, 2023)</w:t>
          </w:r>
        </w:sdtContent>
      </w:sdt>
      <w:r w:rsidRPr="00AC7600">
        <w:rPr>
          <w:rFonts w:ascii="Times New Roman" w:hAnsi="Times New Roman" w:cs="Times New Roman"/>
        </w:rPr>
        <w:t xml:space="preserve">. Of this volume, approximately 0.4–0.6 % is directed to cheese manufacture </w:t>
      </w:r>
      <w:sdt>
        <w:sdtPr>
          <w:rPr>
            <w:rFonts w:ascii="Times New Roman" w:hAnsi="Times New Roman" w:cs="Times New Roman"/>
          </w:rPr>
          <w:tag w:val="MENDELEY_CITATION_v3_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"/>
          <w:id w:val="-1663703681"/>
          <w:placeholder>
            <w:docPart w:val="C90DF80D5AA84E9EBFE9151D8A312CE3"/>
          </w:placeholder>
        </w:sdtPr>
        <w:sdtEndPr/>
        <w:sdtContent>
          <w:r w:rsidR="001C0D94" w:rsidRPr="00AC7600">
            <w:rPr>
              <w:rFonts w:ascii="Times New Roman" w:hAnsi="Times New Roman" w:cs="Times New Roman"/>
            </w:rPr>
            <w:t>(Kenya Dairy Board, 2023)</w:t>
          </w:r>
        </w:sdtContent>
      </w:sdt>
      <w:r w:rsidRPr="00AC7600">
        <w:rPr>
          <w:rFonts w:ascii="Times New Roman" w:hAnsi="Times New Roman" w:cs="Times New Roman"/>
        </w:rPr>
        <w:t xml:space="preserve">. Given a conversion ratio of 1 kg cheese producing 9 kg whey </w:t>
      </w:r>
      <w:sdt>
        <w:sdtPr>
          <w:rPr>
            <w:rFonts w:ascii="Times New Roman" w:hAnsi="Times New Roman" w:cs="Times New Roman"/>
          </w:rPr>
          <w:tag w:val="MENDELEY_CITATION_v3_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"/>
          <w:id w:val="1633596576"/>
          <w:placeholder>
            <w:docPart w:val="C90DF80D5AA84E9EBFE9151D8A312CE3"/>
          </w:placeholder>
        </w:sdtPr>
        <w:sdtEndPr/>
        <w:sdtContent>
          <w:r w:rsidR="001C0D94" w:rsidRPr="00AC7600">
            <w:rPr>
              <w:rFonts w:ascii="Times New Roman" w:hAnsi="Times New Roman" w:cs="Times New Roman"/>
            </w:rPr>
            <w:t>(</w:t>
          </w:r>
          <w:proofErr w:type="spellStart"/>
          <w:r w:rsidR="001C0D94" w:rsidRPr="00AC7600">
            <w:rPr>
              <w:rFonts w:ascii="Times New Roman" w:hAnsi="Times New Roman" w:cs="Times New Roman"/>
            </w:rPr>
            <w:t>Soumati</w:t>
          </w:r>
          <w:proofErr w:type="spellEnd"/>
          <w:r w:rsidR="001C0D94" w:rsidRPr="00AC7600">
            <w:rPr>
              <w:rFonts w:ascii="Times New Roman" w:hAnsi="Times New Roman" w:cs="Times New Roman"/>
            </w:rPr>
            <w:t xml:space="preserve"> et al., 2023; </w:t>
          </w:r>
          <w:proofErr w:type="spellStart"/>
          <w:r w:rsidR="001C0D94" w:rsidRPr="00AC7600">
            <w:rPr>
              <w:rFonts w:ascii="Times New Roman" w:hAnsi="Times New Roman" w:cs="Times New Roman"/>
            </w:rPr>
            <w:t>Zandona</w:t>
          </w:r>
          <w:proofErr w:type="spellEnd"/>
          <w:r w:rsidR="001C0D94" w:rsidRPr="00AC7600">
            <w:rPr>
              <w:rFonts w:ascii="Times New Roman" w:hAnsi="Times New Roman" w:cs="Times New Roman"/>
            </w:rPr>
            <w:t xml:space="preserve"> et al., 2021)</w:t>
          </w:r>
        </w:sdtContent>
      </w:sdt>
      <w:r w:rsidRPr="00AC7600">
        <w:rPr>
          <w:rFonts w:ascii="Times New Roman" w:hAnsi="Times New Roman" w:cs="Times New Roman"/>
        </w:rPr>
        <w:t xml:space="preserve">, the total theoretical whey output equals roughly 37,000–40,000 </w:t>
      </w:r>
      <w:proofErr w:type="spellStart"/>
      <w:r w:rsidRPr="00AC7600">
        <w:rPr>
          <w:rFonts w:ascii="Times New Roman" w:hAnsi="Times New Roman" w:cs="Times New Roman"/>
        </w:rPr>
        <w:t>tonnes</w:t>
      </w:r>
      <w:proofErr w:type="spellEnd"/>
      <w:r w:rsidRPr="00AC7600">
        <w:rPr>
          <w:rFonts w:ascii="Times New Roman" w:hAnsi="Times New Roman" w:cs="Times New Roman"/>
        </w:rPr>
        <w:t xml:space="preserve"> per year. After adjusting for solids recovery, moisture loss, and on-farm reuse, the effective </w:t>
      </w:r>
      <w:proofErr w:type="spellStart"/>
      <w:r w:rsidRPr="00AC7600">
        <w:rPr>
          <w:rFonts w:ascii="Times New Roman" w:hAnsi="Times New Roman" w:cs="Times New Roman"/>
        </w:rPr>
        <w:t>valorisable</w:t>
      </w:r>
      <w:proofErr w:type="spellEnd"/>
      <w:r w:rsidRPr="00AC7600">
        <w:rPr>
          <w:rFonts w:ascii="Times New Roman" w:hAnsi="Times New Roman" w:cs="Times New Roman"/>
        </w:rPr>
        <w:t xml:space="preserve"> whey stream is conservatively estimated at ~20,000 t yr⁻¹. This figure is consistent with recent circular-economy assessments of Kenya’s dairy sector, which describe “tens of thousands of </w:t>
      </w:r>
      <w:proofErr w:type="spellStart"/>
      <w:r w:rsidRPr="00AC7600">
        <w:rPr>
          <w:rFonts w:ascii="Times New Roman" w:hAnsi="Times New Roman" w:cs="Times New Roman"/>
        </w:rPr>
        <w:t>tonnes</w:t>
      </w:r>
      <w:proofErr w:type="spellEnd"/>
      <w:r w:rsidRPr="00AC7600">
        <w:rPr>
          <w:rFonts w:ascii="Times New Roman" w:hAnsi="Times New Roman" w:cs="Times New Roman"/>
        </w:rPr>
        <w:t xml:space="preserve">” of whey generated annually, largely </w:t>
      </w:r>
      <w:proofErr w:type="spellStart"/>
      <w:r w:rsidRPr="00AC7600">
        <w:rPr>
          <w:rFonts w:ascii="Times New Roman" w:hAnsi="Times New Roman" w:cs="Times New Roman"/>
        </w:rPr>
        <w:t>unvalori</w:t>
      </w:r>
      <w:r w:rsidR="001C0D94" w:rsidRPr="00AC7600">
        <w:rPr>
          <w:rFonts w:ascii="Times New Roman" w:hAnsi="Times New Roman" w:cs="Times New Roman"/>
        </w:rPr>
        <w:t>z</w:t>
      </w:r>
      <w:r w:rsidRPr="00AC7600">
        <w:rPr>
          <w:rFonts w:ascii="Times New Roman" w:hAnsi="Times New Roman" w:cs="Times New Roman"/>
        </w:rPr>
        <w:t>ed</w:t>
      </w:r>
      <w:proofErr w:type="spellEnd"/>
      <w:r w:rsidRPr="00AC7600">
        <w:rPr>
          <w:rFonts w:ascii="Times New Roman" w:hAnsi="Times New Roman" w:cs="Times New Roman"/>
        </w:rPr>
        <w:t xml:space="preserve"> </w:t>
      </w:r>
      <w:sdt>
        <w:sdtPr>
          <w:rPr>
            <w:rFonts w:ascii="Times New Roman" w:hAnsi="Times New Roman" w:cs="Times New Roman"/>
          </w:rPr>
          <w:tag w:val="MENDELEY_CITATION_v3_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"/>
          <w:id w:val="1466925954"/>
          <w:placeholder>
            <w:docPart w:val="C90DF80D5AA84E9EBFE9151D8A312CE3"/>
          </w:placeholder>
        </w:sdtPr>
        <w:sdtEndPr/>
        <w:sdtContent>
          <w:r w:rsidR="001C0D94" w:rsidRPr="00AC7600">
            <w:rPr>
              <w:rFonts w:ascii="Times New Roman" w:hAnsi="Times New Roman" w:cs="Times New Roman"/>
            </w:rPr>
            <w:t>(Mutio et al., 2025)</w:t>
          </w:r>
        </w:sdtContent>
      </w:sdt>
    </w:p>
    <w:p w14:paraId="42E553A2" w14:textId="5EAFA588" w:rsidR="00F41E3B" w:rsidRPr="00AC7600" w:rsidRDefault="00F41E3B">
      <w:pPr>
        <w:rPr>
          <w:rFonts w:ascii="Times New Roman" w:hAnsi="Times New Roman" w:cs="Times New Roman"/>
        </w:rPr>
      </w:pPr>
      <w:r w:rsidRPr="00AC7600">
        <w:rPr>
          <w:rFonts w:ascii="Times New Roman" w:hAnsi="Times New Roman" w:cs="Times New Roman"/>
        </w:rPr>
        <w:br w:type="page"/>
      </w:r>
    </w:p>
    <w:p w14:paraId="7E58DC78" w14:textId="77777777" w:rsidR="003A5957" w:rsidRPr="00AC7600" w:rsidRDefault="003A5957">
      <w:pPr>
        <w:rPr>
          <w:rFonts w:ascii="Times New Roman" w:hAnsi="Times New Roman" w:cs="Times New Roman"/>
        </w:rPr>
      </w:pPr>
    </w:p>
    <w:p w14:paraId="34F07FBB" w14:textId="187F87C1" w:rsidR="008A1062" w:rsidRPr="00AC7600" w:rsidRDefault="008A1062">
      <w:pPr>
        <w:rPr>
          <w:rFonts w:ascii="Times New Roman" w:hAnsi="Times New Roman" w:cs="Times New Roman"/>
        </w:rPr>
      </w:pPr>
      <w:r w:rsidRPr="00AC7600">
        <w:rPr>
          <w:rFonts w:ascii="Times New Roman" w:hAnsi="Times New Roman" w:cs="Times New Roman"/>
        </w:rPr>
        <w:t>References</w:t>
      </w:r>
    </w:p>
    <w:sdt>
      <w:sdtPr>
        <w:rPr>
          <w:rFonts w:ascii="Times New Roman" w:hAnsi="Times New Roman" w:cs="Times New Roman"/>
        </w:rPr>
        <w:tag w:val="MENDELEY_BIBLIOGRAPHY"/>
        <w:id w:val="1201286235"/>
        <w:placeholder>
          <w:docPart w:val="DefaultPlaceholder_-1854013440"/>
        </w:placeholder>
      </w:sdtPr>
      <w:sdtEndPr/>
      <w:sdtContent>
        <w:p w14:paraId="6E7C3DC7" w14:textId="77777777" w:rsidR="001C0D94" w:rsidRPr="00AC7600" w:rsidRDefault="001C0D94">
          <w:pPr>
            <w:autoSpaceDE w:val="0"/>
            <w:autoSpaceDN w:val="0"/>
            <w:ind w:hanging="480"/>
            <w:divId w:val="1836264853"/>
            <w:rPr>
              <w:rFonts w:eastAsia="Times New Roman"/>
              <w:kern w:val="0"/>
              <w14:ligatures w14:val="none"/>
            </w:rPr>
          </w:pPr>
          <w:r w:rsidRPr="00AC7600">
            <w:rPr>
              <w:rFonts w:eastAsia="Times New Roman"/>
              <w:lang w:val="it-IT"/>
            </w:rPr>
            <w:t xml:space="preserve">Goldáraz-Salamero, N., Blanc, S., Sierra-Perez, J., &amp; Brun, F. (2025). </w:t>
          </w:r>
          <w:r w:rsidRPr="00AC7600">
            <w:rPr>
              <w:rFonts w:eastAsia="Times New Roman"/>
            </w:rPr>
            <w:t xml:space="preserve">From food loss and waste to feed: a systematic review of life cycle perspectives in livestock systems. </w:t>
          </w:r>
          <w:r w:rsidRPr="00AC7600">
            <w:rPr>
              <w:rFonts w:eastAsia="Times New Roman"/>
              <w:i/>
              <w:iCs/>
            </w:rPr>
            <w:t>International Journal of Life Cycle Assessment</w:t>
          </w:r>
          <w:r w:rsidRPr="00AC7600">
            <w:rPr>
              <w:rFonts w:eastAsia="Times New Roman"/>
            </w:rPr>
            <w:t xml:space="preserve">, </w:t>
          </w:r>
          <w:r w:rsidRPr="00AC7600">
            <w:rPr>
              <w:rFonts w:eastAsia="Times New Roman"/>
              <w:i/>
              <w:iCs/>
            </w:rPr>
            <w:t>30</w:t>
          </w:r>
          <w:r w:rsidRPr="00AC7600">
            <w:rPr>
              <w:rFonts w:eastAsia="Times New Roman"/>
            </w:rPr>
            <w:t>(7), 1586–1606. https://doi.org/10.1007/S11367-025-02464-5</w:t>
          </w:r>
        </w:p>
        <w:p w14:paraId="2F5AF13B" w14:textId="77777777" w:rsidR="001C0D94" w:rsidRPr="00AC7600" w:rsidRDefault="001C0D94">
          <w:pPr>
            <w:autoSpaceDE w:val="0"/>
            <w:autoSpaceDN w:val="0"/>
            <w:ind w:hanging="480"/>
            <w:divId w:val="1196889846"/>
            <w:rPr>
              <w:rFonts w:eastAsia="Times New Roman"/>
            </w:rPr>
          </w:pPr>
          <w:r w:rsidRPr="00AC7600">
            <w:rPr>
              <w:rFonts w:eastAsia="Times New Roman"/>
            </w:rPr>
            <w:t xml:space="preserve">Kenya Dairy Board. (2023). </w:t>
          </w:r>
          <w:r w:rsidRPr="00AC7600">
            <w:rPr>
              <w:rFonts w:eastAsia="Times New Roman"/>
              <w:i/>
              <w:iCs/>
            </w:rPr>
            <w:t>Technical Reports - KDB</w:t>
          </w:r>
          <w:r w:rsidRPr="00AC7600">
            <w:rPr>
              <w:rFonts w:eastAsia="Times New Roman"/>
            </w:rPr>
            <w:t>. https://www.kdb.go.ke/download-category/technical-reports/</w:t>
          </w:r>
        </w:p>
        <w:p w14:paraId="4EE53AAD" w14:textId="77777777" w:rsidR="001C0D94" w:rsidRPr="00AC7600" w:rsidRDefault="001C0D94">
          <w:pPr>
            <w:autoSpaceDE w:val="0"/>
            <w:autoSpaceDN w:val="0"/>
            <w:ind w:hanging="480"/>
            <w:divId w:val="619991584"/>
            <w:rPr>
              <w:rFonts w:eastAsia="Times New Roman"/>
            </w:rPr>
          </w:pPr>
          <w:r w:rsidRPr="00AC7600">
            <w:rPr>
              <w:rFonts w:eastAsia="Times New Roman"/>
              <w:lang w:val="da-DK"/>
            </w:rPr>
            <w:t xml:space="preserve">Mutio, C., Okello, D., Karanja, S., Bebe, B., &amp; Bolwig, S. (2025). </w:t>
          </w:r>
          <w:r w:rsidRPr="00AC7600">
            <w:rPr>
              <w:rFonts w:eastAsia="Times New Roman"/>
            </w:rPr>
            <w:t xml:space="preserve">Circular business models for whey valorization in the Kenyan dairy sector through product life extension and resource recovery. </w:t>
          </w:r>
          <w:r w:rsidRPr="00AC7600">
            <w:rPr>
              <w:rFonts w:eastAsia="Times New Roman"/>
              <w:i/>
              <w:iCs/>
            </w:rPr>
            <w:t>Discover Sustainability</w:t>
          </w:r>
          <w:r w:rsidRPr="00AC7600">
            <w:rPr>
              <w:rFonts w:eastAsia="Times New Roman"/>
            </w:rPr>
            <w:t xml:space="preserve">, </w:t>
          </w:r>
          <w:r w:rsidRPr="00AC7600">
            <w:rPr>
              <w:rFonts w:eastAsia="Times New Roman"/>
              <w:i/>
              <w:iCs/>
            </w:rPr>
            <w:t>6</w:t>
          </w:r>
          <w:r w:rsidRPr="00AC7600">
            <w:rPr>
              <w:rFonts w:eastAsia="Times New Roman"/>
            </w:rPr>
            <w:t>(1), 1–29. https://doi.org/10.1007/S43621-025-01759-9/FIGURES/8</w:t>
          </w:r>
        </w:p>
        <w:p w14:paraId="4B08DB4F" w14:textId="77777777" w:rsidR="001C0D94" w:rsidRPr="00AC7600" w:rsidRDefault="001C0D94">
          <w:pPr>
            <w:autoSpaceDE w:val="0"/>
            <w:autoSpaceDN w:val="0"/>
            <w:ind w:hanging="480"/>
            <w:divId w:val="713188788"/>
            <w:rPr>
              <w:rFonts w:eastAsia="Times New Roman"/>
            </w:rPr>
          </w:pPr>
          <w:proofErr w:type="spellStart"/>
          <w:r w:rsidRPr="00AC7600">
            <w:rPr>
              <w:rFonts w:eastAsia="Times New Roman"/>
            </w:rPr>
            <w:t>Soumati</w:t>
          </w:r>
          <w:proofErr w:type="spellEnd"/>
          <w:r w:rsidRPr="00AC7600">
            <w:rPr>
              <w:rFonts w:eastAsia="Times New Roman"/>
            </w:rPr>
            <w:t xml:space="preserve">, B., Atmani, M., Benabderrahmane, A., &amp; Benjelloun, M. (2023). Whey Valorization – Innovative Strategies for Sustainable Development and Value-Added Product Creation. </w:t>
          </w:r>
          <w:r w:rsidRPr="00AC7600">
            <w:rPr>
              <w:rFonts w:eastAsia="Times New Roman"/>
              <w:i/>
              <w:iCs/>
            </w:rPr>
            <w:t>Journal of Ecological Engineering</w:t>
          </w:r>
          <w:r w:rsidRPr="00AC7600">
            <w:rPr>
              <w:rFonts w:eastAsia="Times New Roman"/>
            </w:rPr>
            <w:t xml:space="preserve">, </w:t>
          </w:r>
          <w:r w:rsidRPr="00AC7600">
            <w:rPr>
              <w:rFonts w:eastAsia="Times New Roman"/>
              <w:i/>
              <w:iCs/>
            </w:rPr>
            <w:t>24</w:t>
          </w:r>
          <w:r w:rsidRPr="00AC7600">
            <w:rPr>
              <w:rFonts w:eastAsia="Times New Roman"/>
            </w:rPr>
            <w:t>(10), 86–104. https://doi.org/10.12911/22998993/169505</w:t>
          </w:r>
        </w:p>
        <w:p w14:paraId="2DD24516" w14:textId="77777777" w:rsidR="001C0D94" w:rsidRPr="00AC7600" w:rsidRDefault="001C0D94">
          <w:pPr>
            <w:autoSpaceDE w:val="0"/>
            <w:autoSpaceDN w:val="0"/>
            <w:ind w:hanging="480"/>
            <w:divId w:val="1225608164"/>
            <w:rPr>
              <w:rFonts w:eastAsia="Times New Roman"/>
            </w:rPr>
          </w:pPr>
          <w:r w:rsidRPr="00AC7600">
            <w:rPr>
              <w:rFonts w:eastAsia="Times New Roman"/>
            </w:rPr>
            <w:t xml:space="preserve">Wedgwood, C. (2024). Assessing the sustainability of emerging green biorefinery technology. </w:t>
          </w:r>
          <w:r w:rsidRPr="00AC7600">
            <w:rPr>
              <w:rFonts w:eastAsia="Times New Roman"/>
              <w:i/>
              <w:iCs/>
            </w:rPr>
            <w:t>Introductory Paper at the Faculty of Landscape Architecture, Horticulture and Crop Production Science</w:t>
          </w:r>
          <w:r w:rsidRPr="00AC7600">
            <w:rPr>
              <w:rFonts w:eastAsia="Times New Roman"/>
            </w:rPr>
            <w:t xml:space="preserve">, </w:t>
          </w:r>
          <w:r w:rsidRPr="00AC7600">
            <w:rPr>
              <w:rFonts w:eastAsia="Times New Roman"/>
              <w:i/>
              <w:iCs/>
            </w:rPr>
            <w:t>2024:5</w:t>
          </w:r>
          <w:r w:rsidRPr="00AC7600">
            <w:rPr>
              <w:rFonts w:eastAsia="Times New Roman"/>
            </w:rPr>
            <w:t>. https://res.slu.se/id/publ/139769</w:t>
          </w:r>
        </w:p>
        <w:p w14:paraId="76B1193B" w14:textId="77777777" w:rsidR="001C0D94" w:rsidRPr="00AC7600" w:rsidRDefault="001C0D94">
          <w:pPr>
            <w:autoSpaceDE w:val="0"/>
            <w:autoSpaceDN w:val="0"/>
            <w:ind w:hanging="480"/>
            <w:divId w:val="83694686"/>
            <w:rPr>
              <w:rFonts w:eastAsia="Times New Roman"/>
            </w:rPr>
          </w:pPr>
          <w:r w:rsidRPr="00AC7600">
            <w:rPr>
              <w:rFonts w:eastAsia="Times New Roman"/>
              <w:lang w:val="it-IT"/>
            </w:rPr>
            <w:t xml:space="preserve">Zandona, E., Blažić, M., &amp; Režek Jambrak, A. (2021). </w:t>
          </w:r>
          <w:r w:rsidRPr="00AC7600">
            <w:rPr>
              <w:rFonts w:eastAsia="Times New Roman"/>
            </w:rPr>
            <w:t xml:space="preserve">Whey Utilization: Sustainable Uses and Environmental Approach. </w:t>
          </w:r>
          <w:r w:rsidRPr="00AC7600">
            <w:rPr>
              <w:rFonts w:eastAsia="Times New Roman"/>
              <w:i/>
              <w:iCs/>
            </w:rPr>
            <w:t>Food Technology and Biotechnology</w:t>
          </w:r>
          <w:r w:rsidRPr="00AC7600">
            <w:rPr>
              <w:rFonts w:eastAsia="Times New Roman"/>
            </w:rPr>
            <w:t xml:space="preserve">, </w:t>
          </w:r>
          <w:r w:rsidRPr="00AC7600">
            <w:rPr>
              <w:rFonts w:eastAsia="Times New Roman"/>
              <w:i/>
              <w:iCs/>
            </w:rPr>
            <w:t>59</w:t>
          </w:r>
          <w:r w:rsidRPr="00AC7600">
            <w:rPr>
              <w:rFonts w:eastAsia="Times New Roman"/>
            </w:rPr>
            <w:t>(2), 147–161. https://doi.org/10.17113/FTB.59.02.21.6968</w:t>
          </w:r>
        </w:p>
        <w:p w14:paraId="46AD463B" w14:textId="0321EE23" w:rsidR="008A1062" w:rsidRPr="00AC7600" w:rsidRDefault="001C0D94">
          <w:pPr>
            <w:rPr>
              <w:rFonts w:ascii="Times New Roman" w:hAnsi="Times New Roman" w:cs="Times New Roman"/>
            </w:rPr>
          </w:pPr>
          <w:r w:rsidRPr="00AC7600">
            <w:rPr>
              <w:rFonts w:eastAsia="Times New Roman"/>
            </w:rPr>
            <w:t> </w:t>
          </w:r>
        </w:p>
      </w:sdtContent>
    </w:sdt>
    <w:p w14:paraId="23019E3D" w14:textId="44645449" w:rsidR="003A5957" w:rsidRPr="00AC7600" w:rsidRDefault="003A5957">
      <w:pPr>
        <w:rPr>
          <w:rFonts w:ascii="Times New Roman" w:hAnsi="Times New Roman" w:cs="Times New Roman"/>
        </w:rPr>
      </w:pPr>
    </w:p>
    <w:sectPr w:rsidR="003A5957" w:rsidRPr="00AC760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xMDMyMrKwNDc2sLC0MDRR0lEKTi0uzszPAykwrAUA51LTwCwAAAA="/>
  </w:docVars>
  <w:rsids>
    <w:rsidRoot w:val="003A5957"/>
    <w:rsid w:val="00037288"/>
    <w:rsid w:val="00063366"/>
    <w:rsid w:val="000F6CB0"/>
    <w:rsid w:val="001548E7"/>
    <w:rsid w:val="001C0D94"/>
    <w:rsid w:val="00252EF0"/>
    <w:rsid w:val="002A6D32"/>
    <w:rsid w:val="002F5022"/>
    <w:rsid w:val="003A5957"/>
    <w:rsid w:val="003A7773"/>
    <w:rsid w:val="00587588"/>
    <w:rsid w:val="0063674D"/>
    <w:rsid w:val="006B1DFA"/>
    <w:rsid w:val="006C177D"/>
    <w:rsid w:val="006C4E79"/>
    <w:rsid w:val="007329E2"/>
    <w:rsid w:val="007575F1"/>
    <w:rsid w:val="007761D3"/>
    <w:rsid w:val="0086494D"/>
    <w:rsid w:val="008A1062"/>
    <w:rsid w:val="008E61DC"/>
    <w:rsid w:val="00931C62"/>
    <w:rsid w:val="0095501C"/>
    <w:rsid w:val="00956B04"/>
    <w:rsid w:val="00AC7600"/>
    <w:rsid w:val="00B135A8"/>
    <w:rsid w:val="00BD041E"/>
    <w:rsid w:val="00C546B7"/>
    <w:rsid w:val="00C54BA0"/>
    <w:rsid w:val="00E06287"/>
    <w:rsid w:val="00E44907"/>
    <w:rsid w:val="00F41E3B"/>
    <w:rsid w:val="00F566DC"/>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D99168"/>
  <w15:chartTrackingRefBased/>
  <w15:docId w15:val="{76BB24B2-A9A4-4037-977C-F61B723C3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501C"/>
    <w:rPr>
      <w:lang w:val="en-US"/>
    </w:rPr>
  </w:style>
  <w:style w:type="paragraph" w:styleId="Overskrift1">
    <w:name w:val="heading 1"/>
    <w:basedOn w:val="Normal"/>
    <w:next w:val="Normal"/>
    <w:link w:val="Overskrift1Tegn"/>
    <w:uiPriority w:val="9"/>
    <w:qFormat/>
    <w:rsid w:val="003A595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verskrift2">
    <w:name w:val="heading 2"/>
    <w:basedOn w:val="Normal"/>
    <w:next w:val="Normal"/>
    <w:link w:val="Overskrift2Tegn"/>
    <w:uiPriority w:val="9"/>
    <w:semiHidden/>
    <w:unhideWhenUsed/>
    <w:qFormat/>
    <w:rsid w:val="003A595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verskrift3">
    <w:name w:val="heading 3"/>
    <w:basedOn w:val="Normal"/>
    <w:next w:val="Normal"/>
    <w:link w:val="Overskrift3Tegn"/>
    <w:uiPriority w:val="9"/>
    <w:semiHidden/>
    <w:unhideWhenUsed/>
    <w:qFormat/>
    <w:rsid w:val="003A5957"/>
    <w:pPr>
      <w:keepNext/>
      <w:keepLines/>
      <w:spacing w:before="160" w:after="80"/>
      <w:outlineLvl w:val="2"/>
    </w:pPr>
    <w:rPr>
      <w:rFonts w:eastAsiaTheme="majorEastAsia" w:cstheme="majorBidi"/>
      <w:color w:val="0F4761" w:themeColor="accent1" w:themeShade="BF"/>
      <w:sz w:val="28"/>
      <w:szCs w:val="28"/>
    </w:rPr>
  </w:style>
  <w:style w:type="paragraph" w:styleId="Overskrift4">
    <w:name w:val="heading 4"/>
    <w:basedOn w:val="Normal"/>
    <w:next w:val="Normal"/>
    <w:link w:val="Overskrift4Tegn"/>
    <w:uiPriority w:val="9"/>
    <w:semiHidden/>
    <w:unhideWhenUsed/>
    <w:qFormat/>
    <w:rsid w:val="003A5957"/>
    <w:pPr>
      <w:keepNext/>
      <w:keepLines/>
      <w:spacing w:before="80" w:after="40"/>
      <w:outlineLvl w:val="3"/>
    </w:pPr>
    <w:rPr>
      <w:rFonts w:eastAsiaTheme="majorEastAsia" w:cstheme="majorBidi"/>
      <w:i/>
      <w:iCs/>
      <w:color w:val="0F4761" w:themeColor="accent1" w:themeShade="BF"/>
    </w:rPr>
  </w:style>
  <w:style w:type="paragraph" w:styleId="Overskrift5">
    <w:name w:val="heading 5"/>
    <w:basedOn w:val="Normal"/>
    <w:next w:val="Normal"/>
    <w:link w:val="Overskrift5Tegn"/>
    <w:uiPriority w:val="9"/>
    <w:semiHidden/>
    <w:unhideWhenUsed/>
    <w:qFormat/>
    <w:rsid w:val="003A5957"/>
    <w:pPr>
      <w:keepNext/>
      <w:keepLines/>
      <w:spacing w:before="80" w:after="40"/>
      <w:outlineLvl w:val="4"/>
    </w:pPr>
    <w:rPr>
      <w:rFonts w:eastAsiaTheme="majorEastAsia" w:cstheme="majorBidi"/>
      <w:color w:val="0F4761" w:themeColor="accent1" w:themeShade="BF"/>
    </w:rPr>
  </w:style>
  <w:style w:type="paragraph" w:styleId="Overskrift6">
    <w:name w:val="heading 6"/>
    <w:basedOn w:val="Normal"/>
    <w:next w:val="Normal"/>
    <w:link w:val="Overskrift6Tegn"/>
    <w:uiPriority w:val="9"/>
    <w:semiHidden/>
    <w:unhideWhenUsed/>
    <w:qFormat/>
    <w:rsid w:val="003A5957"/>
    <w:pPr>
      <w:keepNext/>
      <w:keepLines/>
      <w:spacing w:before="40" w:after="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3A5957"/>
    <w:pPr>
      <w:keepNext/>
      <w:keepLines/>
      <w:spacing w:before="40" w:after="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3A5957"/>
    <w:pPr>
      <w:keepNext/>
      <w:keepLines/>
      <w:spacing w:after="0"/>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3A5957"/>
    <w:pPr>
      <w:keepNext/>
      <w:keepLines/>
      <w:spacing w:after="0"/>
      <w:outlineLvl w:val="8"/>
    </w:pPr>
    <w:rPr>
      <w:rFonts w:eastAsiaTheme="majorEastAsia" w:cstheme="majorBidi"/>
      <w:color w:val="272727" w:themeColor="text1" w:themeTint="D8"/>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uiPriority w:val="9"/>
    <w:rsid w:val="003A5957"/>
    <w:rPr>
      <w:rFonts w:asciiTheme="majorHAnsi" w:eastAsiaTheme="majorEastAsia" w:hAnsiTheme="majorHAnsi" w:cstheme="majorBidi"/>
      <w:color w:val="0F4761" w:themeColor="accent1" w:themeShade="BF"/>
      <w:sz w:val="40"/>
      <w:szCs w:val="40"/>
      <w:lang w:val="en-US"/>
    </w:rPr>
  </w:style>
  <w:style w:type="character" w:customStyle="1" w:styleId="Overskrift2Tegn">
    <w:name w:val="Overskrift 2 Tegn"/>
    <w:basedOn w:val="Standardskrifttypeiafsnit"/>
    <w:link w:val="Overskrift2"/>
    <w:uiPriority w:val="9"/>
    <w:semiHidden/>
    <w:rsid w:val="003A5957"/>
    <w:rPr>
      <w:rFonts w:asciiTheme="majorHAnsi" w:eastAsiaTheme="majorEastAsia" w:hAnsiTheme="majorHAnsi" w:cstheme="majorBidi"/>
      <w:color w:val="0F4761" w:themeColor="accent1" w:themeShade="BF"/>
      <w:sz w:val="32"/>
      <w:szCs w:val="32"/>
      <w:lang w:val="en-US"/>
    </w:rPr>
  </w:style>
  <w:style w:type="character" w:customStyle="1" w:styleId="Overskrift3Tegn">
    <w:name w:val="Overskrift 3 Tegn"/>
    <w:basedOn w:val="Standardskrifttypeiafsnit"/>
    <w:link w:val="Overskrift3"/>
    <w:uiPriority w:val="9"/>
    <w:semiHidden/>
    <w:rsid w:val="003A5957"/>
    <w:rPr>
      <w:rFonts w:eastAsiaTheme="majorEastAsia" w:cstheme="majorBidi"/>
      <w:color w:val="0F4761" w:themeColor="accent1" w:themeShade="BF"/>
      <w:sz w:val="28"/>
      <w:szCs w:val="28"/>
      <w:lang w:val="en-US"/>
    </w:rPr>
  </w:style>
  <w:style w:type="character" w:customStyle="1" w:styleId="Overskrift4Tegn">
    <w:name w:val="Overskrift 4 Tegn"/>
    <w:basedOn w:val="Standardskrifttypeiafsnit"/>
    <w:link w:val="Overskrift4"/>
    <w:uiPriority w:val="9"/>
    <w:semiHidden/>
    <w:rsid w:val="003A5957"/>
    <w:rPr>
      <w:rFonts w:eastAsiaTheme="majorEastAsia" w:cstheme="majorBidi"/>
      <w:i/>
      <w:iCs/>
      <w:color w:val="0F4761" w:themeColor="accent1" w:themeShade="BF"/>
      <w:lang w:val="en-US"/>
    </w:rPr>
  </w:style>
  <w:style w:type="character" w:customStyle="1" w:styleId="Overskrift5Tegn">
    <w:name w:val="Overskrift 5 Tegn"/>
    <w:basedOn w:val="Standardskrifttypeiafsnit"/>
    <w:link w:val="Overskrift5"/>
    <w:uiPriority w:val="9"/>
    <w:semiHidden/>
    <w:rsid w:val="003A5957"/>
    <w:rPr>
      <w:rFonts w:eastAsiaTheme="majorEastAsia" w:cstheme="majorBidi"/>
      <w:color w:val="0F4761" w:themeColor="accent1" w:themeShade="BF"/>
      <w:lang w:val="en-US"/>
    </w:rPr>
  </w:style>
  <w:style w:type="character" w:customStyle="1" w:styleId="Overskrift6Tegn">
    <w:name w:val="Overskrift 6 Tegn"/>
    <w:basedOn w:val="Standardskrifttypeiafsnit"/>
    <w:link w:val="Overskrift6"/>
    <w:uiPriority w:val="9"/>
    <w:semiHidden/>
    <w:rsid w:val="003A5957"/>
    <w:rPr>
      <w:rFonts w:eastAsiaTheme="majorEastAsia" w:cstheme="majorBidi"/>
      <w:i/>
      <w:iCs/>
      <w:color w:val="595959" w:themeColor="text1" w:themeTint="A6"/>
      <w:lang w:val="en-US"/>
    </w:rPr>
  </w:style>
  <w:style w:type="character" w:customStyle="1" w:styleId="Overskrift7Tegn">
    <w:name w:val="Overskrift 7 Tegn"/>
    <w:basedOn w:val="Standardskrifttypeiafsnit"/>
    <w:link w:val="Overskrift7"/>
    <w:uiPriority w:val="9"/>
    <w:semiHidden/>
    <w:rsid w:val="003A5957"/>
    <w:rPr>
      <w:rFonts w:eastAsiaTheme="majorEastAsia" w:cstheme="majorBidi"/>
      <w:color w:val="595959" w:themeColor="text1" w:themeTint="A6"/>
      <w:lang w:val="en-US"/>
    </w:rPr>
  </w:style>
  <w:style w:type="character" w:customStyle="1" w:styleId="Overskrift8Tegn">
    <w:name w:val="Overskrift 8 Tegn"/>
    <w:basedOn w:val="Standardskrifttypeiafsnit"/>
    <w:link w:val="Overskrift8"/>
    <w:uiPriority w:val="9"/>
    <w:semiHidden/>
    <w:rsid w:val="003A5957"/>
    <w:rPr>
      <w:rFonts w:eastAsiaTheme="majorEastAsia" w:cstheme="majorBidi"/>
      <w:i/>
      <w:iCs/>
      <w:color w:val="272727" w:themeColor="text1" w:themeTint="D8"/>
      <w:lang w:val="en-US"/>
    </w:rPr>
  </w:style>
  <w:style w:type="character" w:customStyle="1" w:styleId="Overskrift9Tegn">
    <w:name w:val="Overskrift 9 Tegn"/>
    <w:basedOn w:val="Standardskrifttypeiafsnit"/>
    <w:link w:val="Overskrift9"/>
    <w:uiPriority w:val="9"/>
    <w:semiHidden/>
    <w:rsid w:val="003A5957"/>
    <w:rPr>
      <w:rFonts w:eastAsiaTheme="majorEastAsia" w:cstheme="majorBidi"/>
      <w:color w:val="272727" w:themeColor="text1" w:themeTint="D8"/>
      <w:lang w:val="en-US"/>
    </w:rPr>
  </w:style>
  <w:style w:type="paragraph" w:styleId="Titel">
    <w:name w:val="Title"/>
    <w:basedOn w:val="Normal"/>
    <w:next w:val="Normal"/>
    <w:link w:val="TitelTegn"/>
    <w:uiPriority w:val="10"/>
    <w:qFormat/>
    <w:rsid w:val="003A595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Tegn">
    <w:name w:val="Titel Tegn"/>
    <w:basedOn w:val="Standardskrifttypeiafsnit"/>
    <w:link w:val="Titel"/>
    <w:uiPriority w:val="10"/>
    <w:rsid w:val="003A5957"/>
    <w:rPr>
      <w:rFonts w:asciiTheme="majorHAnsi" w:eastAsiaTheme="majorEastAsia" w:hAnsiTheme="majorHAnsi" w:cstheme="majorBidi"/>
      <w:spacing w:val="-10"/>
      <w:kern w:val="28"/>
      <w:sz w:val="56"/>
      <w:szCs w:val="56"/>
      <w:lang w:val="en-US"/>
    </w:rPr>
  </w:style>
  <w:style w:type="paragraph" w:styleId="Undertitel">
    <w:name w:val="Subtitle"/>
    <w:basedOn w:val="Normal"/>
    <w:next w:val="Normal"/>
    <w:link w:val="UndertitelTegn"/>
    <w:uiPriority w:val="11"/>
    <w:qFormat/>
    <w:rsid w:val="003A5957"/>
    <w:pPr>
      <w:numPr>
        <w:ilvl w:val="1"/>
      </w:numPr>
    </w:pPr>
    <w:rPr>
      <w:rFonts w:eastAsiaTheme="majorEastAsia" w:cstheme="majorBidi"/>
      <w:color w:val="595959" w:themeColor="text1" w:themeTint="A6"/>
      <w:spacing w:val="15"/>
      <w:sz w:val="28"/>
      <w:szCs w:val="28"/>
    </w:rPr>
  </w:style>
  <w:style w:type="character" w:customStyle="1" w:styleId="UndertitelTegn">
    <w:name w:val="Undertitel Tegn"/>
    <w:basedOn w:val="Standardskrifttypeiafsnit"/>
    <w:link w:val="Undertitel"/>
    <w:uiPriority w:val="11"/>
    <w:rsid w:val="003A5957"/>
    <w:rPr>
      <w:rFonts w:eastAsiaTheme="majorEastAsia" w:cstheme="majorBidi"/>
      <w:color w:val="595959" w:themeColor="text1" w:themeTint="A6"/>
      <w:spacing w:val="15"/>
      <w:sz w:val="28"/>
      <w:szCs w:val="28"/>
      <w:lang w:val="en-US"/>
    </w:rPr>
  </w:style>
  <w:style w:type="paragraph" w:styleId="Citat">
    <w:name w:val="Quote"/>
    <w:basedOn w:val="Normal"/>
    <w:next w:val="Normal"/>
    <w:link w:val="CitatTegn"/>
    <w:uiPriority w:val="29"/>
    <w:qFormat/>
    <w:rsid w:val="003A5957"/>
    <w:pPr>
      <w:spacing w:before="160"/>
      <w:jc w:val="center"/>
    </w:pPr>
    <w:rPr>
      <w:i/>
      <w:iCs/>
      <w:color w:val="404040" w:themeColor="text1" w:themeTint="BF"/>
    </w:rPr>
  </w:style>
  <w:style w:type="character" w:customStyle="1" w:styleId="CitatTegn">
    <w:name w:val="Citat Tegn"/>
    <w:basedOn w:val="Standardskrifttypeiafsnit"/>
    <w:link w:val="Citat"/>
    <w:uiPriority w:val="29"/>
    <w:rsid w:val="003A5957"/>
    <w:rPr>
      <w:i/>
      <w:iCs/>
      <w:color w:val="404040" w:themeColor="text1" w:themeTint="BF"/>
      <w:lang w:val="en-US"/>
    </w:rPr>
  </w:style>
  <w:style w:type="paragraph" w:styleId="Listeafsnit">
    <w:name w:val="List Paragraph"/>
    <w:basedOn w:val="Normal"/>
    <w:uiPriority w:val="34"/>
    <w:qFormat/>
    <w:rsid w:val="003A5957"/>
    <w:pPr>
      <w:ind w:left="720"/>
      <w:contextualSpacing/>
    </w:pPr>
  </w:style>
  <w:style w:type="character" w:styleId="Kraftigfremhvning">
    <w:name w:val="Intense Emphasis"/>
    <w:basedOn w:val="Standardskrifttypeiafsnit"/>
    <w:uiPriority w:val="21"/>
    <w:qFormat/>
    <w:rsid w:val="003A5957"/>
    <w:rPr>
      <w:i/>
      <w:iCs/>
      <w:color w:val="0F4761" w:themeColor="accent1" w:themeShade="BF"/>
    </w:rPr>
  </w:style>
  <w:style w:type="paragraph" w:styleId="Strktcitat">
    <w:name w:val="Intense Quote"/>
    <w:basedOn w:val="Normal"/>
    <w:next w:val="Normal"/>
    <w:link w:val="StrktcitatTegn"/>
    <w:uiPriority w:val="30"/>
    <w:qFormat/>
    <w:rsid w:val="003A595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rktcitatTegn">
    <w:name w:val="Stærkt citat Tegn"/>
    <w:basedOn w:val="Standardskrifttypeiafsnit"/>
    <w:link w:val="Strktcitat"/>
    <w:uiPriority w:val="30"/>
    <w:rsid w:val="003A5957"/>
    <w:rPr>
      <w:i/>
      <w:iCs/>
      <w:color w:val="0F4761" w:themeColor="accent1" w:themeShade="BF"/>
      <w:lang w:val="en-US"/>
    </w:rPr>
  </w:style>
  <w:style w:type="character" w:styleId="Kraftighenvisning">
    <w:name w:val="Intense Reference"/>
    <w:basedOn w:val="Standardskrifttypeiafsnit"/>
    <w:uiPriority w:val="32"/>
    <w:qFormat/>
    <w:rsid w:val="003A5957"/>
    <w:rPr>
      <w:b/>
      <w:bCs/>
      <w:smallCaps/>
      <w:color w:val="0F4761" w:themeColor="accent1" w:themeShade="BF"/>
      <w:spacing w:val="5"/>
    </w:rPr>
  </w:style>
  <w:style w:type="character" w:styleId="Strk">
    <w:name w:val="Strong"/>
    <w:basedOn w:val="Standardskrifttypeiafsnit"/>
    <w:uiPriority w:val="22"/>
    <w:qFormat/>
    <w:rsid w:val="003A5957"/>
    <w:rPr>
      <w:b/>
      <w:bCs/>
    </w:rPr>
  </w:style>
  <w:style w:type="character" w:styleId="Pladsholdertekst">
    <w:name w:val="Placeholder Text"/>
    <w:basedOn w:val="Standardskrifttypeiafsnit"/>
    <w:uiPriority w:val="99"/>
    <w:semiHidden/>
    <w:rsid w:val="0086494D"/>
    <w:rPr>
      <w:color w:val="666666"/>
    </w:rPr>
  </w:style>
  <w:style w:type="table" w:styleId="Tabel-Gitter">
    <w:name w:val="Table Grid"/>
    <w:basedOn w:val="Tabel-Normal"/>
    <w:uiPriority w:val="39"/>
    <w:rsid w:val="006C17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665685">
      <w:marLeft w:val="480"/>
      <w:marRight w:val="0"/>
      <w:marTop w:val="0"/>
      <w:marBottom w:val="0"/>
      <w:divBdr>
        <w:top w:val="none" w:sz="0" w:space="0" w:color="auto"/>
        <w:left w:val="none" w:sz="0" w:space="0" w:color="auto"/>
        <w:bottom w:val="none" w:sz="0" w:space="0" w:color="auto"/>
        <w:right w:val="none" w:sz="0" w:space="0" w:color="auto"/>
      </w:divBdr>
    </w:div>
    <w:div w:id="63915368">
      <w:marLeft w:val="480"/>
      <w:marRight w:val="0"/>
      <w:marTop w:val="0"/>
      <w:marBottom w:val="0"/>
      <w:divBdr>
        <w:top w:val="none" w:sz="0" w:space="0" w:color="auto"/>
        <w:left w:val="none" w:sz="0" w:space="0" w:color="auto"/>
        <w:bottom w:val="none" w:sz="0" w:space="0" w:color="auto"/>
        <w:right w:val="none" w:sz="0" w:space="0" w:color="auto"/>
      </w:divBdr>
    </w:div>
    <w:div w:id="66464405">
      <w:marLeft w:val="480"/>
      <w:marRight w:val="0"/>
      <w:marTop w:val="0"/>
      <w:marBottom w:val="0"/>
      <w:divBdr>
        <w:top w:val="none" w:sz="0" w:space="0" w:color="auto"/>
        <w:left w:val="none" w:sz="0" w:space="0" w:color="auto"/>
        <w:bottom w:val="none" w:sz="0" w:space="0" w:color="auto"/>
        <w:right w:val="none" w:sz="0" w:space="0" w:color="auto"/>
      </w:divBdr>
    </w:div>
    <w:div w:id="83694686">
      <w:marLeft w:val="480"/>
      <w:marRight w:val="0"/>
      <w:marTop w:val="0"/>
      <w:marBottom w:val="0"/>
      <w:divBdr>
        <w:top w:val="none" w:sz="0" w:space="0" w:color="auto"/>
        <w:left w:val="none" w:sz="0" w:space="0" w:color="auto"/>
        <w:bottom w:val="none" w:sz="0" w:space="0" w:color="auto"/>
        <w:right w:val="none" w:sz="0" w:space="0" w:color="auto"/>
      </w:divBdr>
    </w:div>
    <w:div w:id="247277918">
      <w:marLeft w:val="480"/>
      <w:marRight w:val="0"/>
      <w:marTop w:val="0"/>
      <w:marBottom w:val="0"/>
      <w:divBdr>
        <w:top w:val="none" w:sz="0" w:space="0" w:color="auto"/>
        <w:left w:val="none" w:sz="0" w:space="0" w:color="auto"/>
        <w:bottom w:val="none" w:sz="0" w:space="0" w:color="auto"/>
        <w:right w:val="none" w:sz="0" w:space="0" w:color="auto"/>
      </w:divBdr>
    </w:div>
    <w:div w:id="305203621">
      <w:marLeft w:val="480"/>
      <w:marRight w:val="0"/>
      <w:marTop w:val="0"/>
      <w:marBottom w:val="0"/>
      <w:divBdr>
        <w:top w:val="none" w:sz="0" w:space="0" w:color="auto"/>
        <w:left w:val="none" w:sz="0" w:space="0" w:color="auto"/>
        <w:bottom w:val="none" w:sz="0" w:space="0" w:color="auto"/>
        <w:right w:val="none" w:sz="0" w:space="0" w:color="auto"/>
      </w:divBdr>
    </w:div>
    <w:div w:id="336732151">
      <w:marLeft w:val="480"/>
      <w:marRight w:val="0"/>
      <w:marTop w:val="0"/>
      <w:marBottom w:val="0"/>
      <w:divBdr>
        <w:top w:val="none" w:sz="0" w:space="0" w:color="auto"/>
        <w:left w:val="none" w:sz="0" w:space="0" w:color="auto"/>
        <w:bottom w:val="none" w:sz="0" w:space="0" w:color="auto"/>
        <w:right w:val="none" w:sz="0" w:space="0" w:color="auto"/>
      </w:divBdr>
    </w:div>
    <w:div w:id="344283143">
      <w:marLeft w:val="480"/>
      <w:marRight w:val="0"/>
      <w:marTop w:val="0"/>
      <w:marBottom w:val="0"/>
      <w:divBdr>
        <w:top w:val="none" w:sz="0" w:space="0" w:color="auto"/>
        <w:left w:val="none" w:sz="0" w:space="0" w:color="auto"/>
        <w:bottom w:val="none" w:sz="0" w:space="0" w:color="auto"/>
        <w:right w:val="none" w:sz="0" w:space="0" w:color="auto"/>
      </w:divBdr>
    </w:div>
    <w:div w:id="365374074">
      <w:marLeft w:val="480"/>
      <w:marRight w:val="0"/>
      <w:marTop w:val="0"/>
      <w:marBottom w:val="0"/>
      <w:divBdr>
        <w:top w:val="none" w:sz="0" w:space="0" w:color="auto"/>
        <w:left w:val="none" w:sz="0" w:space="0" w:color="auto"/>
        <w:bottom w:val="none" w:sz="0" w:space="0" w:color="auto"/>
        <w:right w:val="none" w:sz="0" w:space="0" w:color="auto"/>
      </w:divBdr>
    </w:div>
    <w:div w:id="449517552">
      <w:marLeft w:val="480"/>
      <w:marRight w:val="0"/>
      <w:marTop w:val="0"/>
      <w:marBottom w:val="0"/>
      <w:divBdr>
        <w:top w:val="none" w:sz="0" w:space="0" w:color="auto"/>
        <w:left w:val="none" w:sz="0" w:space="0" w:color="auto"/>
        <w:bottom w:val="none" w:sz="0" w:space="0" w:color="auto"/>
        <w:right w:val="none" w:sz="0" w:space="0" w:color="auto"/>
      </w:divBdr>
    </w:div>
    <w:div w:id="453907482">
      <w:marLeft w:val="480"/>
      <w:marRight w:val="0"/>
      <w:marTop w:val="0"/>
      <w:marBottom w:val="0"/>
      <w:divBdr>
        <w:top w:val="none" w:sz="0" w:space="0" w:color="auto"/>
        <w:left w:val="none" w:sz="0" w:space="0" w:color="auto"/>
        <w:bottom w:val="none" w:sz="0" w:space="0" w:color="auto"/>
        <w:right w:val="none" w:sz="0" w:space="0" w:color="auto"/>
      </w:divBdr>
    </w:div>
    <w:div w:id="458302017">
      <w:marLeft w:val="480"/>
      <w:marRight w:val="0"/>
      <w:marTop w:val="0"/>
      <w:marBottom w:val="0"/>
      <w:divBdr>
        <w:top w:val="none" w:sz="0" w:space="0" w:color="auto"/>
        <w:left w:val="none" w:sz="0" w:space="0" w:color="auto"/>
        <w:bottom w:val="none" w:sz="0" w:space="0" w:color="auto"/>
        <w:right w:val="none" w:sz="0" w:space="0" w:color="auto"/>
      </w:divBdr>
    </w:div>
    <w:div w:id="477066835">
      <w:marLeft w:val="480"/>
      <w:marRight w:val="0"/>
      <w:marTop w:val="0"/>
      <w:marBottom w:val="0"/>
      <w:divBdr>
        <w:top w:val="none" w:sz="0" w:space="0" w:color="auto"/>
        <w:left w:val="none" w:sz="0" w:space="0" w:color="auto"/>
        <w:bottom w:val="none" w:sz="0" w:space="0" w:color="auto"/>
        <w:right w:val="none" w:sz="0" w:space="0" w:color="auto"/>
      </w:divBdr>
    </w:div>
    <w:div w:id="487748108">
      <w:marLeft w:val="480"/>
      <w:marRight w:val="0"/>
      <w:marTop w:val="0"/>
      <w:marBottom w:val="0"/>
      <w:divBdr>
        <w:top w:val="none" w:sz="0" w:space="0" w:color="auto"/>
        <w:left w:val="none" w:sz="0" w:space="0" w:color="auto"/>
        <w:bottom w:val="none" w:sz="0" w:space="0" w:color="auto"/>
        <w:right w:val="none" w:sz="0" w:space="0" w:color="auto"/>
      </w:divBdr>
    </w:div>
    <w:div w:id="614678921">
      <w:marLeft w:val="480"/>
      <w:marRight w:val="0"/>
      <w:marTop w:val="0"/>
      <w:marBottom w:val="0"/>
      <w:divBdr>
        <w:top w:val="none" w:sz="0" w:space="0" w:color="auto"/>
        <w:left w:val="none" w:sz="0" w:space="0" w:color="auto"/>
        <w:bottom w:val="none" w:sz="0" w:space="0" w:color="auto"/>
        <w:right w:val="none" w:sz="0" w:space="0" w:color="auto"/>
      </w:divBdr>
    </w:div>
    <w:div w:id="619991584">
      <w:marLeft w:val="480"/>
      <w:marRight w:val="0"/>
      <w:marTop w:val="0"/>
      <w:marBottom w:val="0"/>
      <w:divBdr>
        <w:top w:val="none" w:sz="0" w:space="0" w:color="auto"/>
        <w:left w:val="none" w:sz="0" w:space="0" w:color="auto"/>
        <w:bottom w:val="none" w:sz="0" w:space="0" w:color="auto"/>
        <w:right w:val="none" w:sz="0" w:space="0" w:color="auto"/>
      </w:divBdr>
    </w:div>
    <w:div w:id="713188788">
      <w:marLeft w:val="480"/>
      <w:marRight w:val="0"/>
      <w:marTop w:val="0"/>
      <w:marBottom w:val="0"/>
      <w:divBdr>
        <w:top w:val="none" w:sz="0" w:space="0" w:color="auto"/>
        <w:left w:val="none" w:sz="0" w:space="0" w:color="auto"/>
        <w:bottom w:val="none" w:sz="0" w:space="0" w:color="auto"/>
        <w:right w:val="none" w:sz="0" w:space="0" w:color="auto"/>
      </w:divBdr>
    </w:div>
    <w:div w:id="927423301">
      <w:marLeft w:val="480"/>
      <w:marRight w:val="0"/>
      <w:marTop w:val="0"/>
      <w:marBottom w:val="0"/>
      <w:divBdr>
        <w:top w:val="none" w:sz="0" w:space="0" w:color="auto"/>
        <w:left w:val="none" w:sz="0" w:space="0" w:color="auto"/>
        <w:bottom w:val="none" w:sz="0" w:space="0" w:color="auto"/>
        <w:right w:val="none" w:sz="0" w:space="0" w:color="auto"/>
      </w:divBdr>
    </w:div>
    <w:div w:id="1020358978">
      <w:marLeft w:val="480"/>
      <w:marRight w:val="0"/>
      <w:marTop w:val="0"/>
      <w:marBottom w:val="0"/>
      <w:divBdr>
        <w:top w:val="none" w:sz="0" w:space="0" w:color="auto"/>
        <w:left w:val="none" w:sz="0" w:space="0" w:color="auto"/>
        <w:bottom w:val="none" w:sz="0" w:space="0" w:color="auto"/>
        <w:right w:val="none" w:sz="0" w:space="0" w:color="auto"/>
      </w:divBdr>
    </w:div>
    <w:div w:id="1148277798">
      <w:marLeft w:val="480"/>
      <w:marRight w:val="0"/>
      <w:marTop w:val="0"/>
      <w:marBottom w:val="0"/>
      <w:divBdr>
        <w:top w:val="none" w:sz="0" w:space="0" w:color="auto"/>
        <w:left w:val="none" w:sz="0" w:space="0" w:color="auto"/>
        <w:bottom w:val="none" w:sz="0" w:space="0" w:color="auto"/>
        <w:right w:val="none" w:sz="0" w:space="0" w:color="auto"/>
      </w:divBdr>
    </w:div>
    <w:div w:id="1193808953">
      <w:marLeft w:val="480"/>
      <w:marRight w:val="0"/>
      <w:marTop w:val="0"/>
      <w:marBottom w:val="0"/>
      <w:divBdr>
        <w:top w:val="none" w:sz="0" w:space="0" w:color="auto"/>
        <w:left w:val="none" w:sz="0" w:space="0" w:color="auto"/>
        <w:bottom w:val="none" w:sz="0" w:space="0" w:color="auto"/>
        <w:right w:val="none" w:sz="0" w:space="0" w:color="auto"/>
      </w:divBdr>
    </w:div>
    <w:div w:id="1194464228">
      <w:marLeft w:val="480"/>
      <w:marRight w:val="0"/>
      <w:marTop w:val="0"/>
      <w:marBottom w:val="0"/>
      <w:divBdr>
        <w:top w:val="none" w:sz="0" w:space="0" w:color="auto"/>
        <w:left w:val="none" w:sz="0" w:space="0" w:color="auto"/>
        <w:bottom w:val="none" w:sz="0" w:space="0" w:color="auto"/>
        <w:right w:val="none" w:sz="0" w:space="0" w:color="auto"/>
      </w:divBdr>
    </w:div>
    <w:div w:id="1196889846">
      <w:marLeft w:val="480"/>
      <w:marRight w:val="0"/>
      <w:marTop w:val="0"/>
      <w:marBottom w:val="0"/>
      <w:divBdr>
        <w:top w:val="none" w:sz="0" w:space="0" w:color="auto"/>
        <w:left w:val="none" w:sz="0" w:space="0" w:color="auto"/>
        <w:bottom w:val="none" w:sz="0" w:space="0" w:color="auto"/>
        <w:right w:val="none" w:sz="0" w:space="0" w:color="auto"/>
      </w:divBdr>
    </w:div>
    <w:div w:id="1213076350">
      <w:marLeft w:val="480"/>
      <w:marRight w:val="0"/>
      <w:marTop w:val="0"/>
      <w:marBottom w:val="0"/>
      <w:divBdr>
        <w:top w:val="none" w:sz="0" w:space="0" w:color="auto"/>
        <w:left w:val="none" w:sz="0" w:space="0" w:color="auto"/>
        <w:bottom w:val="none" w:sz="0" w:space="0" w:color="auto"/>
        <w:right w:val="none" w:sz="0" w:space="0" w:color="auto"/>
      </w:divBdr>
    </w:div>
    <w:div w:id="1225608164">
      <w:marLeft w:val="480"/>
      <w:marRight w:val="0"/>
      <w:marTop w:val="0"/>
      <w:marBottom w:val="0"/>
      <w:divBdr>
        <w:top w:val="none" w:sz="0" w:space="0" w:color="auto"/>
        <w:left w:val="none" w:sz="0" w:space="0" w:color="auto"/>
        <w:bottom w:val="none" w:sz="0" w:space="0" w:color="auto"/>
        <w:right w:val="none" w:sz="0" w:space="0" w:color="auto"/>
      </w:divBdr>
    </w:div>
    <w:div w:id="1271158477">
      <w:marLeft w:val="480"/>
      <w:marRight w:val="0"/>
      <w:marTop w:val="0"/>
      <w:marBottom w:val="0"/>
      <w:divBdr>
        <w:top w:val="none" w:sz="0" w:space="0" w:color="auto"/>
        <w:left w:val="none" w:sz="0" w:space="0" w:color="auto"/>
        <w:bottom w:val="none" w:sz="0" w:space="0" w:color="auto"/>
        <w:right w:val="none" w:sz="0" w:space="0" w:color="auto"/>
      </w:divBdr>
    </w:div>
    <w:div w:id="1304044347">
      <w:marLeft w:val="480"/>
      <w:marRight w:val="0"/>
      <w:marTop w:val="0"/>
      <w:marBottom w:val="0"/>
      <w:divBdr>
        <w:top w:val="none" w:sz="0" w:space="0" w:color="auto"/>
        <w:left w:val="none" w:sz="0" w:space="0" w:color="auto"/>
        <w:bottom w:val="none" w:sz="0" w:space="0" w:color="auto"/>
        <w:right w:val="none" w:sz="0" w:space="0" w:color="auto"/>
      </w:divBdr>
    </w:div>
    <w:div w:id="1334801766">
      <w:marLeft w:val="480"/>
      <w:marRight w:val="0"/>
      <w:marTop w:val="0"/>
      <w:marBottom w:val="0"/>
      <w:divBdr>
        <w:top w:val="none" w:sz="0" w:space="0" w:color="auto"/>
        <w:left w:val="none" w:sz="0" w:space="0" w:color="auto"/>
        <w:bottom w:val="none" w:sz="0" w:space="0" w:color="auto"/>
        <w:right w:val="none" w:sz="0" w:space="0" w:color="auto"/>
      </w:divBdr>
    </w:div>
    <w:div w:id="1340619863">
      <w:marLeft w:val="480"/>
      <w:marRight w:val="0"/>
      <w:marTop w:val="0"/>
      <w:marBottom w:val="0"/>
      <w:divBdr>
        <w:top w:val="none" w:sz="0" w:space="0" w:color="auto"/>
        <w:left w:val="none" w:sz="0" w:space="0" w:color="auto"/>
        <w:bottom w:val="none" w:sz="0" w:space="0" w:color="auto"/>
        <w:right w:val="none" w:sz="0" w:space="0" w:color="auto"/>
      </w:divBdr>
    </w:div>
    <w:div w:id="1428042133">
      <w:marLeft w:val="480"/>
      <w:marRight w:val="0"/>
      <w:marTop w:val="0"/>
      <w:marBottom w:val="0"/>
      <w:divBdr>
        <w:top w:val="none" w:sz="0" w:space="0" w:color="auto"/>
        <w:left w:val="none" w:sz="0" w:space="0" w:color="auto"/>
        <w:bottom w:val="none" w:sz="0" w:space="0" w:color="auto"/>
        <w:right w:val="none" w:sz="0" w:space="0" w:color="auto"/>
      </w:divBdr>
    </w:div>
    <w:div w:id="1444958963">
      <w:marLeft w:val="480"/>
      <w:marRight w:val="0"/>
      <w:marTop w:val="0"/>
      <w:marBottom w:val="0"/>
      <w:divBdr>
        <w:top w:val="none" w:sz="0" w:space="0" w:color="auto"/>
        <w:left w:val="none" w:sz="0" w:space="0" w:color="auto"/>
        <w:bottom w:val="none" w:sz="0" w:space="0" w:color="auto"/>
        <w:right w:val="none" w:sz="0" w:space="0" w:color="auto"/>
      </w:divBdr>
    </w:div>
    <w:div w:id="1630940192">
      <w:marLeft w:val="480"/>
      <w:marRight w:val="0"/>
      <w:marTop w:val="0"/>
      <w:marBottom w:val="0"/>
      <w:divBdr>
        <w:top w:val="none" w:sz="0" w:space="0" w:color="auto"/>
        <w:left w:val="none" w:sz="0" w:space="0" w:color="auto"/>
        <w:bottom w:val="none" w:sz="0" w:space="0" w:color="auto"/>
        <w:right w:val="none" w:sz="0" w:space="0" w:color="auto"/>
      </w:divBdr>
    </w:div>
    <w:div w:id="1638533677">
      <w:marLeft w:val="480"/>
      <w:marRight w:val="0"/>
      <w:marTop w:val="0"/>
      <w:marBottom w:val="0"/>
      <w:divBdr>
        <w:top w:val="none" w:sz="0" w:space="0" w:color="auto"/>
        <w:left w:val="none" w:sz="0" w:space="0" w:color="auto"/>
        <w:bottom w:val="none" w:sz="0" w:space="0" w:color="auto"/>
        <w:right w:val="none" w:sz="0" w:space="0" w:color="auto"/>
      </w:divBdr>
    </w:div>
    <w:div w:id="1678734036">
      <w:marLeft w:val="480"/>
      <w:marRight w:val="0"/>
      <w:marTop w:val="0"/>
      <w:marBottom w:val="0"/>
      <w:divBdr>
        <w:top w:val="none" w:sz="0" w:space="0" w:color="auto"/>
        <w:left w:val="none" w:sz="0" w:space="0" w:color="auto"/>
        <w:bottom w:val="none" w:sz="0" w:space="0" w:color="auto"/>
        <w:right w:val="none" w:sz="0" w:space="0" w:color="auto"/>
      </w:divBdr>
    </w:div>
    <w:div w:id="1721055834">
      <w:marLeft w:val="480"/>
      <w:marRight w:val="0"/>
      <w:marTop w:val="0"/>
      <w:marBottom w:val="0"/>
      <w:divBdr>
        <w:top w:val="none" w:sz="0" w:space="0" w:color="auto"/>
        <w:left w:val="none" w:sz="0" w:space="0" w:color="auto"/>
        <w:bottom w:val="none" w:sz="0" w:space="0" w:color="auto"/>
        <w:right w:val="none" w:sz="0" w:space="0" w:color="auto"/>
      </w:divBdr>
    </w:div>
    <w:div w:id="1834485427">
      <w:marLeft w:val="480"/>
      <w:marRight w:val="0"/>
      <w:marTop w:val="0"/>
      <w:marBottom w:val="0"/>
      <w:divBdr>
        <w:top w:val="none" w:sz="0" w:space="0" w:color="auto"/>
        <w:left w:val="none" w:sz="0" w:space="0" w:color="auto"/>
        <w:bottom w:val="none" w:sz="0" w:space="0" w:color="auto"/>
        <w:right w:val="none" w:sz="0" w:space="0" w:color="auto"/>
      </w:divBdr>
    </w:div>
    <w:div w:id="1836264853">
      <w:marLeft w:val="480"/>
      <w:marRight w:val="0"/>
      <w:marTop w:val="0"/>
      <w:marBottom w:val="0"/>
      <w:divBdr>
        <w:top w:val="none" w:sz="0" w:space="0" w:color="auto"/>
        <w:left w:val="none" w:sz="0" w:space="0" w:color="auto"/>
        <w:bottom w:val="none" w:sz="0" w:space="0" w:color="auto"/>
        <w:right w:val="none" w:sz="0" w:space="0" w:color="auto"/>
      </w:divBdr>
    </w:div>
    <w:div w:id="1879851900">
      <w:marLeft w:val="480"/>
      <w:marRight w:val="0"/>
      <w:marTop w:val="0"/>
      <w:marBottom w:val="0"/>
      <w:divBdr>
        <w:top w:val="none" w:sz="0" w:space="0" w:color="auto"/>
        <w:left w:val="none" w:sz="0" w:space="0" w:color="auto"/>
        <w:bottom w:val="none" w:sz="0" w:space="0" w:color="auto"/>
        <w:right w:val="none" w:sz="0" w:space="0" w:color="auto"/>
      </w:divBdr>
    </w:div>
    <w:div w:id="1941984133">
      <w:marLeft w:val="480"/>
      <w:marRight w:val="0"/>
      <w:marTop w:val="0"/>
      <w:marBottom w:val="0"/>
      <w:divBdr>
        <w:top w:val="none" w:sz="0" w:space="0" w:color="auto"/>
        <w:left w:val="none" w:sz="0" w:space="0" w:color="auto"/>
        <w:bottom w:val="none" w:sz="0" w:space="0" w:color="auto"/>
        <w:right w:val="none" w:sz="0" w:space="0" w:color="auto"/>
      </w:divBdr>
    </w:div>
    <w:div w:id="1987930973">
      <w:marLeft w:val="480"/>
      <w:marRight w:val="0"/>
      <w:marTop w:val="0"/>
      <w:marBottom w:val="0"/>
      <w:divBdr>
        <w:top w:val="none" w:sz="0" w:space="0" w:color="auto"/>
        <w:left w:val="none" w:sz="0" w:space="0" w:color="auto"/>
        <w:bottom w:val="none" w:sz="0" w:space="0" w:color="auto"/>
        <w:right w:val="none" w:sz="0" w:space="0" w:color="auto"/>
      </w:divBdr>
    </w:div>
    <w:div w:id="2014717172">
      <w:marLeft w:val="480"/>
      <w:marRight w:val="0"/>
      <w:marTop w:val="0"/>
      <w:marBottom w:val="0"/>
      <w:divBdr>
        <w:top w:val="none" w:sz="0" w:space="0" w:color="auto"/>
        <w:left w:val="none" w:sz="0" w:space="0" w:color="auto"/>
        <w:bottom w:val="none" w:sz="0" w:space="0" w:color="auto"/>
        <w:right w:val="none" w:sz="0" w:space="0" w:color="auto"/>
      </w:divBdr>
    </w:div>
    <w:div w:id="2028870076">
      <w:marLeft w:val="48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0E04A1B5-96CA-4B12-BABD-E18BB7215482}"/>
      </w:docPartPr>
      <w:docPartBody>
        <w:p w:rsidR="00151D16" w:rsidRDefault="00151D16">
          <w:r w:rsidRPr="00793204">
            <w:rPr>
              <w:rStyle w:val="Pladsholdertekst"/>
            </w:rPr>
            <w:t>Click or tap here to enter text.</w:t>
          </w:r>
        </w:p>
      </w:docPartBody>
    </w:docPart>
    <w:docPart>
      <w:docPartPr>
        <w:name w:val="C90DF80D5AA84E9EBFE9151D8A312CE3"/>
        <w:category>
          <w:name w:val="General"/>
          <w:gallery w:val="placeholder"/>
        </w:category>
        <w:types>
          <w:type w:val="bbPlcHdr"/>
        </w:types>
        <w:behaviors>
          <w:behavior w:val="content"/>
        </w:behaviors>
        <w:guid w:val="{3A195DEB-A22B-4A6E-A409-9406231E03DA}"/>
      </w:docPartPr>
      <w:docPartBody>
        <w:p w:rsidR="00151D16" w:rsidRDefault="00151D16" w:rsidP="00151D16">
          <w:pPr>
            <w:pStyle w:val="C90DF80D5AA84E9EBFE9151D8A312CE3"/>
          </w:pPr>
          <w:r w:rsidRPr="00793204">
            <w:rPr>
              <w:rStyle w:val="Pladsholderteks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sDel="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1D16"/>
    <w:rsid w:val="00151D16"/>
    <w:rsid w:val="007761D3"/>
    <w:rsid w:val="00956B04"/>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styleId="Pladsholdertekst">
    <w:name w:val="Placeholder Text"/>
    <w:basedOn w:val="Standardskrifttypeiafsnit"/>
    <w:uiPriority w:val="99"/>
    <w:rsid w:val="00151D16"/>
    <w:rPr>
      <w:color w:val="666666"/>
    </w:rPr>
  </w:style>
  <w:style w:type="paragraph" w:customStyle="1" w:styleId="C90DF80D5AA84E9EBFE9151D8A312CE3">
    <w:name w:val="C90DF80D5AA84E9EBFE9151D8A312CE3"/>
    <w:rsid w:val="00151D1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7EB04A3-FCB6-44B7-9D90-295293738B06}">
  <we:reference id="WA104382081" version="1.55.1.0" store="Omex" storeType="OMEX"/>
  <we:alternateReferences>
    <we:reference id="WA104382081" version="1.55.1.0" store="WA104382081" storeType="OMEX"/>
  </we:alternateReferences>
  <we:properties>
    <we:property name="MENDELEY_BIBLIOGRAPHY_IS_DIRTY" value="false"/>
    <we:property name="MENDELEY_BIBLIOGRAPHY_LAST_MODIFIED" value="1761754136644"/>
    <we:property name="MENDELEY_CITATIONS" value="[{&quot;citationID&quot;:&quot;MENDELEY_CITATION_89c732b6-c753-4c83-bff9-4d69a3760e35&quot;,&quot;properties&quot;:{&quot;noteIndex&quot;:0},&quot;isEdited&quot;:false,&quot;manualOverride&quot;:{&quot;isManuallyOverridden&quot;:false,&quot;citeprocText&quot;:&quot;(Goldáraz-Salamero et al., 2025; Wedgwood, 2024)&quot;,&quot;manualOverrideText&quot;:&quot;&quot;},&quot;citationItems&quot;:[{&quot;id&quot;:&quot;e076bffb-ae92-3578-8881-4903edb935a8&quot;,&quot;itemData&quot;:{&quot;type&quot;:&quot;article-journal&quot;,&quot;id&quot;:&quot;e076bffb-ae92-3578-8881-4903edb935a8&quot;,&quot;title&quot;:&quot;Assessing the sustainability of emerging green biorefinery technology&quot;,&quot;author&quot;:[{&quot;family&quot;:&quot;Wedgwood&quot;,&quot;given&quot;:&quot;Cristian&quot;,&quot;parse-names&quot;:false,&quot;dropping-particle&quot;:&quot;&quot;,&quot;non-dropping-particle&quot;:&quot;&quot;}],&quot;container-title&quot;:&quot;Introductory paper at the Faculty of Landscape Architecture, Horticulture and Crop Production Science&quot;,&quot;accessed&quot;:{&quot;date-parts&quot;:[[2025,10,29]]},&quot;URL&quot;:&quot;https://res.slu.se/id/publ/139769&quot;,&quot;issued&quot;:{&quot;date-parts&quot;:[[2024]]},&quot;abstract&quot;:&quot;&lt;p&gt;Green biorefinery (GBR) systems could play a pivotal role in enabling the transition to sustainable production systems by provisioning renewable bio-based product alternatives to existing non-renewable products, while avoiding increasing the pressure on environmental systems due to land use change free green feedstocks, such as crop residues, service crops and intermediate crops. Through the production of protein, for food or feed, biofuels, and fertilizers, GBR systems could provide a regional solution to address novel concerns of energy and food security driven by recent shocks to global supply chains. As an emerging technology, ongoing research into GBR system technology, covering process design, i.e. process sequence, operating conditions, and product development, i.e. secondary processing, expanding the product portfolio, and novel feedstocks is necessary. Technical, economic, and environmental analysis tools can help bridge the gap between innovation and market implementation and avoid unsustainable outcomes. Therefore, in addition to research into GBR innovations, there is a need for concurrent investigations into the technical, economic, and environmental performance of these systems and into tools that can synthesize these results into actionable insights.&lt;br&gt;&lt;/p&gt;&quot;,&quot;issue&quot;:&quot;2024:5&quot;,&quot;container-title-short&quot;:&quot;&quot;},&quot;isTemporary&quot;:false},{&quot;id&quot;:&quot;a0107ae1-8483-3029-aae3-d2c183c9b69d&quot;,&quot;itemData&quot;:{&quot;type&quot;:&quot;article-journal&quot;,&quot;id&quot;:&quot;a0107ae1-8483-3029-aae3-d2c183c9b69d&quot;,&quot;title&quot;:&quot;From food loss and waste to feed: a systematic review of life cycle perspectives in livestock systems&quot;,&quot;author&quot;:[{&quot;family&quot;:&quot;Goldáraz-Salamero&quot;,&quot;given&quot;:&quot;Nuria&quot;,&quot;parse-names&quot;:false,&quot;dropping-particle&quot;:&quot;&quot;,&quot;non-dropping-particle&quot;:&quot;&quot;},{&quot;family&quot;:&quot;Blanc&quot;,&quot;given&quot;:&quot;Simone&quot;,&quot;parse-names&quot;:false,&quot;dropping-particle&quot;:&quot;&quot;,&quot;non-dropping-particle&quot;:&quot;&quot;},{&quot;family&quot;:&quot;Sierra-Perez&quot;,&quot;given&quot;:&quot;Jorge&quot;,&quot;parse-names&quot;:false,&quot;dropping-particle&quot;:&quot;&quot;,&quot;non-dropping-particle&quot;:&quot;&quot;},{&quot;family&quot;:&quot;Brun&quot;,&quot;given&quot;:&quot;Filippo&quot;,&quot;parse-names&quot;:false,&quot;dropping-particle&quot;:&quot;&quot;,&quot;non-dropping-particle&quot;:&quot;&quot;}],&quot;container-title&quot;:&quot;International Journal of Life Cycle Assessment&quot;,&quot;accessed&quot;:{&quot;date-parts&quot;:[[2025,10,29]]},&quot;DOI&quot;:&quot;10.1007/S11367-025-02464-5&quot;,&quot;ISSN&quot;:&quot;16147502&quot;,&quot;issued&quot;:{&quot;date-parts&quot;:[[2025,7,1]]},&quot;page&quot;:&quot;1586-1606&quot;,&quot;abstract&quot;:&quot;Purpose: Food loss and waste (FLW) has become an increasingly important sustainability concern over the past few years. Among the existing waste management strategies, the reintroduction in animal feeding is regarded as a highly advantageous, although the actual benefits should be properly evaluated. The life cycle thinking framework (LCT) enables comprehensive analysis of environmental, economic and social performance. This study explores the main approaches for evaluating the introduction of FLW as feed through the LCT methods. Methodology: Using the PRISMA methodology, we conducted a comprehensive review of the existing literature on the topic. To establish a robust research framework, the PICO method was employed to formulate the research questions. The literature search was performed in the Scopus and Web of Science databases, where we identified studies relevant to our topic. After applying rigorous inclusion and exclusion criteria during the screening process, we selected studies suitable for in-depth analysis. The primary goals of this literature review were to assess the bibliographic evolution of the topic and to examine the methodological approaches related to the LCT framework. Results and discussion: Our review identified 68 relevant studies that present an increasing trend over the years, denoting a growing interest in the topic. The geographic distribution of the published articles is centred in Europe. It also highlighted the key methodological approaches and their diversity for assessing complex agricultural systems. Regarding the establishment of system boundaries, most of the literature followed a hybrid approach, accounting for environmental rewards but without expanding the analysis to explore further consequences. There was a notable imbalance in the literature distribution among the three methods, with environmental studies being predominant over economic and social analyses. Additionally, many studies employed an integrative approach, incorporating methods to analyze other sustainability aspects. Conclusions: Our review of LCT studies of FLW management strategies of feed integration revealed an increase interest in the topic. We investigated key methodological aspects of LCT method in this area. However, limitations remain regarding the research of economic and social aspects, which are less explored in the literature. Addressing these gaps with an integrative perspective would advance knowledge and contribute to develop more resilient and sustainable food systems.&quot;,&quot;publisher&quot;:&quot;Springer&quot;,&quot;issue&quot;:&quot;7&quot;,&quot;volume&quot;:&quot;30&quot;},&quot;isTemporary&quot;:false}],&quot;citationTag&quot;:&quot;MENDELEY_CITATION_v3_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&quot;},{&quot;citationID&quot;:&quot;MENDELEY_CITATION_b0fb8c2c-2b0b-4851-adc8-33fd1f1b65fb&quot;,&quot;properties&quot;:{&quot;noteIndex&quot;:0},&quot;isEdited&quot;:false,&quot;manualOverride&quot;:{&quot;isManuallyOverridden&quot;:false,&quot;citeprocText&quot;:&quot;(Mutio et al., 2025)&quot;,&quot;manualOverrideText&quot;:&quot;&quot;},&quot;citationTag&quot;:&quot;MENDELEY_CITATION_v3_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&quot;,&quot;citationItems&quot;:[{&quot;id&quot;:&quot;cc701db0-c3d6-3f32-b334-e8ef12314d78&quot;,&quot;itemData&quot;:{&quot;type&quot;:&quot;article-journal&quot;,&quot;id&quot;:&quot;cc701db0-c3d6-3f32-b334-e8ef12314d78&quot;,&quot;title&quot;:&quot;Circular business models for whey valorization in the Kenyan dairy sector through product life extension and resource recovery&quot;,&quot;author&quot;:[{&quot;family&quot;:&quot;Mutio&quot;,&quot;given&quot;:&quot;Celestine&quot;,&quot;parse-names&quot;:false,&quot;dropping-particle&quot;:&quot;&quot;,&quot;non-dropping-particle&quot;:&quot;&quot;},{&quot;family&quot;:&quot;Okello&quot;,&quot;given&quot;:&quot;Dickson&quot;,&quot;parse-names&quot;:false,&quot;dropping-particle&quot;:&quot;&quot;,&quot;non-dropping-particle&quot;:&quot;&quot;},{&quot;family&quot;:&quot;Karanja&quot;,&quot;given&quot;:&quot;Stanley&quot;,&quot;parse-names&quot;:false,&quot;dropping-particle&quot;:&quot;&quot;,&quot;non-dropping-particle&quot;:&quot;&quot;},{&quot;family&quot;:&quot;Bebe&quot;,&quot;given&quot;:&quot;Bockline&quot;,&quot;parse-names&quot;:false,&quot;dropping-particle&quot;:&quot;&quot;,&quot;non-dropping-particle&quot;:&quot;&quot;},{&quot;family&quot;:&quot;Bolwig&quot;,&quot;given&quot;:&quot;Simon&quot;,&quot;parse-names&quot;:false,&quot;dropping-particle&quot;:&quot;&quot;,&quot;non-dropping-particle&quot;:&quot;&quot;}],&quot;container-title&quot;:&quot;Discover Sustainability&quot;,&quot;accessed&quot;:{&quot;date-parts&quot;:[[2025,10,29]]},&quot;DOI&quot;:&quot;10.1007/S43621-025-01759-9/FIGURES/8&quot;,&quot;ISSN&quot;:&quot;26629984&quot;,&quot;URL&quot;:&quot;https://link.springer.com/article/10.1007/s43621-025-01759-9&quot;,&quot;issued&quot;:{&quot;date-parts&quot;:[[2025,12,1]]},&quot;page&quot;:&quot;1-29&quot;,&quot;abstract&quot;:&quot;The transition toward circular bio-economy models in the dairy sector demands innovative strategies to valorize whey, a nutrient-rich byproduct often discarded as waste. This study analyzes four circular business models adopted by Kenyan dairy processors: (i) ricotta cheese production, (ii) whey-based yogurt drinks, (iii) fruit-blended whey smoothies, and (iv) whey protein concentrate (WPC) recovery. Using a mixed-methods approach combining case studies of ten processors, stakeholder interviews, and EcoCanvas business model analysis, the study reveals that only 0.45% of the 976,055 L of whey generated weekly is valorized. Ricotta production emerged as the most accessible and cost-effective pathway, while smoothies and yogurt offer nutritional value but face market penetration challenges. WPC recovery, though capital-intensive, presents opportunities for import substitution if processors collaborate to aggregate whey volumes. Theoretically, the study integrates Circular Economy (CE), Business Model Innovation (BMI), and Resource-Based View (RBV) frameworks to explain inter-processor differences in adoption, showing how firm capabilities, external enablers, and systemic reconfiguration interact to drive circularity. Practically, the findings inform policy and industry efforts to enhance waste-to-value transitions in developing dairy economies. Key limitations include a small sample size (n = 10), reliance on self-reported data, and a focus on cheese-producing processors. Future research should investigate cooperative valorization models, consumer demand for whey-based products, and lifecycle assessments of environmental outcomes. By addressing structural and institutional barriers, Kenya’s dairy sector can unlock significant environmental, nutritional, and economic benefits through scalable whey valorization strategies.&quot;,&quot;publisher&quot;:&quot;Springer Nature&quot;,&quot;issue&quot;:&quot;1&quot;,&quot;volume&quot;:&quot;6&quot;,&quot;container-title-short&quot;:&quot;&quot;},&quot;isTemporary&quot;:false}]},{&quot;citationID&quot;:&quot;MENDELEY_CITATION_deefa904-efdd-4fcd-85a1-900b81889fc9&quot;,&quot;properties&quot;:{&quot;noteIndex&quot;:0},&quot;isEdited&quot;:false,&quot;manualOverride&quot;:{&quot;isManuallyOverridden&quot;:false,&quot;citeprocText&quot;:&quot;(Kenya Dairy Board, 2023)&quot;,&quot;manualOverrideText&quot;:&quot;&quot;},&quot;citationItems&quot;:[{&quot;id&quot;:&quot;b850497c-f312-3994-9590-25da0d4071a5&quot;,&quot;itemData&quot;:{&quot;type&quot;:&quot;webpage&quot;,&quot;id&quot;:&quot;b850497c-f312-3994-9590-25da0d4071a5&quot;,&quot;title&quot;:&quot;Technical Reports - KDB&quot;,&quot;author&quot;:[{&quot;family&quot;:&quot;Kenya Dairy Board&quot;,&quot;given&quot;:&quot;&quot;,&quot;parse-names&quot;:false,&quot;dropping-particle&quot;:&quot;&quot;,&quot;non-dropping-particle&quot;:&quot;&quot;}],&quot;accessed&quot;:{&quot;date-parts&quot;:[[2025,10,29]]},&quot;URL&quot;:&quot;https://www.kdb.go.ke/download-category/technical-reports/&quot;,&quot;issued&quot;:{&quot;date-parts&quot;:[[2023]]},&quot;container-title-short&quot;:&quot;&quot;},&quot;isTemporary&quot;:false}],&quot;citationTag&quot;:&quot;MENDELEY_CITATION_v3_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&quot;},{&quot;citationID&quot;:&quot;MENDELEY_CITATION_58ff1da8-0089-411d-9b23-0f14718b5969&quot;,&quot;properties&quot;:{&quot;noteIndex&quot;:0},&quot;isEdited&quot;:false,&quot;manualOverride&quot;:{&quot;isManuallyOverridden&quot;:false,&quot;citeprocText&quot;:&quot;(Kenya Dairy Board, 2023)&quot;,&quot;manualOverrideText&quot;:&quot;&quot;},&quot;citationItems&quot;:[{&quot;id&quot;:&quot;b850497c-f312-3994-9590-25da0d4071a5&quot;,&quot;itemData&quot;:{&quot;type&quot;:&quot;webpage&quot;,&quot;id&quot;:&quot;b850497c-f312-3994-9590-25da0d4071a5&quot;,&quot;title&quot;:&quot;Technical Reports - KDB&quot;,&quot;author&quot;:[{&quot;family&quot;:&quot;Kenya Dairy Board&quot;,&quot;given&quot;:&quot;&quot;,&quot;parse-names&quot;:false,&quot;dropping-particle&quot;:&quot;&quot;,&quot;non-dropping-particle&quot;:&quot;&quot;}],&quot;accessed&quot;:{&quot;date-parts&quot;:[[2025,10,29]]},&quot;URL&quot;:&quot;https://www.kdb.go.ke/download-category/technical-reports/&quot;,&quot;issued&quot;:{&quot;date-parts&quot;:[[2023]]},&quot;container-title-short&quot;:&quot;&quot;},&quot;isTemporary&quot;:false}],&quot;citationTag&quot;:&quot;MENDELEY_CITATION_v3_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&quot;},{&quot;citationID&quot;:&quot;MENDELEY_CITATION_a9d07507-129f-4a23-957c-87cedb154ad7&quot;,&quot;properties&quot;:{&quot;noteIndex&quot;:0},&quot;isEdited&quot;:false,&quot;manualOverride&quot;:{&quot;isManuallyOverridden&quot;:false,&quot;citeprocText&quot;:&quot;(Soumati et al., 2023; Zandona et al., 2021)&quot;,&quot;manualOverrideText&quot;:&quot;&quot;},&quot;citationItems&quot;:[{&quot;id&quot;:&quot;97631032-53a5-36d4-bbb6-2df939918841&quot;,&quot;itemData&quot;:{&quot;type&quot;:&quot;article-journal&quot;,&quot;id&quot;:&quot;97631032-53a5-36d4-bbb6-2df939918841&quot;,&quot;title&quot;:&quot;Whey Valorization – Innovative Strategies for Sustainable Development and Value-Added Product Creation&quot;,&quot;author&quot;:[{&quot;family&quot;:&quot;Soumati&quot;,&quot;given&quot;:&quot;Bouchra&quot;,&quot;parse-names&quot;:false,&quot;dropping-particle&quot;:&quot;&quot;,&quot;non-dropping-particle&quot;:&quot;&quot;},{&quot;family&quot;:&quot;Atmani&quot;,&quot;given&quot;:&quot;Majid&quot;,&quot;parse-names&quot;:false,&quot;dropping-particle&quot;:&quot;&quot;,&quot;non-dropping-particle&quot;:&quot;&quot;},{&quot;family&quot;:&quot;Benabderrahmane&quot;,&quot;given&quot;:&quot;Asmae&quot;,&quot;parse-names&quot;:false,&quot;dropping-particle&quot;:&quot;&quot;,&quot;non-dropping-particle&quot;:&quot;&quot;},{&quot;family&quot;:&quot;Benjelloun&quot;,&quot;given&quot;:&quot;Meryem&quot;,&quot;parse-names&quot;:false,&quot;dropping-particle&quot;:&quot;&quot;,&quot;non-dropping-particle&quot;:&quot;&quot;}],&quot;container-title&quot;:&quot;Journal of Ecological Engineering&quot;,&quot;accessed&quot;:{&quot;date-parts&quot;:[[2025,2,20]]},&quot;DOI&quot;:&quot;10.12911/22998993/169505&quot;,&quot;ISSN&quot;:&quot;2299-8993&quot;,&quot;URL&quot;:&quot;https://www.jeeng.net/Whey-Valorization-Innovative-Strategies-for-Sustainable-Development-and-Value-Added,169505,0,2.html&quot;,&quot;issued&quot;:{&quot;date-parts&quot;:[[2023]]},&quot;page&quot;:&quot;86-104&quot;,&quot;abstract&quot;:&quot;In recent years, the pursuit of sustainable practices and the efficient utilization of resources has become paramount in various industries, including the food and beverage sector. One such challenge faced by the dairy industry is the management of whey, a byproduct generated during cheese and yogurt production. Historically, whey has been perceived as a discarded waste product, leading to environmental concerns due to its high organic load and disposal challenges. However, with the increasing emphasis on sustainability, researchers and industry leaders have recognized the potential of developing innovative approaches to valorize whey, transforming it into valuable products while minimizing waste and environmental impact. Essentially turning it from “gutter-to-gold. This review provides an overview of the technologies used for whey valorization, with a focus on new approaches, innovative products, and emerging perspectives. It aims to stimulate research and innovation in this critical field, fostering the development of a more sustainable and circular dairy industry.&quot;,&quot;publisher&quot;:&quot;Polish Society of Ecological Engineering (PTIE)&quot;,&quot;issue&quot;:&quot;10&quot;,&quot;volume&quot;:&quot;24&quot;,&quot;container-title-short&quot;:&quot;&quot;},&quot;isTemporary&quot;:false},{&quot;id&quot;:&quot;1649292e-c651-32d8-b537-91d7c913ba52&quot;,&quot;itemData&quot;:{&quot;type&quot;:&quot;article-journal&quot;,&quot;id&quot;:&quot;1649292e-c651-32d8-b537-91d7c913ba52&quot;,&quot;title&quot;:&quot;Whey Utilization: Sustainable Uses and Environmental Approach&quot;,&quot;author&quot;:[{&quot;family&quot;:&quot;Zandona&quot;,&quot;given&quot;:&quot;Elizabeta&quot;,&quot;parse-names&quot;:false,&quot;dropping-particle&quot;:&quot;&quot;,&quot;non-dropping-particle&quot;:&quot;&quot;},{&quot;family&quot;:&quot;Blažić&quot;,&quot;given&quot;:&quot;Marijana&quot;,&quot;parse-names&quot;:false,&quot;dropping-particle&quot;:&quot;&quot;,&quot;non-dropping-particle&quot;:&quot;&quot;},{&quot;family&quot;:&quot;Režek Jambrak&quot;,&quot;given&quot;:&quot;Anet&quot;,&quot;parse-names&quot;:false,&quot;dropping-particle&quot;:&quot;&quot;,&quot;non-dropping-particle&quot;:&quot;&quot;}],&quot;container-title&quot;:&quot;Food Technology and Biotechnology&quot;,&quot;container-title-short&quot;:&quot;Food Technol Biotechnol&quot;,&quot;accessed&quot;:{&quot;date-parts&quot;:[[2025,10,29]]},&quot;DOI&quot;:&quot;10.17113/FTB.59.02.21.6968&quot;,&quot;ISSN&quot;:&quot;13342606&quot;,&quot;issued&quot;:{&quot;date-parts&quot;:[[2021,4,1]]},&quot;page&quot;:&quot;147-161&quot;,&quot;abstract&quot;:&quot;The dairy industry produces large amounts of whey as a by-or co-product, which has led to considerable environmental problems due to its high organic matter content. Over the past decades, possibilities of more environmentally and economically efficient whey utilisation have been studied, primarily to convert unwanted end products into a valuable raw material. Sustainable whey management is mostly oriented to biotechnological and food applications for the development of value-added products such as whey powders, whey proteins, functional food and beverages, edible films and coatings, lactic acid and other biochemicals, bioplastic, biofuels and similar valuable bioproducts. This paper pro-vides an overview of the sustainable utilisation of whey and its constituents, considering new refining approaches and integrated processes to convert whey, or lactose and whey proteins to high value-added whey-based products.&quot;,&quot;publisher&quot;:&quot;University of Zagreb&quot;,&quot;issue&quot;:&quot;2&quot;,&quot;volume&quot;:&quot;59&quot;},&quot;isTemporary&quot;:false}],&quot;citationTag&quot;:&quot;MENDELEY_CITATION_v3_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&quot;},{&quot;citationID&quot;:&quot;MENDELEY_CITATION_f3280689-cf44-4f7c-a1a4-f95ed9cf6737&quot;,&quot;properties&quot;:{&quot;noteIndex&quot;:0},&quot;isEdited&quot;:false,&quot;manualOverride&quot;:{&quot;isManuallyOverridden&quot;:false,&quot;citeprocText&quot;:&quot;(Mutio et al., 2025)&quot;,&quot;manualOverrideText&quot;:&quot;&quot;},&quot;citationItems&quot;:[{&quot;id&quot;:&quot;cc701db0-c3d6-3f32-b334-e8ef12314d78&quot;,&quot;itemData&quot;:{&quot;type&quot;:&quot;article-journal&quot;,&quot;id&quot;:&quot;cc701db0-c3d6-3f32-b334-e8ef12314d78&quot;,&quot;title&quot;:&quot;Circular business models for whey valorization in the Kenyan dairy sector through product life extension and resource recovery&quot;,&quot;author&quot;:[{&quot;family&quot;:&quot;Mutio&quot;,&quot;given&quot;:&quot;Celestine&quot;,&quot;parse-names&quot;:false,&quot;dropping-particle&quot;:&quot;&quot;,&quot;non-dropping-particle&quot;:&quot;&quot;},{&quot;family&quot;:&quot;Okello&quot;,&quot;given&quot;:&quot;Dickson&quot;,&quot;parse-names&quot;:false,&quot;dropping-particle&quot;:&quot;&quot;,&quot;non-dropping-particle&quot;:&quot;&quot;},{&quot;family&quot;:&quot;Karanja&quot;,&quot;given&quot;:&quot;Stanley&quot;,&quot;parse-names&quot;:false,&quot;dropping-particle&quot;:&quot;&quot;,&quot;non-dropping-particle&quot;:&quot;&quot;},{&quot;family&quot;:&quot;Bebe&quot;,&quot;given&quot;:&quot;Bockline&quot;,&quot;parse-names&quot;:false,&quot;dropping-particle&quot;:&quot;&quot;,&quot;non-dropping-particle&quot;:&quot;&quot;},{&quot;family&quot;:&quot;Bolwig&quot;,&quot;given&quot;:&quot;Simon&quot;,&quot;parse-names&quot;:false,&quot;dropping-particle&quot;:&quot;&quot;,&quot;non-dropping-particle&quot;:&quot;&quot;}],&quot;container-title&quot;:&quot;Discover Sustainability&quot;,&quot;accessed&quot;:{&quot;date-parts&quot;:[[2025,10,29]]},&quot;DOI&quot;:&quot;10.1007/S43621-025-01759-9/FIGURES/8&quot;,&quot;ISSN&quot;:&quot;26629984&quot;,&quot;URL&quot;:&quot;https://link.springer.com/article/10.1007/s43621-025-01759-9&quot;,&quot;issued&quot;:{&quot;date-parts&quot;:[[2025,12,1]]},&quot;page&quot;:&quot;1-29&quot;,&quot;abstract&quot;:&quot;The transition toward circular bio-economy models in the dairy sector demands innovative strategies to valorize whey, a nutrient-rich byproduct often discarded as waste. This study analyzes four circular business models adopted by Kenyan dairy processors: (i) ricotta cheese production, (ii) whey-based yogurt drinks, (iii) fruit-blended whey smoothies, and (iv) whey protein concentrate (WPC) recovery. Using a mixed-methods approach combining case studies of ten processors, stakeholder interviews, and EcoCanvas business model analysis, the study reveals that only 0.45% of the 976,055 L of whey generated weekly is valorized. Ricotta production emerged as the most accessible and cost-effective pathway, while smoothies and yogurt offer nutritional value but face market penetration challenges. WPC recovery, though capital-intensive, presents opportunities for import substitution if processors collaborate to aggregate whey volumes. Theoretically, the study integrates Circular Economy (CE), Business Model Innovation (BMI), and Resource-Based View (RBV) frameworks to explain inter-processor differences in adoption, showing how firm capabilities, external enablers, and systemic reconfiguration interact to drive circularity. Practically, the findings inform policy and industry efforts to enhance waste-to-value transitions in developing dairy economies. Key limitations include a small sample size (n = 10), reliance on self-reported data, and a focus on cheese-producing processors. Future research should investigate cooperative valorization models, consumer demand for whey-based products, and lifecycle assessments of environmental outcomes. By addressing structural and institutional barriers, Kenya’s dairy sector can unlock significant environmental, nutritional, and economic benefits through scalable whey valorization strategies.&quot;,&quot;publisher&quot;:&quot;Springer Nature&quot;,&quot;issue&quot;:&quot;1&quot;,&quot;volume&quot;:&quot;6&quot;,&quot;container-title-short&quot;:&quot;&quot;},&quot;isTemporary&quot;:false}],&quot;citationTag&quot;:&quot;MENDELEY_CITATION_v3_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&quot;}]"/>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174822-4281-4D0A-96F0-41D6312D5B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3</Pages>
  <Words>850</Words>
  <Characters>5189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Karanja, Stanley (Alliance Bioversity-CIAT)</dc:creator>
  <cp:keywords/>
  <dc:description/>
  <cp:lastModifiedBy>Simon Bolwig</cp:lastModifiedBy>
  <cp:revision>26</cp:revision>
  <dcterms:created xsi:type="dcterms:W3CDTF">2025-10-29T14:48:00Z</dcterms:created>
  <dcterms:modified xsi:type="dcterms:W3CDTF">2025-11-24T19:57:00Z</dcterms:modified>
</cp:coreProperties>
</file>