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media/image3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011D25">
      <w:pPr>
        <w:pStyle w:val="2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75" w:lineRule="auto"/>
        <w:rPr>
          <w:rFonts w:hint="eastAsia" w:ascii="Google Sans" w:hAnsi="Google Sans" w:eastAsia="Google Sans" w:cs="Google Sans"/>
          <w:color w:val="1F1F1F"/>
          <w:rtl w:val="0"/>
        </w:rPr>
      </w:pPr>
      <w:r>
        <w:rPr>
          <w:rFonts w:ascii="Google Sans" w:hAnsi="Google Sans" w:eastAsia="Google Sans" w:cs="Google Sans"/>
          <w:color w:val="1F1F1F"/>
          <w:rtl w:val="0"/>
        </w:rPr>
        <w:t>Supplementary Materials</w:t>
      </w:r>
      <w:bookmarkStart w:id="0" w:name="_GoBack"/>
      <w:bookmarkEnd w:id="0"/>
    </w:p>
    <w:p w14:paraId="3B81F174">
      <w:pPr>
        <w:rPr>
          <w:rFonts w:hint="eastAsia" w:ascii="Google Sans" w:hAnsi="Google Sans" w:eastAsia="Google Sans" w:cs="Google Sans"/>
          <w:color w:val="1F1F1F"/>
          <w:rtl w:val="0"/>
        </w:rPr>
      </w:pPr>
    </w:p>
    <w:tbl>
      <w:tblPr>
        <w:tblStyle w:val="12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68"/>
        <w:gridCol w:w="3152"/>
        <w:gridCol w:w="2648"/>
      </w:tblGrid>
      <w:tr w14:paraId="44FEF348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  <w:tl2br w:val="nil"/>
            </w:tcBorders>
            <w:shd w:val="clear" w:color="auto" w:fill="FFFFFF"/>
            <w:vAlign w:val="bottom"/>
          </w:tcPr>
          <w:p w14:paraId="79C98DF4">
            <w:pPr>
              <w:jc w:val="center"/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  <w:t>Table S1. Sensitivity Analysis: Linear Associations Adjusting for Substance Use (Full Sample)</w:t>
            </w:r>
          </w:p>
        </w:tc>
      </w:tr>
      <w:tr w14:paraId="25487904">
        <w:tc>
          <w:tcPr>
            <w:tcW w:w="1969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  <w:tl2br w:val="nil"/>
            </w:tcBorders>
            <w:shd w:val="clear" w:color="auto" w:fill="EDF2F8"/>
            <w:vAlign w:val="bottom"/>
          </w:tcPr>
          <w:p w14:paraId="0F03FF50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Predictors</w:t>
            </w:r>
          </w:p>
        </w:tc>
        <w:tc>
          <w:tcPr>
            <w:tcW w:w="1647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</w:tcBorders>
            <w:shd w:val="clear" w:color="auto" w:fill="EDF2F8"/>
            <w:vAlign w:val="bottom"/>
          </w:tcPr>
          <w:p w14:paraId="09540629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(1) Main Model (Table 2)</w:t>
            </w:r>
          </w:p>
        </w:tc>
        <w:tc>
          <w:tcPr>
            <w:tcW w:w="1382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</w:tcBorders>
            <w:shd w:val="clear" w:color="auto" w:fill="EDF2F8"/>
            <w:vAlign w:val="bottom"/>
          </w:tcPr>
          <w:p w14:paraId="5DA60F9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(2) Sensitivity Model</w:t>
            </w:r>
          </w:p>
        </w:tc>
      </w:tr>
      <w:tr w14:paraId="45973B1E">
        <w:tc>
          <w:tcPr>
            <w:tcW w:w="1969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A92B83F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PASTBI Index</w:t>
            </w:r>
          </w:p>
        </w:tc>
        <w:tc>
          <w:tcPr>
            <w:tcW w:w="1647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24846A3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-0.014*</w:t>
            </w:r>
          </w:p>
        </w:tc>
        <w:tc>
          <w:tcPr>
            <w:tcW w:w="1382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78FE090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-0.01</w:t>
            </w:r>
          </w:p>
        </w:tc>
      </w:tr>
      <w:tr w14:paraId="22C6BAA3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7FAC7FFB">
            <w:pPr>
              <w:jc w:val="center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1B9738B5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-0.006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15BDE7D5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-0.006</w:t>
            </w:r>
          </w:p>
        </w:tc>
      </w:tr>
      <w:tr w14:paraId="7AB0BD50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D19AD5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Obesity Status (Ref: Normal)</w:t>
            </w: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D34E5CD">
            <w:pPr>
              <w:jc w:val="center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F2A855A">
            <w:pPr>
              <w:jc w:val="center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</w:tr>
      <w:tr w14:paraId="1B4A8261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43342506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Overweight/Obese</w:t>
            </w: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72ED9280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0.221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306D3DED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0.084</w:t>
            </w:r>
          </w:p>
        </w:tc>
      </w:tr>
      <w:tr w14:paraId="14F5A8FB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CEB36DB">
            <w:pPr>
              <w:jc w:val="center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4D00114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-0.205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C4242C3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-0.196</w:t>
            </w:r>
          </w:p>
        </w:tc>
      </w:tr>
      <w:tr w14:paraId="20C5FE9C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4875519C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Interaction Term</w:t>
            </w: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174768BC">
            <w:pPr>
              <w:jc w:val="center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1EC8E3A7">
            <w:pPr>
              <w:jc w:val="center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</w:tr>
      <w:tr w14:paraId="4D3B4AC8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384C985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Obesity × PASTBI</w:t>
            </w: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F2E716B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0.014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26BFD12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0.013</w:t>
            </w:r>
          </w:p>
        </w:tc>
      </w:tr>
      <w:tr w14:paraId="7A4A750A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0E795651">
            <w:pPr>
              <w:jc w:val="center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1CF52F72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-0.017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3A585228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-0.017</w:t>
            </w:r>
          </w:p>
        </w:tc>
      </w:tr>
      <w:tr w14:paraId="1FEFB5AD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D42FA06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Key Covariates</w:t>
            </w: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EE0292D">
            <w:pPr>
              <w:jc w:val="center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2DBD632">
            <w:pPr>
              <w:jc w:val="center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</w:tr>
      <w:tr w14:paraId="086B22E0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04356AFA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Female Sex</w:t>
            </w: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5B2A9B11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1.217***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517AFC34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1.133***</w:t>
            </w:r>
          </w:p>
        </w:tc>
      </w:tr>
      <w:tr w14:paraId="235C8D4F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EE2AF4A">
            <w:pPr>
              <w:jc w:val="center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12E8557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-0.136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4470742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-0.133</w:t>
            </w:r>
          </w:p>
        </w:tc>
      </w:tr>
      <w:tr w14:paraId="13953509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0AB78412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Baseline Depression (Age 14)</w:t>
            </w: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69892FA2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0.379***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7E601762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0.444***</w:t>
            </w:r>
          </w:p>
        </w:tc>
      </w:tr>
      <w:tr w14:paraId="4BFC7586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2884F8">
            <w:pPr>
              <w:jc w:val="center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9AC7BA3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-0.019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F464AFC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-0.019</w:t>
            </w:r>
          </w:p>
        </w:tc>
      </w:tr>
      <w:tr w14:paraId="49D644AB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3395BD15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Diet Quality Index</w:t>
            </w: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6ADFC0CC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0.205**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66E31616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0.181**</w:t>
            </w:r>
          </w:p>
        </w:tc>
      </w:tr>
      <w:tr w14:paraId="2C0B4267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FD22096">
            <w:pPr>
              <w:jc w:val="center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440F597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-0.073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B32B7FB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-0.07</w:t>
            </w:r>
          </w:p>
        </w:tc>
      </w:tr>
      <w:tr w14:paraId="6BFF8350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0F27E2E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Substance Use Controls</w:t>
            </w: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7A7DCB00">
            <w:pPr>
              <w:jc w:val="center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154B7E67">
            <w:pPr>
              <w:jc w:val="center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</w:tr>
      <w:tr w14:paraId="483759C4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03C9CAC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Smoker (Ref: Never)</w:t>
            </w: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3C5FDB4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--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72B7A92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-0.43</w:t>
            </w:r>
          </w:p>
        </w:tc>
      </w:tr>
      <w:tr w14:paraId="51F4A6E9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36EB168E">
            <w:pPr>
              <w:jc w:val="center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6F22D794">
            <w:pPr>
              <w:jc w:val="center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2BDD7966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-0.23</w:t>
            </w:r>
          </w:p>
        </w:tc>
      </w:tr>
      <w:tr w14:paraId="4B95D55C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50C1949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Drinker (Ref: Never)</w:t>
            </w: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957B890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--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58E529F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0.145</w:t>
            </w:r>
          </w:p>
        </w:tc>
      </w:tr>
      <w:tr w14:paraId="574A12C7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64839A1B">
            <w:pPr>
              <w:jc w:val="center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5FD58B1F">
            <w:pPr>
              <w:jc w:val="center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23757858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-0.134</w:t>
            </w:r>
          </w:p>
        </w:tc>
      </w:tr>
      <w:tr w14:paraId="223EBE8D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645E6F0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Constant</w:t>
            </w: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812119F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1.700***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657991F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0.662*</w:t>
            </w:r>
          </w:p>
        </w:tc>
      </w:tr>
      <w:tr w14:paraId="0E9FCF90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1B29C8C9">
            <w:pPr>
              <w:jc w:val="center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31A0E278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-0.324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1D12E5EB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-0.336</w:t>
            </w:r>
          </w:p>
        </w:tc>
      </w:tr>
      <w:tr w14:paraId="5C60CB00">
        <w:tc>
          <w:tcPr>
            <w:tcW w:w="19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90D4BF9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Observations</w:t>
            </w:r>
          </w:p>
        </w:tc>
        <w:tc>
          <w:tcPr>
            <w:tcW w:w="16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E949270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8,753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6271E1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8,624</w:t>
            </w:r>
          </w:p>
        </w:tc>
      </w:tr>
      <w:tr w14:paraId="15B201C9">
        <w:tc>
          <w:tcPr>
            <w:tcW w:w="1969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EDF2F8"/>
            <w:vAlign w:val="bottom"/>
          </w:tcPr>
          <w:p w14:paraId="4656C4D3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R-squared</w:t>
            </w:r>
          </w:p>
        </w:tc>
        <w:tc>
          <w:tcPr>
            <w:tcW w:w="1647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EDF2F8"/>
            <w:vAlign w:val="bottom"/>
          </w:tcPr>
          <w:p w14:paraId="776CFE96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0.194</w:t>
            </w:r>
          </w:p>
        </w:tc>
        <w:tc>
          <w:tcPr>
            <w:tcW w:w="1382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EDF2F8"/>
            <w:vAlign w:val="bottom"/>
          </w:tcPr>
          <w:p w14:paraId="6EEE7860">
            <w:pPr>
              <w:keepNext w:val="0"/>
              <w:keepLines w:val="0"/>
              <w:widowControl/>
              <w:suppressLineNumbers w:val="0"/>
              <w:bidi w:val="0"/>
              <w:jc w:val="center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0.219</w:t>
            </w:r>
          </w:p>
        </w:tc>
      </w:tr>
      <w:tr w14:paraId="727B3A2E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6274BFA">
            <w:pPr>
              <w:jc w:val="both"/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  <w:t>Notes: Unstandardized coefficients (Standard Errors in parentheses). All models control for family income and household size (OECD equivalence scale). The sensitivity model (Column 2) additionally controls for cigarette smoking status (Ever/Never) and alcohol consumption status (Ever/Never). * p &lt; 0.05, ** p &lt; 0.01, *** p &lt; 0.001.</w:t>
            </w:r>
          </w:p>
        </w:tc>
      </w:tr>
    </w:tbl>
    <w:p w14:paraId="421C4676">
      <w:pPr>
        <w:rPr>
          <w:rFonts w:hint="eastAsia" w:ascii="Google Sans" w:hAnsi="Google Sans" w:eastAsia="Google Sans" w:cs="Google Sans"/>
          <w:color w:val="1F1F1F"/>
          <w:rtl w:val="0"/>
        </w:rPr>
      </w:pPr>
    </w:p>
    <w:p w14:paraId="7042754C">
      <w:pPr>
        <w:rPr>
          <w:rFonts w:hint="eastAsia" w:ascii="Google Sans" w:hAnsi="Google Sans" w:eastAsia="Google Sans" w:cs="Google Sans"/>
          <w:color w:val="1F1F1F"/>
          <w:rtl w:val="0"/>
        </w:rPr>
      </w:pPr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25"/>
        <w:gridCol w:w="1657"/>
        <w:gridCol w:w="1249"/>
        <w:gridCol w:w="933"/>
        <w:gridCol w:w="1004"/>
        <w:gridCol w:w="1708"/>
      </w:tblGrid>
      <w:tr w14:paraId="39BFE0A6"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  <w:tl2br w:val="nil"/>
            </w:tcBorders>
            <w:shd w:val="clear" w:color="auto" w:fill="FFFFFF"/>
            <w:vAlign w:val="bottom"/>
          </w:tcPr>
          <w:p w14:paraId="70979C1E">
            <w:pPr>
              <w:jc w:val="both"/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</w:pPr>
            <w:r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  <w:t>Table S2. Sensitivity Analysis: Non-linear Relationship between PASTBI and Psychological Distress in Adolescents with Obesity (Winsorized Data)</w:t>
            </w:r>
          </w:p>
        </w:tc>
      </w:tr>
      <w:tr w14:paraId="54829745">
        <w:tc>
          <w:tcPr>
            <w:tcW w:w="1580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  <w:tl2br w:val="nil"/>
            </w:tcBorders>
            <w:shd w:val="clear" w:color="auto" w:fill="EDF2F8"/>
            <w:vAlign w:val="bottom"/>
          </w:tcPr>
          <w:p w14:paraId="7455D1F6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Predictors</w:t>
            </w:r>
          </w:p>
        </w:tc>
        <w:tc>
          <w:tcPr>
            <w:tcW w:w="865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</w:tcBorders>
            <w:shd w:val="clear" w:color="auto" w:fill="EDF2F8"/>
            <w:vAlign w:val="bottom"/>
          </w:tcPr>
          <w:p w14:paraId="02D62839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Coefficient (β)</w:t>
            </w:r>
          </w:p>
        </w:tc>
        <w:tc>
          <w:tcPr>
            <w:tcW w:w="652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</w:tcBorders>
            <w:shd w:val="clear" w:color="auto" w:fill="EDF2F8"/>
            <w:vAlign w:val="bottom"/>
          </w:tcPr>
          <w:p w14:paraId="14C34E12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Robust SE</w:t>
            </w:r>
          </w:p>
        </w:tc>
        <w:tc>
          <w:tcPr>
            <w:tcW w:w="487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</w:tcBorders>
            <w:shd w:val="clear" w:color="auto" w:fill="EDF2F8"/>
            <w:vAlign w:val="bottom"/>
          </w:tcPr>
          <w:p w14:paraId="49BB8CE6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t-value</w:t>
            </w:r>
          </w:p>
        </w:tc>
        <w:tc>
          <w:tcPr>
            <w:tcW w:w="524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</w:tcBorders>
            <w:shd w:val="clear" w:color="auto" w:fill="EDF2F8"/>
            <w:vAlign w:val="bottom"/>
          </w:tcPr>
          <w:p w14:paraId="1003AC86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P-value</w:t>
            </w:r>
          </w:p>
        </w:tc>
        <w:tc>
          <w:tcPr>
            <w:tcW w:w="890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</w:tcBorders>
            <w:shd w:val="clear" w:color="auto" w:fill="EDF2F8"/>
            <w:vAlign w:val="bottom"/>
          </w:tcPr>
          <w:p w14:paraId="49F64E0B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95% CI</w:t>
            </w:r>
          </w:p>
        </w:tc>
      </w:tr>
      <w:tr w14:paraId="2362980D">
        <w:tc>
          <w:tcPr>
            <w:tcW w:w="1580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0BB1C5F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Primary Predictors</w:t>
            </w:r>
          </w:p>
        </w:tc>
        <w:tc>
          <w:tcPr>
            <w:tcW w:w="865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F410EDE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  <w:tc>
          <w:tcPr>
            <w:tcW w:w="652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E53CDA1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  <w:tc>
          <w:tcPr>
            <w:tcW w:w="487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E11477A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  <w:tc>
          <w:tcPr>
            <w:tcW w:w="524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7357DE9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  <w:tc>
          <w:tcPr>
            <w:tcW w:w="890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6C59401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</w:tr>
      <w:tr w14:paraId="3BFEFAD3"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231C886B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PASTBI Index (Winsorized)</w:t>
            </w:r>
            <w:r>
              <w:rPr>
                <w:rFonts w:hint="default" w:ascii="Google Sans" w:hAnsi="Google Sans" w:eastAsia="Google Sans" w:cs="Google Sans"/>
                <w:b w:val="0"/>
                <w:color w:val="000000"/>
                <w:vertAlign w:val="superscript"/>
                <w:rtl w:val="0"/>
                <w:lang w:val="en-US" w:eastAsia="zh-CN"/>
              </w:rPr>
              <w:t>a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61546D10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0.035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580CF60E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0.027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01826BF0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1.26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63320DCC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0.208</w:t>
            </w:r>
          </w:p>
        </w:tc>
        <w:tc>
          <w:tcPr>
            <w:tcW w:w="890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7EF927FD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[-0.019, 0.088]</w:t>
            </w:r>
          </w:p>
        </w:tc>
      </w:tr>
      <w:tr w14:paraId="53E833B6"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4E7CE4D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PASTBI Squared (Quadratic)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4090F94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-0.0014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AEF596E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0.0009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5BA85A6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-1.52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AF7C709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0.129</w:t>
            </w:r>
          </w:p>
        </w:tc>
        <w:tc>
          <w:tcPr>
            <w:tcW w:w="89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6519302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[-0.003, 0.000]</w:t>
            </w:r>
          </w:p>
        </w:tc>
      </w:tr>
      <w:tr w14:paraId="54E7CDF2"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224610EF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Covariates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43A74358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76A279D2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7212C323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6037CE6E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740A3E3C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</w:tr>
      <w:tr w14:paraId="704CD780"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C610C30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Sex (Female)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DBE0C95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1.453***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386C80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0.201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1106D1A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7.24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8432766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&lt;0.001</w:t>
            </w:r>
          </w:p>
        </w:tc>
        <w:tc>
          <w:tcPr>
            <w:tcW w:w="89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7824E8F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[1.059, 1.847]</w:t>
            </w:r>
          </w:p>
        </w:tc>
      </w:tr>
      <w:tr w14:paraId="127CD6DD"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0E6A2384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Baseline Depression (Age 14)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7F2CBFC4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0.370***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23FAF965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0.019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7D874758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19.04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0EDB6121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&lt;0.001</w:t>
            </w:r>
          </w:p>
        </w:tc>
        <w:tc>
          <w:tcPr>
            <w:tcW w:w="890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169F91BB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[0.331, 0.408]</w:t>
            </w:r>
          </w:p>
        </w:tc>
      </w:tr>
      <w:tr w14:paraId="13A18F27"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7DF4585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Diet Quality Index (Z-score)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4822A52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0.053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F050936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0.099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D744142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0.53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4CCADE7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0.594</w:t>
            </w:r>
          </w:p>
        </w:tc>
        <w:tc>
          <w:tcPr>
            <w:tcW w:w="89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F176973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[-0.142, 0.247]</w:t>
            </w:r>
          </w:p>
        </w:tc>
      </w:tr>
      <w:tr w14:paraId="1BB97D03"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0F1A64A1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Model Statistics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5F2861BE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3873B42F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56EC9FB9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42470CC1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7F27CC2B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</w:tr>
      <w:tr w14:paraId="4EAFECDC"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8C89DE7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Constant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92178D9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1.421***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5BCDD8A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0.307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A8BD03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4.63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A7006CA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&lt;0.001</w:t>
            </w:r>
          </w:p>
        </w:tc>
        <w:tc>
          <w:tcPr>
            <w:tcW w:w="89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F098221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[0.819, 2.023]</w:t>
            </w:r>
          </w:p>
        </w:tc>
      </w:tr>
      <w:tr w14:paraId="3E516FE8"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3F992E86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Observations (N)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016B2EA3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2,299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1E586DA3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767145CA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2DC8EA75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63AA6F49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</w:tr>
      <w:tr w14:paraId="09F42135"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B57A0E3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R-squared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1F6151E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0.181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21BE31C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72594D9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DE1F854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8F2AB93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</w:tr>
      <w:tr w14:paraId="5E81BFC6">
        <w:tc>
          <w:tcPr>
            <w:tcW w:w="1580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EDF2F8"/>
            <w:vAlign w:val="bottom"/>
          </w:tcPr>
          <w:p w14:paraId="4F85BD4C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Calculated Inflection Point</w:t>
            </w:r>
            <w:r>
              <w:rPr>
                <w:rFonts w:hint="default" w:ascii="Google Sans" w:hAnsi="Google Sans" w:eastAsia="Google Sans" w:cs="Google Sans"/>
                <w:b w:val="0"/>
                <w:color w:val="000000"/>
                <w:vertAlign w:val="superscript"/>
                <w:rtl w:val="0"/>
                <w:lang w:val="en-US" w:eastAsia="zh-CN"/>
              </w:rPr>
              <w:t>b</w:t>
            </w:r>
          </w:p>
        </w:tc>
        <w:tc>
          <w:tcPr>
            <w:tcW w:w="865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EDF2F8"/>
            <w:vAlign w:val="bottom"/>
          </w:tcPr>
          <w:p w14:paraId="5606C803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12.76</w:t>
            </w:r>
          </w:p>
        </w:tc>
        <w:tc>
          <w:tcPr>
            <w:tcW w:w="652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EDF2F8"/>
            <w:vAlign w:val="bottom"/>
          </w:tcPr>
          <w:p w14:paraId="333D37BA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4.55</w:t>
            </w:r>
          </w:p>
        </w:tc>
        <w:tc>
          <w:tcPr>
            <w:tcW w:w="487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EDF2F8"/>
            <w:vAlign w:val="bottom"/>
          </w:tcPr>
          <w:p w14:paraId="2729DE39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EDF2F8"/>
            <w:vAlign w:val="bottom"/>
          </w:tcPr>
          <w:p w14:paraId="3FB09EED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0.005</w:t>
            </w:r>
          </w:p>
        </w:tc>
        <w:tc>
          <w:tcPr>
            <w:tcW w:w="890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EDF2F8"/>
            <w:vAlign w:val="bottom"/>
          </w:tcPr>
          <w:p w14:paraId="47B7D757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  <w:t>[3.83, 21.68]</w:t>
            </w:r>
          </w:p>
        </w:tc>
      </w:tr>
      <w:tr w14:paraId="4B730E5A"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7F56FC4">
            <w:pPr>
              <w:jc w:val="both"/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  <w:lang w:val="en-US" w:eastAsia="zh-CN"/>
              </w:rPr>
            </w:pP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</w:rPr>
              <w:t>Notes: Models were adjusted for sex, baseline depression, and diet quality index. Analysis was restricted to the overweight/obese subsample (N=2,299).</w:t>
            </w:r>
            <w:r>
              <w:rPr>
                <w:rFonts w:hint="default" w:ascii="Google Sans" w:hAnsi="Google Sans" w:eastAsia="Google Sans" w:cs="Google Sans"/>
                <w:b w:val="0"/>
                <w:color w:val="000000"/>
                <w:vertAlign w:val="superscript"/>
                <w:rtl w:val="0"/>
                <w:lang w:val="en-US"/>
              </w:rPr>
              <w:t>a</w:t>
            </w: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</w:rPr>
              <w:t>Winsorization:To mitigate the influence of extreme outliers observed in the raw ratio data (Max &gt; 200), the PASTBI variable was Winsorized at the 99th percentile (values &gt; 45.91 were replaced with 45.91).</w:t>
            </w:r>
            <w:r>
              <w:rPr>
                <w:rFonts w:hint="default" w:ascii="Google Sans" w:hAnsi="Google Sans" w:eastAsia="Google Sans" w:cs="Google Sans"/>
                <w:b w:val="0"/>
                <w:color w:val="000000"/>
                <w:vertAlign w:val="superscript"/>
                <w:rtl w:val="0"/>
                <w:lang w:val="en-US"/>
              </w:rPr>
              <w:t>b</w:t>
            </w: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</w:rPr>
              <w:t>Threshold Recalibration:The inflection point (threshold for benefit) shifted from 25.0 in the original model to 12.8 in this sensitivity analysis. While the statistical significance of the quadratic term attenuated (</w:t>
            </w:r>
            <w:r>
              <w:rPr>
                <w:rFonts w:hint="default" w:ascii="Google Sans" w:hAnsi="Google Sans" w:eastAsia="Google Sans" w:cs="Google Sans"/>
                <w:b w:val="0"/>
                <w:i/>
                <w:iCs/>
                <w:color w:val="000000"/>
                <w:rtl w:val="0"/>
              </w:rPr>
              <w:t>p</w:t>
            </w: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</w:rPr>
              <w:t>=0.129) due to reduced variance, the direction of the coefficient remained consistent (</w:t>
            </w:r>
            <m:oMath>
              <m:sSub>
                <m:sSubPr>
                  <m:ctrlPr>
                    <w:rPr>
                      <w:rFonts w:hint="default" w:ascii="DejaVu Math TeX Gyre" w:hAnsi="DejaVu Math TeX Gyre" w:eastAsia="Google Sans"/>
                      <w:b w:val="0"/>
                      <w:color w:val="000000"/>
                    </w:rPr>
                  </m:ctrlPr>
                </m:sSubPr>
                <m:e>
                  <m:r>
                    <m:rPr/>
                    <w:rPr>
                      <w:rFonts w:hint="default" w:ascii="DejaVu Math TeX Gyre" w:hAnsi="DejaVu Math TeX Gyre" w:eastAsia="Google Sans"/>
                      <w:color w:val="000000"/>
                    </w:rPr>
                    <m:t>β</m:t>
                  </m:r>
                  <m:ctrlPr>
                    <w:rPr>
                      <w:rFonts w:ascii="DejaVu Math TeX Gyre" w:hAnsi="DejaVu Math TeX Gyre" w:eastAsia="Google Sans"/>
                      <w:b w:val="0"/>
                      <w:color w:val="000000"/>
                    </w:rPr>
                  </m:ctrlPr>
                </m:e>
                <m:sub>
                  <m:r>
                    <m:rPr/>
                    <w:rPr>
                      <w:rFonts w:hint="default" w:ascii="DejaVu Math TeX Gyre" w:hAnsi="DejaVu Math TeX Gyre" w:eastAsia="Google Sans"/>
                      <w:color w:val="000000"/>
                    </w:rPr>
                    <m:t>original</m:t>
                  </m:r>
                  <m:ctrlPr>
                    <w:rPr>
                      <w:rFonts w:ascii="DejaVu Math TeX Gyre" w:hAnsi="DejaVu Math TeX Gyre" w:eastAsia="Google Sans"/>
                      <w:b w:val="0"/>
                      <w:color w:val="000000"/>
                    </w:rPr>
                  </m:ctrlPr>
                </m:sub>
              </m:sSub>
            </m:oMath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</w:rPr>
              <w:t xml:space="preserve">= -0.0013 vs. </w:t>
            </w:r>
            <m:oMath>
              <m:sSub>
                <m:sSubPr>
                  <m:ctrlPr>
                    <w:rPr>
                      <w:rFonts w:hint="default" w:ascii="DejaVu Math TeX Gyre" w:hAnsi="DejaVu Math TeX Gyre" w:eastAsia="Google Sans"/>
                      <w:b w:val="0"/>
                      <w:color w:val="000000"/>
                    </w:rPr>
                  </m:ctrlPr>
                </m:sSubPr>
                <m:e>
                  <m:r>
                    <m:rPr/>
                    <w:rPr>
                      <w:rFonts w:hint="default" w:ascii="DejaVu Math TeX Gyre" w:hAnsi="DejaVu Math TeX Gyre" w:eastAsia="Google Sans"/>
                      <w:color w:val="000000"/>
                    </w:rPr>
                    <m:t>β</m:t>
                  </m:r>
                  <m:ctrlPr>
                    <w:rPr>
                      <w:rFonts w:ascii="DejaVu Math TeX Gyre" w:hAnsi="DejaVu Math TeX Gyre" w:eastAsia="Google Sans"/>
                      <w:b w:val="0"/>
                      <w:color w:val="000000"/>
                    </w:rPr>
                  </m:ctrlPr>
                </m:e>
                <m:sub>
                  <m:r>
                    <m:rPr/>
                    <w:rPr>
                      <w:rFonts w:hint="default" w:ascii="DejaVu Math TeX Gyre" w:hAnsi="DejaVu Math TeX Gyre" w:eastAsia="Google Sans"/>
                      <w:color w:val="000000"/>
                    </w:rPr>
                    <m:t>winsorized</m:t>
                  </m:r>
                  <m:ctrlPr>
                    <w:rPr>
                      <w:rFonts w:ascii="DejaVu Math TeX Gyre" w:hAnsi="DejaVu Math TeX Gyre" w:eastAsia="Google Sans"/>
                      <w:b w:val="0"/>
                      <w:color w:val="000000"/>
                    </w:rPr>
                  </m:ctrlPr>
                </m:sub>
              </m:sSub>
            </m:oMath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</w:rPr>
              <w:t xml:space="preserve"> = -0.0014), and the derived threshold of 12.8 represents a more clinically plausible target for behavioral intervention.</w:t>
            </w:r>
            <w:r>
              <w:rPr>
                <w:rFonts w:hint="default" w:ascii="Google Sans" w:hAnsi="Google Sans" w:eastAsia="Google Sans" w:cs="Google Sans"/>
                <w:b w:val="0"/>
                <w:i/>
                <w:iCs/>
                <w:color w:val="000000"/>
                <w:rtl w:val="0"/>
              </w:rPr>
              <w:t xml:space="preserve">p </w:t>
            </w: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</w:rPr>
              <w:t xml:space="preserve">&lt; 0.05, ** </w:t>
            </w:r>
            <w:r>
              <w:rPr>
                <w:rFonts w:hint="default" w:ascii="Google Sans" w:hAnsi="Google Sans" w:eastAsia="Google Sans" w:cs="Google Sans"/>
                <w:b w:val="0"/>
                <w:i/>
                <w:iCs/>
                <w:color w:val="000000"/>
                <w:rtl w:val="0"/>
              </w:rPr>
              <w:t xml:space="preserve">p </w:t>
            </w: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</w:rPr>
              <w:t xml:space="preserve">&lt; 0.01, *** </w:t>
            </w:r>
            <w:r>
              <w:rPr>
                <w:rFonts w:hint="default" w:ascii="Google Sans" w:hAnsi="Google Sans" w:eastAsia="Google Sans" w:cs="Google Sans"/>
                <w:b w:val="0"/>
                <w:i/>
                <w:iCs/>
                <w:color w:val="000000"/>
                <w:rtl w:val="0"/>
              </w:rPr>
              <w:t xml:space="preserve">p </w:t>
            </w:r>
            <w:r>
              <w:rPr>
                <w:rFonts w:hint="default" w:ascii="Google Sans" w:hAnsi="Google Sans" w:eastAsia="Google Sans" w:cs="Google Sans"/>
                <w:b w:val="0"/>
                <w:color w:val="000000"/>
                <w:rtl w:val="0"/>
              </w:rPr>
              <w:t>&lt; 0.001.</w:t>
            </w:r>
          </w:p>
        </w:tc>
      </w:tr>
    </w:tbl>
    <w:p w14:paraId="071EDF3C">
      <w:pPr>
        <w:rPr>
          <w:rFonts w:hint="eastAsia" w:ascii="Google Sans" w:hAnsi="Google Sans" w:eastAsia="Google Sans" w:cs="Google Sans"/>
          <w:color w:val="1F1F1F"/>
          <w:rtl w:val="0"/>
        </w:rPr>
      </w:pPr>
    </w:p>
    <w:p w14:paraId="438BC0DA">
      <w:pPr>
        <w:rPr>
          <w:rFonts w:hint="eastAsia" w:ascii="Google Sans" w:hAnsi="Google Sans" w:eastAsia="Google Sans" w:cs="Google Sans"/>
          <w:color w:val="1F1F1F"/>
          <w:rtl w:val="0"/>
        </w:rPr>
      </w:pPr>
    </w:p>
    <w:p w14:paraId="368E810F">
      <w:pPr>
        <w:rPr>
          <w:rFonts w:hint="eastAsia" w:ascii="Google Sans" w:hAnsi="Google Sans" w:eastAsia="Google Sans" w:cs="Google Sans"/>
          <w:color w:val="1F1F1F"/>
          <w:rtl w:val="0"/>
        </w:rPr>
      </w:pPr>
    </w:p>
    <w:p w14:paraId="391618FC">
      <w:pPr>
        <w:rPr>
          <w:rFonts w:hint="eastAsia" w:ascii="Google Sans" w:hAnsi="Google Sans" w:eastAsia="Google Sans" w:cs="Google Sans"/>
          <w:color w:val="1F1F1F"/>
          <w:rtl w:val="0"/>
        </w:rPr>
      </w:pPr>
    </w:p>
    <w:tbl>
      <w:tblPr>
        <w:tblStyle w:val="12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4"/>
        <w:gridCol w:w="2014"/>
        <w:gridCol w:w="2726"/>
        <w:gridCol w:w="1236"/>
      </w:tblGrid>
      <w:tr w14:paraId="38B751B2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  <w:tl2br w:val="nil"/>
            </w:tcBorders>
            <w:shd w:val="clear" w:color="auto" w:fill="FFFFFF"/>
            <w:vAlign w:val="bottom"/>
          </w:tcPr>
          <w:p w14:paraId="30E78234">
            <w:pPr>
              <w:jc w:val="both"/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  <w:t>Table S3. Sensitivity Analysis: Robustness to Substance Use Confounding (Original Data)</w:t>
            </w:r>
          </w:p>
        </w:tc>
      </w:tr>
      <w:tr w14:paraId="304DE054">
        <w:tc>
          <w:tcPr>
            <w:tcW w:w="1878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  <w:tl2br w:val="nil"/>
            </w:tcBorders>
            <w:shd w:val="clear" w:color="auto" w:fill="EDF2F8"/>
            <w:vAlign w:val="bottom"/>
          </w:tcPr>
          <w:p w14:paraId="4F4058B3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Predictors</w:t>
            </w:r>
          </w:p>
        </w:tc>
        <w:tc>
          <w:tcPr>
            <w:tcW w:w="1052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</w:tcBorders>
            <w:shd w:val="clear" w:color="auto" w:fill="EDF2F8"/>
            <w:vAlign w:val="bottom"/>
          </w:tcPr>
          <w:p w14:paraId="48E7F116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Coefficient (β)</w:t>
            </w:r>
          </w:p>
        </w:tc>
        <w:tc>
          <w:tcPr>
            <w:tcW w:w="1424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</w:tcBorders>
            <w:shd w:val="clear" w:color="auto" w:fill="EDF2F8"/>
            <w:vAlign w:val="bottom"/>
          </w:tcPr>
          <w:p w14:paraId="43387149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Standard Error (SE)</w:t>
            </w:r>
          </w:p>
        </w:tc>
        <w:tc>
          <w:tcPr>
            <w:tcW w:w="644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</w:tcBorders>
            <w:shd w:val="clear" w:color="auto" w:fill="EDF2F8"/>
            <w:vAlign w:val="bottom"/>
          </w:tcPr>
          <w:p w14:paraId="7A6AB739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P-value</w:t>
            </w:r>
          </w:p>
        </w:tc>
      </w:tr>
      <w:tr w14:paraId="45017922">
        <w:tc>
          <w:tcPr>
            <w:tcW w:w="1878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56644CA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Linear Term (PASTBI)</w:t>
            </w:r>
          </w:p>
        </w:tc>
        <w:tc>
          <w:tcPr>
            <w:tcW w:w="1052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9BB9F17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0.04</w:t>
            </w:r>
          </w:p>
        </w:tc>
        <w:tc>
          <w:tcPr>
            <w:tcW w:w="1424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B587A2A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0.024</w:t>
            </w:r>
          </w:p>
        </w:tc>
        <w:tc>
          <w:tcPr>
            <w:tcW w:w="644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4683597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0.096</w:t>
            </w:r>
          </w:p>
        </w:tc>
      </w:tr>
      <w:tr w14:paraId="701601A7">
        <w:tc>
          <w:tcPr>
            <w:tcW w:w="1878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7BD28AC1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Quadratic Term (PASTBI2)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794DA510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-0.0011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5001E491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0.0004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3711B784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0.003</w:t>
            </w:r>
          </w:p>
        </w:tc>
      </w:tr>
      <w:tr w14:paraId="0390A5E7">
        <w:tc>
          <w:tcPr>
            <w:tcW w:w="1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763C1C8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Covariates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A4783E4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26D5936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FE6864B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</w:tr>
      <w:tr w14:paraId="08AA88B5">
        <w:tc>
          <w:tcPr>
            <w:tcW w:w="1878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12E58844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Female Sex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7C08D116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1.187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774E361B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0.288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409F3F38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&lt;0.001</w:t>
            </w:r>
          </w:p>
        </w:tc>
      </w:tr>
      <w:tr w14:paraId="741AAC85">
        <w:tc>
          <w:tcPr>
            <w:tcW w:w="1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14782D3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Baseline Depression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91BC1A8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0.452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37497E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0.042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499AAE6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&lt;0.001</w:t>
            </w:r>
          </w:p>
        </w:tc>
      </w:tr>
      <w:tr w14:paraId="4892F313">
        <w:tc>
          <w:tcPr>
            <w:tcW w:w="1878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6D89614A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Diet Quality Index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57F87CDD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0.139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5AB08D89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0.147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2CA459F5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0.344</w:t>
            </w:r>
          </w:p>
        </w:tc>
      </w:tr>
      <w:tr w14:paraId="3DB41554">
        <w:tc>
          <w:tcPr>
            <w:tcW w:w="1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787AB8A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Smoker (Yes)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31F67B7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-0.812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DBD8B0A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0.479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49B9319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0.09</w:t>
            </w:r>
          </w:p>
        </w:tc>
      </w:tr>
      <w:tr w14:paraId="7A5EC9C9">
        <w:tc>
          <w:tcPr>
            <w:tcW w:w="1878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757CC4A6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Drinker (Yes)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193D1505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0.291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1EA45E6B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0.277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4DD53C3C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0.295</w:t>
            </w:r>
          </w:p>
        </w:tc>
      </w:tr>
      <w:tr w14:paraId="41CCF8F7">
        <w:tc>
          <w:tcPr>
            <w:tcW w:w="18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CD3D062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Constant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93C9D9E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0.778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6BF3354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0.682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4736B95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0.254</w:t>
            </w:r>
          </w:p>
        </w:tc>
      </w:tr>
      <w:tr w14:paraId="00FB8993">
        <w:tc>
          <w:tcPr>
            <w:tcW w:w="1878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396ACE28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Observations (Subpop)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39E7CE71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2,255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5499CF5F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vAlign w:val="bottom"/>
          </w:tcPr>
          <w:p w14:paraId="7596AC26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</w:tr>
      <w:tr w14:paraId="43EE2724">
        <w:tc>
          <w:tcPr>
            <w:tcW w:w="1878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FFFFFF"/>
            <w:vAlign w:val="bottom"/>
          </w:tcPr>
          <w:p w14:paraId="24521D1F">
            <w:pPr>
              <w:keepNext w:val="0"/>
              <w:keepLines w:val="0"/>
              <w:widowControl/>
              <w:suppressLineNumbers w:val="0"/>
              <w:bidi w:val="0"/>
              <w:jc w:val="lef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R-squared</w:t>
            </w:r>
          </w:p>
        </w:tc>
        <w:tc>
          <w:tcPr>
            <w:tcW w:w="1052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FFFFFF"/>
            <w:vAlign w:val="bottom"/>
          </w:tcPr>
          <w:p w14:paraId="3BBD0CCA">
            <w:pPr>
              <w:keepNext w:val="0"/>
              <w:keepLines w:val="0"/>
              <w:widowControl/>
              <w:suppressLineNumbers w:val="0"/>
              <w:bidi w:val="0"/>
              <w:jc w:val="right"/>
              <w:textAlignment w:val="bottom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0.239</w:t>
            </w:r>
          </w:p>
        </w:tc>
        <w:tc>
          <w:tcPr>
            <w:tcW w:w="1424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FFFFFF"/>
            <w:vAlign w:val="bottom"/>
          </w:tcPr>
          <w:p w14:paraId="334FD509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FFFFFF"/>
            <w:vAlign w:val="bottom"/>
          </w:tcPr>
          <w:p w14:paraId="0DF336AA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</w:p>
        </w:tc>
      </w:tr>
      <w:tr w14:paraId="5E853898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9BA2C8E">
            <w:pPr>
              <w:jc w:val="both"/>
              <w:rPr>
                <w:rFonts w:hint="eastAsia" w:ascii="Google Sans" w:hAnsi="Google Sans" w:eastAsia="Google Sans" w:cs="Google Sans"/>
                <w:b w:val="0"/>
                <w:color w:val="000000"/>
                <w:vertAlign w:val="baseline"/>
                <w:rtl w:val="0"/>
              </w:rPr>
            </w:pPr>
            <w:r>
              <w:rPr>
                <w:rFonts w:hint="eastAsia" w:ascii="Google Sans" w:hAnsi="Google Sans" w:eastAsia="Google Sans" w:cs="Google Sans"/>
                <w:b w:val="0"/>
                <w:color w:val="000000"/>
                <w:rtl w:val="0"/>
              </w:rPr>
              <w:t>Notes: Analysis restricted to the overweight/obese subpopulation. The highly significant negative quadratic term (p = 0.003) indicates that the non-linear threshold effect remains robust even after adjusting for smoking and alcohol consumption behaviors.This analysis uses the original non-Winsorized PASTBI index to assess stability against confounding from smoking and drinking.</w:t>
            </w:r>
          </w:p>
        </w:tc>
      </w:tr>
    </w:tbl>
    <w:p w14:paraId="210A3403">
      <w:pPr>
        <w:rPr>
          <w:rFonts w:hint="eastAsia" w:ascii="Google Sans" w:hAnsi="Google Sans" w:eastAsia="Google Sans" w:cs="Google Sans"/>
          <w:color w:val="1F1F1F"/>
          <w:rtl w:val="0"/>
        </w:rPr>
      </w:pPr>
    </w:p>
    <w:p w14:paraId="1619F51F">
      <w:pPr>
        <w:rPr>
          <w:rFonts w:hint="eastAsia" w:ascii="Google Sans" w:hAnsi="Google Sans" w:eastAsia="Google Sans" w:cs="Google Sans"/>
          <w:color w:val="1F1F1F"/>
          <w:rtl w:val="0"/>
        </w:rPr>
      </w:pPr>
    </w:p>
    <w:p w14:paraId="37786677">
      <w:pPr>
        <w:rPr>
          <w:rFonts w:hint="eastAsia" w:ascii="Google Sans" w:hAnsi="Google Sans" w:eastAsia="Google Sans" w:cs="Google Sans"/>
          <w:color w:val="1F1F1F"/>
          <w:rtl w:val="0"/>
        </w:rPr>
      </w:pPr>
    </w:p>
    <w:tbl>
      <w:tblPr>
        <w:tblStyle w:val="17"/>
        <w:tblW w:w="936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3120"/>
        <w:gridCol w:w="3120"/>
        <w:gridCol w:w="3120"/>
      </w:tblGrid>
      <w:tr w14:paraId="644A53FA">
        <w:tc>
          <w:tcPr>
            <w:gridSpan w:val="3"/>
            <w:tcBorders>
              <w:top w:val="nil"/>
              <w:left w:val="nil"/>
              <w:bottom w:val="nil"/>
              <w:right w:val="nil"/>
              <w:tl2br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6C14F53D">
            <w:pPr>
              <w:rPr>
                <w:b w:val="0"/>
                <w:color w:val="000000"/>
                <w:rtl w:val="0"/>
              </w:rPr>
            </w:pPr>
            <w:r>
              <w:rPr>
                <w:rFonts w:hint="eastAsia"/>
                <w:b w:val="0"/>
                <w:color w:val="000000"/>
                <w:rtl w:val="0"/>
              </w:rPr>
              <w:t>Table S</w:t>
            </w:r>
            <w:r>
              <w:rPr>
                <w:rFonts w:hint="eastAsia" w:eastAsia="宋体"/>
                <w:b w:val="0"/>
                <w:color w:val="000000"/>
                <w:rtl w:val="0"/>
                <w:lang w:val="en-US" w:eastAsia="zh-CN"/>
              </w:rPr>
              <w:t>4</w:t>
            </w:r>
            <w:r>
              <w:rPr>
                <w:b w:val="0"/>
                <w:color w:val="000000"/>
                <w:rtl w:val="0"/>
              </w:rPr>
              <w:t xml:space="preserve"> Moderating Effect of Self-Rated Health (Obese Group Only)</w:t>
            </w:r>
          </w:p>
        </w:tc>
      </w:tr>
      <w:tr w14:paraId="30C2889F">
        <w:tc>
          <w:tcPr>
            <w:tcBorders>
              <w:top w:val="single" w:color="4F81BD" w:sz="12" w:space="0"/>
              <w:left w:val="nil"/>
              <w:bottom w:val="single" w:color="4F81BD" w:sz="4" w:space="0"/>
              <w:right w:val="nil"/>
              <w:tl2br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109">
            <w:pPr>
              <w:rPr>
                <w:b w:val="0"/>
                <w:color w:val="000000"/>
              </w:rPr>
            </w:pPr>
            <w:r>
              <w:rPr>
                <w:b w:val="0"/>
                <w:color w:val="000000"/>
                <w:rtl w:val="0"/>
              </w:rPr>
              <w:t>Predictors</w:t>
            </w:r>
          </w:p>
        </w:tc>
        <w:tc>
          <w:tcPr>
            <w:tcBorders>
              <w:top w:val="single" w:color="4F81BD" w:sz="12" w:space="0"/>
              <w:left w:val="nil"/>
              <w:bottom w:val="single" w:color="4F81BD" w:sz="4" w:space="0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10A">
            <w:pPr>
              <w:rPr>
                <w:b w:val="0"/>
                <w:color w:val="000000"/>
              </w:rPr>
            </w:pPr>
            <w:r>
              <w:rPr>
                <w:b w:val="0"/>
                <w:color w:val="000000"/>
                <w:rtl w:val="0"/>
              </w:rPr>
              <w:t>Coefficient (β)</w:t>
            </w:r>
          </w:p>
        </w:tc>
        <w:tc>
          <w:tcPr>
            <w:tcBorders>
              <w:top w:val="single" w:color="4F81BD" w:sz="12" w:space="0"/>
              <w:left w:val="nil"/>
              <w:bottom w:val="single" w:color="4F81BD" w:sz="4" w:space="0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10B">
            <w:pPr>
              <w:rPr>
                <w:b w:val="0"/>
                <w:color w:val="000000"/>
              </w:rPr>
            </w:pPr>
            <w:r>
              <w:rPr>
                <w:b w:val="0"/>
                <w:color w:val="000000"/>
                <w:rtl w:val="0"/>
              </w:rPr>
              <w:t>P-value</w:t>
            </w:r>
          </w:p>
        </w:tc>
      </w:tr>
      <w:tr w14:paraId="5BC31800">
        <w:tc>
          <w:tcPr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10C">
            <w:pPr>
              <w:rPr>
                <w:b w:val="0"/>
                <w:color w:val="000000"/>
              </w:rPr>
            </w:pPr>
            <w:r>
              <w:rPr>
                <w:b w:val="0"/>
                <w:color w:val="000000"/>
                <w:rtl w:val="0"/>
              </w:rPr>
              <w:t>PASTBI Index</w:t>
            </w:r>
          </w:p>
        </w:tc>
        <w:tc>
          <w:tcPr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10D">
            <w:pPr>
              <w:rPr>
                <w:b w:val="0"/>
                <w:color w:val="000000"/>
              </w:rPr>
            </w:pPr>
            <w:r>
              <w:rPr>
                <w:b w:val="0"/>
                <w:color w:val="000000"/>
                <w:rtl w:val="0"/>
              </w:rPr>
              <w:t>0.018</w:t>
            </w:r>
          </w:p>
        </w:tc>
        <w:tc>
          <w:tcPr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10E">
            <w:pPr>
              <w:rPr>
                <w:b w:val="0"/>
                <w:color w:val="000000"/>
              </w:rPr>
            </w:pPr>
            <w:r>
              <w:rPr>
                <w:b w:val="0"/>
                <w:color w:val="000000"/>
                <w:rtl w:val="0"/>
              </w:rPr>
              <w:t>0.739</w:t>
            </w:r>
          </w:p>
        </w:tc>
      </w:tr>
      <w:tr w14:paraId="1F3CC9CD"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10F">
            <w:pPr>
              <w:rPr>
                <w:b w:val="0"/>
                <w:color w:val="000000"/>
              </w:rPr>
            </w:pPr>
            <w:r>
              <w:rPr>
                <w:b w:val="0"/>
                <w:color w:val="000000"/>
                <w:rtl w:val="0"/>
              </w:rPr>
              <w:t>Self-Rated Health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110">
            <w:pPr>
              <w:rPr>
                <w:b w:val="0"/>
                <w:color w:val="000000"/>
              </w:rPr>
            </w:pPr>
            <w:r>
              <w:rPr>
                <w:b w:val="0"/>
                <w:color w:val="000000"/>
                <w:rtl w:val="0"/>
              </w:rPr>
              <w:t>-0.151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111">
            <w:pPr>
              <w:rPr>
                <w:b w:val="0"/>
                <w:color w:val="000000"/>
              </w:rPr>
            </w:pPr>
            <w:r>
              <w:rPr>
                <w:b w:val="0"/>
                <w:color w:val="000000"/>
                <w:rtl w:val="0"/>
              </w:rPr>
              <w:t>0.589</w:t>
            </w:r>
          </w:p>
        </w:tc>
      </w:tr>
      <w:tr w14:paraId="719E7273">
        <w:tc>
          <w:tcPr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112">
            <w:pPr>
              <w:rPr>
                <w:b w:val="0"/>
                <w:color w:val="000000"/>
              </w:rPr>
            </w:pPr>
            <w:r>
              <w:rPr>
                <w:b w:val="0"/>
                <w:color w:val="000000"/>
                <w:rtl w:val="0"/>
              </w:rPr>
              <w:t>Interaction: Health × PASTBI</w:t>
            </w:r>
          </w:p>
        </w:tc>
        <w:tc>
          <w:tcPr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113">
            <w:pPr>
              <w:rPr>
                <w:b w:val="0"/>
                <w:color w:val="000000"/>
              </w:rPr>
            </w:pPr>
            <w:r>
              <w:rPr>
                <w:b w:val="0"/>
                <w:color w:val="000000"/>
                <w:rtl w:val="0"/>
              </w:rPr>
              <w:t>-0.008</w:t>
            </w:r>
          </w:p>
        </w:tc>
        <w:tc>
          <w:tcPr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114">
            <w:pPr>
              <w:rPr>
                <w:b w:val="0"/>
                <w:color w:val="000000"/>
              </w:rPr>
            </w:pPr>
            <w:r>
              <w:rPr>
                <w:b w:val="0"/>
                <w:color w:val="000000"/>
                <w:rtl w:val="0"/>
              </w:rPr>
              <w:t>0.658</w:t>
            </w:r>
          </w:p>
        </w:tc>
      </w:tr>
      <w:tr w14:paraId="41A2250D">
        <w:tc>
          <w:tcPr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8BBA10E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Note: Consistent with previous findings, physical health status does not moderate the effect of PASTBI in obese adolescents.</w:t>
            </w:r>
          </w:p>
        </w:tc>
      </w:tr>
    </w:tbl>
    <w:p w14:paraId="1E038D53">
      <w:pPr>
        <w:rPr>
          <w:rFonts w:ascii="Google Sans" w:hAnsi="Google Sans" w:eastAsia="Google Sans" w:cs="Google Sans"/>
          <w:color w:val="1F1F1F"/>
          <w:rtl w:val="0"/>
        </w:rPr>
      </w:pPr>
    </w:p>
    <w:p w14:paraId="00000002">
      <w:pPr>
        <w:pStyle w:val="3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75" w:lineRule="auto"/>
        <w:rPr>
          <w:rFonts w:ascii="Arial" w:hAnsi="Arial" w:eastAsia="Arial" w:cs="Arial"/>
          <w:b w:val="0"/>
          <w:bCs w:val="0"/>
          <w:color w:val="000000"/>
          <w:sz w:val="22"/>
          <w:szCs w:val="22"/>
          <w:rtl w:val="0"/>
        </w:rPr>
      </w:pPr>
    </w:p>
    <w:tbl>
      <w:tblPr>
        <w:tblStyle w:val="15"/>
        <w:tblW w:w="5000" w:type="pct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4527"/>
        <w:gridCol w:w="2621"/>
        <w:gridCol w:w="2572"/>
      </w:tblGrid>
      <w:tr w14:paraId="15DFFB0C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  <w:tl2br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E87199">
            <w:pPr>
              <w:rPr>
                <w:b w:val="0"/>
                <w:color w:val="000000"/>
                <w:rtl w:val="0"/>
              </w:rPr>
            </w:pPr>
            <w:r>
              <w:rPr>
                <w:rFonts w:ascii="Arial" w:hAnsi="Arial" w:eastAsia="Arial" w:cs="Arial"/>
                <w:b w:val="0"/>
                <w:bCs w:val="0"/>
                <w:color w:val="000000"/>
                <w:sz w:val="22"/>
                <w:szCs w:val="22"/>
                <w:rtl w:val="0"/>
              </w:rPr>
              <w:t>Table S</w:t>
            </w:r>
            <w:r>
              <w:rPr>
                <w:rFonts w:hint="eastAsia" w:ascii="Arial" w:hAnsi="Arial" w:eastAsia="Arial" w:cs="Arial"/>
                <w:b w:val="0"/>
                <w:bCs w:val="0"/>
                <w:color w:val="000000"/>
                <w:sz w:val="22"/>
                <w:szCs w:val="22"/>
                <w:rtl w:val="0"/>
                <w:lang w:val="en-US" w:eastAsia="zh-CN"/>
              </w:rPr>
              <w:t>5</w:t>
            </w:r>
            <w:r>
              <w:rPr>
                <w:rFonts w:ascii="Arial" w:hAnsi="Arial" w:eastAsia="Arial" w:cs="Arial"/>
                <w:b w:val="0"/>
                <w:bCs w:val="0"/>
                <w:color w:val="000000"/>
                <w:sz w:val="22"/>
                <w:szCs w:val="22"/>
                <w:rtl w:val="0"/>
              </w:rPr>
              <w:t>. Coding Scheme for Sedentary Behaviors</w:t>
            </w:r>
          </w:p>
        </w:tc>
      </w:tr>
      <w:tr w14:paraId="6196278D">
        <w:tc>
          <w:tcPr>
            <w:tcW w:w="2329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  <w:tl2br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04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Original Survey Response Category (MCS Questionnaire)</w:t>
            </w:r>
          </w:p>
        </w:tc>
        <w:tc>
          <w:tcPr>
            <w:tcW w:w="1348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05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Implied Daily Duration (Range)</w:t>
            </w:r>
          </w:p>
        </w:tc>
        <w:tc>
          <w:tcPr>
            <w:tcW w:w="1322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06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Imputed Value (Hours/Day)</w:t>
            </w:r>
          </w:p>
        </w:tc>
      </w:tr>
      <w:tr w14:paraId="75F36C78">
        <w:tc>
          <w:tcPr>
            <w:tcW w:w="2329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07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1. Not at all</w:t>
            </w:r>
          </w:p>
        </w:tc>
        <w:tc>
          <w:tcPr>
            <w:tcW w:w="1348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08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0 mins</w:t>
            </w:r>
          </w:p>
        </w:tc>
        <w:tc>
          <w:tcPr>
            <w:tcW w:w="1322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09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0.00</w:t>
            </w:r>
          </w:p>
        </w:tc>
      </w:tr>
      <w:tr w14:paraId="5BCB30C6">
        <w:tc>
          <w:tcPr>
            <w:tcW w:w="2329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0A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2. Less than half an hour</w:t>
            </w:r>
          </w:p>
        </w:tc>
        <w:tc>
          <w:tcPr>
            <w:tcW w:w="1348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0B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0 - 29 mins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0C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0.25</w:t>
            </w:r>
          </w:p>
        </w:tc>
      </w:tr>
      <w:tr w14:paraId="6A62BE20">
        <w:tc>
          <w:tcPr>
            <w:tcW w:w="2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0D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3. Half an hour to less than 1 hour</w:t>
            </w:r>
          </w:p>
        </w:tc>
        <w:tc>
          <w:tcPr>
            <w:tcW w:w="13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0E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30 - 59 mins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0F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0.75</w:t>
            </w:r>
          </w:p>
        </w:tc>
      </w:tr>
      <w:tr w14:paraId="0616CE13">
        <w:tc>
          <w:tcPr>
            <w:tcW w:w="2329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10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4. 1 hour to less than 2 hours</w:t>
            </w:r>
          </w:p>
        </w:tc>
        <w:tc>
          <w:tcPr>
            <w:tcW w:w="1348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11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1 - 1.99 hours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12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1.50</w:t>
            </w:r>
          </w:p>
        </w:tc>
      </w:tr>
      <w:tr w14:paraId="5D1BE3BB">
        <w:tc>
          <w:tcPr>
            <w:tcW w:w="2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13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5. 2 hours to less than 3 hours</w:t>
            </w:r>
          </w:p>
        </w:tc>
        <w:tc>
          <w:tcPr>
            <w:tcW w:w="13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14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2 - 2.99 hours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15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2.50</w:t>
            </w:r>
          </w:p>
        </w:tc>
      </w:tr>
      <w:tr w14:paraId="21F21766">
        <w:tc>
          <w:tcPr>
            <w:tcW w:w="2329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16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6. 3 hours to less than 5 hours</w:t>
            </w:r>
          </w:p>
        </w:tc>
        <w:tc>
          <w:tcPr>
            <w:tcW w:w="1348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17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3 - 4.99 hours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18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4.00</w:t>
            </w:r>
          </w:p>
        </w:tc>
      </w:tr>
      <w:tr w14:paraId="546444AA">
        <w:tc>
          <w:tcPr>
            <w:tcW w:w="2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19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7. 5 hours to less than 7 hours</w:t>
            </w:r>
          </w:p>
        </w:tc>
        <w:tc>
          <w:tcPr>
            <w:tcW w:w="13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1A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5 - 6.99 hours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1B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6.00</w:t>
            </w:r>
          </w:p>
        </w:tc>
      </w:tr>
      <w:tr w14:paraId="7FF2722D">
        <w:tc>
          <w:tcPr>
            <w:tcW w:w="2329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1C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8. 7 hours or more</w:t>
            </w:r>
          </w:p>
        </w:tc>
        <w:tc>
          <w:tcPr>
            <w:tcW w:w="1348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1D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7+ hours</w:t>
            </w:r>
          </w:p>
        </w:tc>
        <w:tc>
          <w:tcPr>
            <w:tcW w:w="1322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1E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8.00</w:t>
            </w:r>
          </w:p>
        </w:tc>
      </w:tr>
      <w:tr w14:paraId="79FD48A4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3723D05E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Note: For active transport, continuous minutes were reported directly and capped at reasonable limits (e.g., 2 hours).</w:t>
            </w:r>
          </w:p>
        </w:tc>
      </w:tr>
    </w:tbl>
    <w:p w14:paraId="48AFC1C9">
      <w:pPr>
        <w:pStyle w:val="3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75" w:lineRule="auto"/>
        <w:rPr>
          <w:rFonts w:ascii="Google Sans" w:hAnsi="Google Sans" w:eastAsia="Google Sans" w:cs="Google Sans"/>
          <w:color w:val="1F1F1F"/>
          <w:rtl w:val="0"/>
        </w:rPr>
      </w:pPr>
    </w:p>
    <w:p w14:paraId="045D94A2">
      <w:pPr>
        <w:pStyle w:val="3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75" w:lineRule="auto"/>
        <w:rPr>
          <w:rFonts w:ascii="Google Sans" w:hAnsi="Google Sans" w:eastAsia="Google Sans" w:cs="Google Sans"/>
          <w:color w:val="1F1F1F"/>
          <w:rtl w:val="0"/>
        </w:rPr>
      </w:pPr>
    </w:p>
    <w:p w14:paraId="70D6FFAE">
      <w:pPr>
        <w:rPr>
          <w:rtl w:val="0"/>
        </w:rPr>
      </w:pPr>
    </w:p>
    <w:tbl>
      <w:tblPr>
        <w:tblStyle w:val="16"/>
        <w:tblW w:w="5000" w:type="pct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1886"/>
        <w:gridCol w:w="1779"/>
        <w:gridCol w:w="2727"/>
        <w:gridCol w:w="1689"/>
        <w:gridCol w:w="1639"/>
      </w:tblGrid>
      <w:tr w14:paraId="37935F6E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  <w:tl2br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2216FD77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Table S</w:t>
            </w:r>
            <w:r>
              <w:rPr>
                <w:rFonts w:hint="eastAsia"/>
                <w:b w:val="0"/>
                <w:color w:val="000000"/>
                <w:rtl w:val="0"/>
                <w:lang w:val="en-US" w:eastAsia="zh-CN"/>
              </w:rPr>
              <w:t>6</w:t>
            </w:r>
            <w:r>
              <w:rPr>
                <w:b w:val="0"/>
                <w:color w:val="000000"/>
                <w:rtl w:val="0"/>
              </w:rPr>
              <w:t>. Composition of Sedentary Time Measures for PASTBI Calculation</w:t>
            </w:r>
          </w:p>
          <w:p w14:paraId="68CD690A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Classification of sedentary activities into "Passive" and "Active" domains for mechanism analysis.</w:t>
            </w:r>
          </w:p>
        </w:tc>
      </w:tr>
      <w:tr w14:paraId="4264D1E3">
        <w:tc>
          <w:tcPr>
            <w:tcW w:w="970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  <w:tl2br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22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Activity Domain</w:t>
            </w:r>
          </w:p>
        </w:tc>
        <w:tc>
          <w:tcPr>
            <w:tcW w:w="915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23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Data Source</w:t>
            </w:r>
          </w:p>
        </w:tc>
        <w:tc>
          <w:tcPr>
            <w:tcW w:w="1403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24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Included in Total SB (PASTBI Denominator)</w:t>
            </w:r>
          </w:p>
        </w:tc>
        <w:tc>
          <w:tcPr>
            <w:tcW w:w="869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25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Included in Passive SB</w:t>
            </w:r>
          </w:p>
        </w:tc>
        <w:tc>
          <w:tcPr>
            <w:tcW w:w="841" w:type="pct"/>
            <w:tcBorders>
              <w:top w:val="single" w:color="4F81BD" w:sz="12" w:space="0"/>
              <w:left w:val="nil"/>
              <w:bottom w:val="single" w:color="4F81BD" w:sz="4" w:space="0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26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Included in Active SB</w:t>
            </w:r>
          </w:p>
        </w:tc>
      </w:tr>
      <w:tr w14:paraId="783B11A1">
        <w:tc>
          <w:tcPr>
            <w:tcW w:w="970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27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1. Television Viewing</w:t>
            </w:r>
          </w:p>
        </w:tc>
        <w:tc>
          <w:tcPr>
            <w:tcW w:w="915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28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Self-report</w:t>
            </w:r>
          </w:p>
        </w:tc>
        <w:tc>
          <w:tcPr>
            <w:tcW w:w="1403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29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✓</w:t>
            </w:r>
          </w:p>
        </w:tc>
        <w:tc>
          <w:tcPr>
            <w:tcW w:w="869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2A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✓</w:t>
            </w:r>
          </w:p>
        </w:tc>
        <w:tc>
          <w:tcPr>
            <w:tcW w:w="841" w:type="pct"/>
            <w:tcBorders>
              <w:top w:val="single" w:color="4F81BD" w:sz="4" w:space="0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2B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-</w:t>
            </w:r>
          </w:p>
        </w:tc>
      </w:tr>
      <w:tr w14:paraId="44A9706B">
        <w:tc>
          <w:tcPr>
            <w:tcW w:w="970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2C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2. Computer Games</w:t>
            </w: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2D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Self-report</w:t>
            </w:r>
          </w:p>
        </w:tc>
        <w:tc>
          <w:tcPr>
            <w:tcW w:w="1403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2E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✓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2F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✓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30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-</w:t>
            </w:r>
          </w:p>
        </w:tc>
      </w:tr>
      <w:tr w14:paraId="74B6DA2F">
        <w:tc>
          <w:tcPr>
            <w:tcW w:w="9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31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3. Social Networking</w:t>
            </w: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32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Self-report</w:t>
            </w:r>
          </w:p>
        </w:tc>
        <w:tc>
          <w:tcPr>
            <w:tcW w:w="1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33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✓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34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✓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35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-</w:t>
            </w:r>
          </w:p>
        </w:tc>
      </w:tr>
      <w:tr w14:paraId="4BF67379">
        <w:tc>
          <w:tcPr>
            <w:tcW w:w="970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36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4. General Internet Use</w:t>
            </w: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37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Self-report</w:t>
            </w:r>
          </w:p>
        </w:tc>
        <w:tc>
          <w:tcPr>
            <w:tcW w:w="1403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38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✓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39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✓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3A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-</w:t>
            </w:r>
          </w:p>
        </w:tc>
      </w:tr>
      <w:tr w14:paraId="1CA83182">
        <w:tc>
          <w:tcPr>
            <w:tcW w:w="9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3B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5. Passive Transport</w:t>
            </w: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3C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Self-report</w:t>
            </w:r>
          </w:p>
        </w:tc>
        <w:tc>
          <w:tcPr>
            <w:tcW w:w="1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3D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✓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3E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✓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3F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-</w:t>
            </w:r>
          </w:p>
        </w:tc>
      </w:tr>
      <w:tr w14:paraId="69B54620">
        <w:tc>
          <w:tcPr>
            <w:tcW w:w="970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40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6. Homework / Study</w:t>
            </w: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41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Self-report</w:t>
            </w:r>
          </w:p>
        </w:tc>
        <w:tc>
          <w:tcPr>
            <w:tcW w:w="1403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42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✓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43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-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44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✓</w:t>
            </w:r>
          </w:p>
        </w:tc>
      </w:tr>
      <w:tr w14:paraId="3899492C">
        <w:tc>
          <w:tcPr>
            <w:tcW w:w="9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45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7. Reading for Pleasure</w:t>
            </w: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46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Self-report</w:t>
            </w:r>
          </w:p>
        </w:tc>
        <w:tc>
          <w:tcPr>
            <w:tcW w:w="14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47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✓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48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-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49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✓</w:t>
            </w:r>
          </w:p>
        </w:tc>
      </w:tr>
      <w:tr w14:paraId="4B2FD73F">
        <w:tc>
          <w:tcPr>
            <w:tcW w:w="970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4A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Numerator (PA)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4B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Accelerometer</w:t>
            </w:r>
          </w:p>
        </w:tc>
        <w:tc>
          <w:tcPr>
            <w:tcW w:w="1403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4C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Total MVPA</w:t>
            </w:r>
          </w:p>
        </w:tc>
        <w:tc>
          <w:tcPr>
            <w:tcW w:w="869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4D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Total MVPA</w:t>
            </w:r>
          </w:p>
        </w:tc>
        <w:tc>
          <w:tcPr>
            <w:tcW w:w="841" w:type="pct"/>
            <w:tcBorders>
              <w:top w:val="nil"/>
              <w:left w:val="nil"/>
              <w:bottom w:val="single" w:color="4F81BD" w:sz="12" w:space="0"/>
              <w:right w:val="nil"/>
            </w:tcBorders>
            <w:shd w:val="clear" w:color="auto" w:fill="EDF2F8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000004E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Total MVPA</w:t>
            </w:r>
          </w:p>
        </w:tc>
      </w:tr>
      <w:tr w14:paraId="55E36866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58B1060D">
            <w:pPr>
              <w:rPr>
                <w:b w:val="0"/>
                <w:color w:val="000000"/>
                <w:rtl w:val="0"/>
              </w:rPr>
            </w:pPr>
            <w:r>
              <w:rPr>
                <w:b w:val="0"/>
                <w:color w:val="000000"/>
                <w:rtl w:val="0"/>
              </w:rPr>
              <w:t>Note: SB = Sedentary Behavior; MVPA = Moderate-to-Vigorous Physical Activity. Total SB is used for the primary PASTBI index. Passive and Active SB are used for secondary mechanism analysis (Table 5 in main text).</w:t>
            </w:r>
          </w:p>
        </w:tc>
      </w:tr>
    </w:tbl>
    <w:p w14:paraId="11284740">
      <w:pPr>
        <w:pStyle w:val="3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75" w:lineRule="auto"/>
        <w:rPr>
          <w:rFonts w:ascii="Google Sans" w:hAnsi="Google Sans" w:eastAsia="Google Sans" w:cs="Google Sans"/>
          <w:color w:val="1F1F1F"/>
          <w:rtl w:val="0"/>
        </w:rPr>
      </w:pPr>
    </w:p>
    <w:p w14:paraId="00000050">
      <w:pPr>
        <w:pStyle w:val="3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75" w:lineRule="auto"/>
        <w:rPr>
          <w:rFonts w:ascii="Arial" w:hAnsi="Arial" w:eastAsia="Arial" w:cs="Arial"/>
          <w:b w:val="0"/>
          <w:bCs w:val="0"/>
          <w:color w:val="000000"/>
          <w:sz w:val="22"/>
          <w:szCs w:val="22"/>
          <w:rtl w:val="0"/>
        </w:rPr>
      </w:pPr>
      <w:r>
        <w:rPr>
          <w:rFonts w:ascii="Arial" w:hAnsi="Arial" w:eastAsia="Arial" w:cs="Arial"/>
          <w:b w:val="0"/>
          <w:bCs w:val="0"/>
          <w:color w:val="000000"/>
          <w:sz w:val="22"/>
          <w:szCs w:val="22"/>
          <w:rtl w:val="0"/>
        </w:rPr>
        <w:t>Figure S1. STROBE Flowchart of Study Participants</w:t>
      </w:r>
    </w:p>
    <w:p w14:paraId="61E43438">
      <w:pPr>
        <w:pStyle w:val="3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120" w:after="120" w:line="275" w:lineRule="auto"/>
        <w:rPr>
          <w:rFonts w:hint="eastAsia" w:ascii="Google Sans" w:hAnsi="Google Sans" w:eastAsia="Google Sans" w:cs="Google Sans"/>
          <w:color w:val="1F1F1F"/>
          <w:rtl w:val="0"/>
          <w:lang w:eastAsia="zh-CN"/>
        </w:rPr>
      </w:pPr>
      <w:r>
        <w:rPr>
          <w:rFonts w:hint="eastAsia" w:ascii="Google Sans" w:hAnsi="Google Sans" w:eastAsia="Google Sans" w:cs="Google Sans"/>
          <w:color w:val="1F1F1F"/>
          <w:rtl w:val="0"/>
          <w:lang w:eastAsia="zh-CN"/>
        </w:rPr>
        <w:drawing>
          <wp:inline distT="0" distB="0" distL="114300" distR="114300">
            <wp:extent cx="5934075" cy="4856480"/>
            <wp:effectExtent l="0" t="0" r="9525" b="20320"/>
            <wp:docPr id="1" name="图片 1" descr="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流程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7B632">
      <w:pPr>
        <w:pStyle w:val="3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75" w:lineRule="auto"/>
        <w:rPr>
          <w:rFonts w:ascii="Arial" w:hAnsi="Arial" w:eastAsia="Arial" w:cs="Arial"/>
          <w:b w:val="0"/>
          <w:bCs w:val="0"/>
          <w:color w:val="000000"/>
          <w:sz w:val="22"/>
          <w:szCs w:val="22"/>
          <w:rtl w:val="0"/>
        </w:rPr>
      </w:pPr>
    </w:p>
    <w:p w14:paraId="0000005E">
      <w:pPr>
        <w:pStyle w:val="3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120" w:line="275" w:lineRule="auto"/>
        <w:rPr>
          <w:rFonts w:hint="default" w:ascii="Arial Bold" w:hAnsi="Arial Bold" w:eastAsia="Arial" w:cs="Arial Bold"/>
          <w:b/>
          <w:bCs/>
          <w:color w:val="000000"/>
          <w:sz w:val="22"/>
          <w:szCs w:val="22"/>
          <w:rtl w:val="0"/>
        </w:rPr>
      </w:pPr>
      <w:r>
        <w:rPr>
          <w:rFonts w:hint="default" w:ascii="Arial Bold" w:hAnsi="Arial Bold" w:eastAsia="Arial" w:cs="Arial Bold"/>
          <w:b/>
          <w:bCs/>
          <w:color w:val="000000"/>
          <w:sz w:val="22"/>
          <w:szCs w:val="22"/>
          <w:rtl w:val="0"/>
        </w:rPr>
        <w:t>Text S1. Construction Methodology of the Standardized Diet Quality Index</w:t>
      </w:r>
    </w:p>
    <w:p w14:paraId="0000005F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after="120" w:line="275" w:lineRule="auto"/>
        <w:rPr>
          <w:rFonts w:ascii="Google Sans Text" w:hAnsi="Google Sans Text" w:eastAsia="Google Sans Text" w:cs="Google Sans Text"/>
          <w:color w:val="1F1F1F"/>
        </w:rPr>
      </w:pPr>
      <w:r>
        <w:rPr>
          <w:rFonts w:ascii="Google Sans Text" w:hAnsi="Google Sans Text" w:eastAsia="Google Sans Text" w:cs="Google Sans Text"/>
          <w:color w:val="1F1F1F"/>
          <w:rtl w:val="0"/>
        </w:rPr>
        <w:t xml:space="preserve">To control for the confounding effects of dietary habits, we constructed a composite </w:t>
      </w:r>
      <w:r>
        <w:rPr>
          <w:rFonts w:ascii="Google Sans Text" w:hAnsi="Google Sans Text" w:eastAsia="Google Sans Text" w:cs="Google Sans Text"/>
          <w:b/>
          <w:bCs/>
          <w:color w:val="1F1F1F"/>
          <w:rtl w:val="0"/>
        </w:rPr>
        <w:t>Standardized Diet Quality Index</w:t>
      </w:r>
      <w:r>
        <w:rPr>
          <w:rFonts w:ascii="Google Sans Text" w:hAnsi="Google Sans Text" w:eastAsia="Google Sans Text" w:cs="Google Sans Text"/>
          <w:color w:val="1F1F1F"/>
          <w:rtl w:val="0"/>
        </w:rPr>
        <w:t xml:space="preserve"> derived from five key dietary behaviors reported in the MCS Wave 6 survey. The index construction followed a three-step process:</w:t>
      </w:r>
    </w:p>
    <w:p w14:paraId="00000060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after="0" w:afterAutospacing="0" w:line="275" w:lineRule="auto"/>
        <w:ind w:left="480" w:hanging="360"/>
      </w:pPr>
      <w:r>
        <w:rPr>
          <w:rFonts w:ascii="Google Sans Text" w:hAnsi="Google Sans Text" w:eastAsia="Google Sans Text" w:cs="Google Sans Text"/>
          <w:color w:val="1F1F1F"/>
          <w:rtl w:val="0"/>
        </w:rPr>
        <w:t>Directional Alignment: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br w:type="textWrapping"/>
      </w:r>
      <w:r>
        <w:rPr>
          <w:rFonts w:ascii="Google Sans Text" w:hAnsi="Google Sans Text" w:eastAsia="Google Sans Text" w:cs="Google Sans Text"/>
          <w:color w:val="1F1F1F"/>
          <w:rtl w:val="0"/>
        </w:rPr>
        <w:t>Variables were recoded so that higher values consistently indicate healthier behaviors:</w:t>
      </w:r>
    </w:p>
    <w:p w14:paraId="00000061">
      <w:pPr>
        <w:numPr>
          <w:ilvl w:val="1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after="0" w:afterAutospacing="0" w:line="275" w:lineRule="auto"/>
        <w:ind w:left="885" w:hanging="360"/>
      </w:pPr>
      <w:r>
        <w:rPr>
          <w:rFonts w:ascii="Google Sans Text" w:hAnsi="Google Sans Text" w:eastAsia="Google Sans Text" w:cs="Google Sans Text"/>
          <w:i/>
          <w:iCs/>
          <w:color w:val="1F1F1F"/>
          <w:rtl w:val="0"/>
        </w:rPr>
        <w:t>Fruit Consumption:</w:t>
      </w:r>
      <w:r>
        <w:rPr>
          <w:rFonts w:ascii="Google Sans Text" w:hAnsi="Google Sans Text" w:eastAsia="Google Sans Text" w:cs="Google Sans Text"/>
          <w:color w:val="1F1F1F"/>
          <w:rtl w:val="0"/>
        </w:rPr>
        <w:t xml:space="preserve"> Reverse coded (Original 1=Frequent $\rightarrow$ New High Score)</w:t>
      </w:r>
    </w:p>
    <w:p w14:paraId="00000062">
      <w:pPr>
        <w:numPr>
          <w:ilvl w:val="1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beforeAutospacing="0" w:after="0" w:afterAutospacing="0" w:line="275" w:lineRule="auto"/>
        <w:ind w:left="885" w:hanging="360"/>
      </w:pPr>
      <w:r>
        <w:rPr>
          <w:rFonts w:ascii="Google Sans Text" w:hAnsi="Google Sans Text" w:eastAsia="Google Sans Text" w:cs="Google Sans Text"/>
          <w:i/>
          <w:iCs/>
          <w:color w:val="1F1F1F"/>
          <w:rtl w:val="0"/>
        </w:rPr>
        <w:t>Vegetable Consumption:</w:t>
      </w:r>
      <w:r>
        <w:rPr>
          <w:rFonts w:ascii="Google Sans Text" w:hAnsi="Google Sans Text" w:eastAsia="Google Sans Text" w:cs="Google Sans Text"/>
          <w:color w:val="1F1F1F"/>
          <w:rtl w:val="0"/>
        </w:rPr>
        <w:t xml:space="preserve"> Reverse coded (Original 1=Frequent $\rightarrow$ New High Score)</w:t>
      </w:r>
    </w:p>
    <w:p w14:paraId="00000063">
      <w:pPr>
        <w:numPr>
          <w:ilvl w:val="1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beforeAutospacing="0" w:after="0" w:afterAutospacing="0" w:line="275" w:lineRule="auto"/>
        <w:ind w:left="885" w:hanging="360"/>
      </w:pPr>
      <w:r>
        <w:rPr>
          <w:rFonts w:ascii="Google Sans Text" w:hAnsi="Google Sans Text" w:eastAsia="Google Sans Text" w:cs="Google Sans Text"/>
          <w:i/>
          <w:iCs/>
          <w:color w:val="1F1F1F"/>
          <w:rtl w:val="0"/>
        </w:rPr>
        <w:t>Breakfast Frequency:</w:t>
      </w:r>
      <w:r>
        <w:rPr>
          <w:rFonts w:ascii="Google Sans Text" w:hAnsi="Google Sans Text" w:eastAsia="Google Sans Text" w:cs="Google Sans Text"/>
          <w:color w:val="1F1F1F"/>
          <w:rtl w:val="0"/>
        </w:rPr>
        <w:t xml:space="preserve"> Retained (Higher days = Healthier)</w:t>
      </w:r>
    </w:p>
    <w:p w14:paraId="00000064">
      <w:pPr>
        <w:numPr>
          <w:ilvl w:val="1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beforeAutospacing="0" w:after="0" w:afterAutospacing="0" w:line="275" w:lineRule="auto"/>
        <w:ind w:left="885" w:hanging="360"/>
      </w:pPr>
      <w:r>
        <w:rPr>
          <w:rFonts w:ascii="Google Sans Text" w:hAnsi="Google Sans Text" w:eastAsia="Google Sans Text" w:cs="Google Sans Text"/>
          <w:i/>
          <w:iCs/>
          <w:color w:val="1F1F1F"/>
          <w:rtl w:val="0"/>
        </w:rPr>
        <w:t>Fast Food Frequency:</w:t>
      </w:r>
      <w:r>
        <w:rPr>
          <w:rFonts w:ascii="Google Sans Text" w:hAnsi="Google Sans Text" w:eastAsia="Google Sans Text" w:cs="Google Sans Text"/>
          <w:color w:val="1F1F1F"/>
          <w:rtl w:val="0"/>
        </w:rPr>
        <w:t xml:space="preserve"> Retained (Higher category = Less frequent = Healthier)</w:t>
      </w:r>
    </w:p>
    <w:p w14:paraId="00000065">
      <w:pPr>
        <w:numPr>
          <w:ilvl w:val="1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beforeAutospacing="0" w:after="0" w:afterAutospacing="0" w:line="275" w:lineRule="auto"/>
        <w:ind w:left="885" w:hanging="360"/>
      </w:pPr>
      <w:r>
        <w:rPr>
          <w:rFonts w:ascii="Google Sans Text" w:hAnsi="Google Sans Text" w:eastAsia="Google Sans Text" w:cs="Google Sans Text"/>
          <w:i/>
          <w:iCs/>
          <w:color w:val="1F1F1F"/>
          <w:rtl w:val="0"/>
        </w:rPr>
        <w:t>Sugary Drink Consumption:</w:t>
      </w:r>
      <w:r>
        <w:rPr>
          <w:rFonts w:ascii="Google Sans Text" w:hAnsi="Google Sans Text" w:eastAsia="Google Sans Text" w:cs="Google Sans Text"/>
          <w:color w:val="1F1F1F"/>
          <w:rtl w:val="0"/>
        </w:rPr>
        <w:t xml:space="preserve"> Retained (Higher category = Less frequent = Healthier)</w:t>
      </w:r>
    </w:p>
    <w:p w14:paraId="00000066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beforeAutospacing="0" w:after="0" w:afterAutospacing="0" w:line="275" w:lineRule="auto"/>
        <w:ind w:left="480" w:hanging="360"/>
      </w:pPr>
      <w:r>
        <w:rPr>
          <w:rFonts w:ascii="Google Sans Text" w:hAnsi="Google Sans Text" w:eastAsia="Google Sans Text" w:cs="Google Sans Text"/>
          <w:color w:val="1F1F1F"/>
          <w:rtl w:val="0"/>
        </w:rPr>
        <w:t>Standardization (Z-scoring):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br w:type="textWrapping"/>
      </w:r>
      <w:r>
        <w:rPr>
          <w:rFonts w:ascii="Google Sans Text" w:hAnsi="Google Sans Text" w:eastAsia="Google Sans Text" w:cs="Google Sans Text"/>
          <w:color w:val="1F1F1F"/>
          <w:rtl w:val="0"/>
        </w:rPr>
        <w:t>Due to differing measurement scales (e.g., "days per week" vs. "frequency categories"), each of the five aligned variables was standardized to a Z-score with a mean of 0 and standard deviation of 1.</w:t>
      </w:r>
    </w:p>
    <w:p w14:paraId="7C05651B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beforeAutospacing="0" w:after="120" w:line="275" w:lineRule="auto"/>
        <w:ind w:left="480" w:hanging="360"/>
      </w:pPr>
      <w:r>
        <w:rPr>
          <w:rFonts w:ascii="Google Sans Text" w:hAnsi="Google Sans Text" w:eastAsia="Google Sans Text" w:cs="Google Sans Text"/>
          <w:color w:val="1F1F1F"/>
          <w:rtl w:val="0"/>
        </w:rPr>
        <w:t>Composite Calculation: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br w:type="textWrapping"/>
      </w:r>
      <w:r>
        <w:rPr>
          <w:rFonts w:ascii="Google Sans Text" w:hAnsi="Google Sans Text" w:eastAsia="Google Sans Text" w:cs="Google Sans Text"/>
          <w:color w:val="1F1F1F"/>
          <w:rtl w:val="0"/>
        </w:rPr>
        <w:t>The final index was calculated as the mean of the five Z-scores, and then re-standardized to facilitate interpretation.</w:t>
      </w:r>
    </w:p>
    <w:p w14:paraId="5F69E304">
      <w:pPr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beforeAutospacing="0" w:after="120" w:line="275" w:lineRule="auto"/>
        <w:ind w:left="120" w:leftChars="0"/>
        <w:rPr>
          <w:rFonts w:ascii="Google Sans Text" w:hAnsi="Google Sans Text" w:eastAsia="Google Sans Text" w:cs="Google Sans Text"/>
          <w:color w:val="1F1F1F"/>
          <w:rtl w:val="0"/>
        </w:rPr>
      </w:pPr>
      <m:oMathPara>
        <m:oMath>
          <m:r>
            <m:rPr/>
            <w:rPr>
              <w:rFonts w:hint="default" w:ascii="DejaVu Math TeX Gyre" w:hAnsi="DejaVu Math TeX Gyre" w:eastAsia="Google Sans Text"/>
            </w:rPr>
            <m:t>DietQualityIndex=Z</m:t>
          </m:r>
          <m:d>
            <m:dPr>
              <m:ctrlPr>
                <w:rPr>
                  <w:rFonts w:hint="default" w:ascii="DejaVu Math TeX Gyre" w:hAnsi="DejaVu Math TeX Gyre" w:eastAsia="Google Sans Text"/>
                  <w:i/>
                </w:rPr>
              </m:ctrlPr>
            </m:dPr>
            <m:e>
              <m:f>
                <m:fPr>
                  <m:ctrlPr>
                    <w:rPr>
                      <w:rFonts w:hint="default" w:ascii="DejaVu Math TeX Gyre" w:hAnsi="DejaVu Math TeX Gyre" w:eastAsia="Google Sans Text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hint="default" w:ascii="DejaVu Math TeX Gyre" w:hAnsi="DejaVu Math TeX Gyre" w:eastAsia="Google Sans Text"/>
                        </w:rPr>
                      </m:ctrlPr>
                    </m:sSubPr>
                    <m:e>
                      <m:r>
                        <m:rPr/>
                        <w:rPr>
                          <w:rFonts w:hint="default" w:ascii="DejaVu Math TeX Gyre" w:hAnsi="DejaVu Math TeX Gyre" w:eastAsia="Google Sans Text"/>
                        </w:rPr>
                        <m:t>Z</m:t>
                      </m:r>
                      <m:ctrlPr>
                        <w:rPr>
                          <w:rFonts w:ascii="DejaVu Math TeX Gyre" w:hAnsi="DejaVu Math TeX Gyre" w:eastAsia="Google Sans Text"/>
                        </w:rPr>
                      </m:ctrlPr>
                    </m:e>
                    <m:sub>
                      <m:r>
                        <m:rPr/>
                        <w:rPr>
                          <w:rFonts w:hint="default" w:ascii="DejaVu Math TeX Gyre" w:hAnsi="DejaVu Math TeX Gyre" w:eastAsia="Google Sans Text"/>
                        </w:rPr>
                        <m:t>fruit</m:t>
                      </m:r>
                      <m:ctrlPr>
                        <w:rPr>
                          <w:rFonts w:ascii="DejaVu Math TeX Gyre" w:hAnsi="DejaVu Math TeX Gyre" w:eastAsia="Google Sans Text"/>
                        </w:rPr>
                      </m:ctrlPr>
                    </m:sub>
                  </m:sSub>
                  <m:r>
                    <m:rPr/>
                    <w:rPr>
                      <w:rFonts w:hint="default" w:ascii="DejaVu Math TeX Gyre" w:hAnsi="DejaVu Math TeX Gyre" w:eastAsia="Google Sans Text"/>
                    </w:rPr>
                    <m:t>+</m:t>
                  </m:r>
                  <m:sSub>
                    <m:sSubPr>
                      <m:ctrlPr>
                        <w:rPr>
                          <w:rFonts w:hint="default" w:ascii="DejaVu Math TeX Gyre" w:hAnsi="DejaVu Math TeX Gyre" w:eastAsia="Google Sans Text"/>
                        </w:rPr>
                      </m:ctrlPr>
                    </m:sSubPr>
                    <m:e>
                      <m:r>
                        <m:rPr/>
                        <w:rPr>
                          <w:rFonts w:hint="default" w:ascii="DejaVu Math TeX Gyre" w:hAnsi="DejaVu Math TeX Gyre" w:eastAsia="Google Sans Text"/>
                        </w:rPr>
                        <m:t>Z</m:t>
                      </m:r>
                      <m:ctrlPr>
                        <w:rPr>
                          <w:rFonts w:ascii="DejaVu Math TeX Gyre" w:hAnsi="DejaVu Math TeX Gyre" w:eastAsia="Google Sans Text"/>
                        </w:rPr>
                      </m:ctrlPr>
                    </m:e>
                    <m:sub>
                      <m:r>
                        <m:rPr/>
                        <w:rPr>
                          <w:rFonts w:hint="default" w:ascii="DejaVu Math TeX Gyre" w:hAnsi="DejaVu Math TeX Gyre" w:eastAsia="Google Sans Text"/>
                        </w:rPr>
                        <m:t>veg</m:t>
                      </m:r>
                      <m:ctrlPr>
                        <w:rPr>
                          <w:rFonts w:ascii="DejaVu Math TeX Gyre" w:hAnsi="DejaVu Math TeX Gyre" w:eastAsia="Google Sans Text"/>
                        </w:rPr>
                      </m:ctrlPr>
                    </m:sub>
                  </m:sSub>
                  <m:r>
                    <m:rPr/>
                    <w:rPr>
                      <w:rFonts w:hint="default" w:ascii="DejaVu Math TeX Gyre" w:hAnsi="DejaVu Math TeX Gyre" w:eastAsia="Google Sans Text"/>
                    </w:rPr>
                    <m:t>+</m:t>
                  </m:r>
                  <m:sSub>
                    <m:sSubPr>
                      <m:ctrlPr>
                        <w:rPr>
                          <w:rFonts w:hint="default" w:ascii="DejaVu Math TeX Gyre" w:hAnsi="DejaVu Math TeX Gyre" w:eastAsia="Google Sans Text"/>
                        </w:rPr>
                      </m:ctrlPr>
                    </m:sSubPr>
                    <m:e>
                      <m:r>
                        <m:rPr/>
                        <w:rPr>
                          <w:rFonts w:hint="default" w:ascii="DejaVu Math TeX Gyre" w:hAnsi="DejaVu Math TeX Gyre" w:eastAsia="Google Sans Text"/>
                        </w:rPr>
                        <m:t>Z</m:t>
                      </m:r>
                      <m:ctrlPr>
                        <w:rPr>
                          <w:rFonts w:ascii="DejaVu Math TeX Gyre" w:hAnsi="DejaVu Math TeX Gyre" w:eastAsia="Google Sans Text"/>
                        </w:rPr>
                      </m:ctrlPr>
                    </m:e>
                    <m:sub>
                      <m:r>
                        <m:rPr/>
                        <w:rPr>
                          <w:rFonts w:hint="default" w:ascii="DejaVu Math TeX Gyre" w:hAnsi="DejaVu Math TeX Gyre" w:eastAsia="Google Sans Text"/>
                        </w:rPr>
                        <m:t>breakfast</m:t>
                      </m:r>
                      <m:ctrlPr>
                        <w:rPr>
                          <w:rFonts w:ascii="DejaVu Math TeX Gyre" w:hAnsi="DejaVu Math TeX Gyre" w:eastAsia="Google Sans Text"/>
                        </w:rPr>
                      </m:ctrlPr>
                    </m:sub>
                  </m:sSub>
                  <m:r>
                    <m:rPr/>
                    <w:rPr>
                      <w:rFonts w:hint="default" w:ascii="DejaVu Math TeX Gyre" w:hAnsi="DejaVu Math TeX Gyre" w:eastAsia="Google Sans Text"/>
                    </w:rPr>
                    <m:t>+</m:t>
                  </m:r>
                  <m:sSub>
                    <m:sSubPr>
                      <m:ctrlPr>
                        <w:rPr>
                          <w:rFonts w:hint="default" w:ascii="DejaVu Math TeX Gyre" w:hAnsi="DejaVu Math TeX Gyre" w:eastAsia="Google Sans Text"/>
                        </w:rPr>
                      </m:ctrlPr>
                    </m:sSubPr>
                    <m:e>
                      <m:r>
                        <m:rPr/>
                        <w:rPr>
                          <w:rFonts w:hint="default" w:ascii="DejaVu Math TeX Gyre" w:hAnsi="DejaVu Math TeX Gyre" w:eastAsia="Google Sans Text"/>
                        </w:rPr>
                        <m:t>Z</m:t>
                      </m:r>
                      <m:ctrlPr>
                        <w:rPr>
                          <w:rFonts w:ascii="DejaVu Math TeX Gyre" w:hAnsi="DejaVu Math TeX Gyre" w:eastAsia="Google Sans Text"/>
                        </w:rPr>
                      </m:ctrlPr>
                    </m:e>
                    <m:sub>
                      <m:r>
                        <m:rPr/>
                        <w:rPr>
                          <w:rFonts w:hint="default" w:ascii="DejaVu Math TeX Gyre" w:hAnsi="DejaVu Math TeX Gyre" w:eastAsia="Google Sans Text"/>
                        </w:rPr>
                        <m:t>fastfood</m:t>
                      </m:r>
                      <m:ctrlPr>
                        <w:rPr>
                          <w:rFonts w:ascii="DejaVu Math TeX Gyre" w:hAnsi="DejaVu Math TeX Gyre" w:eastAsia="Google Sans Text"/>
                        </w:rPr>
                      </m:ctrlPr>
                    </m:sub>
                  </m:sSub>
                  <m:r>
                    <m:rPr/>
                    <w:rPr>
                      <w:rFonts w:hint="default" w:ascii="DejaVu Math TeX Gyre" w:hAnsi="DejaVu Math TeX Gyre" w:eastAsia="Google Sans Text"/>
                    </w:rPr>
                    <m:t>+</m:t>
                  </m:r>
                  <m:sSub>
                    <m:sSubPr>
                      <m:ctrlPr>
                        <w:rPr>
                          <w:rFonts w:hint="default" w:ascii="DejaVu Math TeX Gyre" w:hAnsi="DejaVu Math TeX Gyre" w:eastAsia="Google Sans Text"/>
                        </w:rPr>
                      </m:ctrlPr>
                    </m:sSubPr>
                    <m:e>
                      <m:r>
                        <m:rPr/>
                        <w:rPr>
                          <w:rFonts w:hint="default" w:ascii="DejaVu Math TeX Gyre" w:hAnsi="DejaVu Math TeX Gyre" w:eastAsia="Google Sans Text"/>
                        </w:rPr>
                        <m:t>Z</m:t>
                      </m:r>
                      <m:ctrlPr>
                        <w:rPr>
                          <w:rFonts w:ascii="DejaVu Math TeX Gyre" w:hAnsi="DejaVu Math TeX Gyre" w:eastAsia="Google Sans Text"/>
                        </w:rPr>
                      </m:ctrlPr>
                    </m:e>
                    <m:sub>
                      <m:r>
                        <m:rPr/>
                        <w:rPr>
                          <w:rFonts w:hint="default" w:ascii="DejaVu Math TeX Gyre" w:hAnsi="DejaVu Math TeX Gyre" w:eastAsia="Google Sans Text"/>
                        </w:rPr>
                        <m:t>soda</m:t>
                      </m:r>
                      <m:ctrlPr>
                        <w:rPr>
                          <w:rFonts w:ascii="DejaVu Math TeX Gyre" w:hAnsi="DejaVu Math TeX Gyre" w:eastAsia="Google Sans Text"/>
                        </w:rPr>
                      </m:ctrlPr>
                    </m:sub>
                  </m:sSub>
                  <m:ctrlPr>
                    <w:rPr>
                      <w:rFonts w:hint="default" w:ascii="DejaVu Math TeX Gyre" w:hAnsi="DejaVu Math TeX Gyre" w:eastAsia="Google Sans Text"/>
                    </w:rPr>
                  </m:ctrlPr>
                </m:num>
                <m:den>
                  <m:r>
                    <m:rPr/>
                    <w:rPr>
                      <w:rFonts w:hint="default" w:ascii="DejaVu Math TeX Gyre" w:hAnsi="DejaVu Math TeX Gyre" w:eastAsia="Google Sans Text"/>
                    </w:rPr>
                    <m:t>5</m:t>
                  </m:r>
                  <m:ctrlPr>
                    <w:rPr>
                      <w:rFonts w:hint="default" w:ascii="DejaVu Math TeX Gyre" w:hAnsi="DejaVu Math TeX Gyre" w:eastAsia="Google Sans Text"/>
                    </w:rPr>
                  </m:ctrlPr>
                </m:den>
              </m:f>
              <m:ctrlPr>
                <w:rPr>
                  <w:rFonts w:hint="default" w:ascii="DejaVu Math TeX Gyre" w:hAnsi="DejaVu Math TeX Gyre" w:eastAsia="Google Sans Text"/>
                  <w:i/>
                </w:rPr>
              </m:ctrlPr>
            </m:e>
          </m:d>
        </m:oMath>
      </m:oMathPara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br w:type="textWrapping"/>
      </w:r>
      <w:r>
        <w:rPr>
          <w:rFonts w:ascii="Google Sans Text" w:hAnsi="Google Sans Text" w:eastAsia="Google Sans Text" w:cs="Google Sans Text"/>
          <w:color w:val="1F1F1F"/>
          <w:rtl w:val="0"/>
        </w:rPr>
        <w:t>A higher score indicates a healthier overall diet quality relative to the sample population.</w:t>
      </w:r>
    </w:p>
    <w:p w14:paraId="2011C995">
      <w:pPr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beforeAutospacing="0" w:after="120" w:line="275" w:lineRule="auto"/>
        <w:ind w:left="120" w:leftChars="0"/>
        <w:rPr>
          <w:rFonts w:ascii="Google Sans Text" w:hAnsi="Google Sans Text" w:eastAsia="Google Sans Text" w:cs="Google Sans Text"/>
          <w:color w:val="1F1F1F"/>
          <w:rtl w:val="0"/>
        </w:rPr>
      </w:pPr>
    </w:p>
    <w:p w14:paraId="11FF0416">
      <w:pPr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beforeAutospacing="0" w:after="120" w:line="275" w:lineRule="auto"/>
        <w:ind w:left="120" w:leftChars="0"/>
        <w:rPr>
          <w:rFonts w:hint="eastAsia" w:ascii="Google Sans Text" w:hAnsi="Google Sans Text" w:eastAsia="Google Sans Text" w:cs="Google Sans Text"/>
          <w:color w:val="1F1F1F"/>
          <w:rtl w:val="0"/>
          <w:lang w:eastAsia="zh-CN"/>
        </w:rPr>
      </w:pPr>
      <w:r>
        <w:rPr>
          <w:rFonts w:hint="eastAsia" w:ascii="Google Sans Text" w:hAnsi="Google Sans Text" w:eastAsia="Google Sans Text" w:cs="Google Sans Text"/>
          <w:color w:val="1F1F1F"/>
          <w:rtl w:val="0"/>
          <w:lang w:eastAsia="zh-CN"/>
        </w:rPr>
        <w:drawing>
          <wp:inline distT="0" distB="0" distL="114300" distR="114300">
            <wp:extent cx="5029200" cy="3657600"/>
            <wp:effectExtent l="0" t="0" r="0" b="0"/>
            <wp:docPr id="2" name="图片 2" descr="附录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录图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1AE6F2C-B160-D26D-FA0A-2F69401849EC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  <w:embedRegular r:id="rId2" w:fontKey="{16E3982B-F0C4-0B3B-FA0A-2F691B73E41C}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Georgia">
    <w:panose1 w:val="02040502050405090303"/>
    <w:charset w:val="00"/>
    <w:family w:val="auto"/>
    <w:pitch w:val="default"/>
    <w:sig w:usb0="00000287" w:usb1="00000000" w:usb2="00000000" w:usb3="00000000" w:csb0="2000009F" w:csb1="00000000"/>
  </w:font>
  <w:font w:name="Google San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Google Sans Tex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  <w:embedRegular r:id="rId3" w:fontKey="{74394213-992E-DEF6-FA0A-2F698864974E}"/>
  </w:font>
  <w:font w:name="Arial Bold">
    <w:panose1 w:val="020B0604020202090204"/>
    <w:charset w:val="00"/>
    <w:family w:val="auto"/>
    <w:pitch w:val="default"/>
    <w:sig w:usb0="E0000AFF" w:usb1="00007843" w:usb2="00000001" w:usb3="00000000" w:csb0="400001BF" w:csb1="DFF70000"/>
    <w:embedRegular r:id="rId4" w:fontKey="{733CEE12-381D-FDD0-FA0A-2F69B24EB1FD}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D70A18"/>
    <w:multiLevelType w:val="multilevel"/>
    <w:tmpl w:val="BBD70A18"/>
    <w:lvl w:ilvl="0" w:tentative="0">
      <w:start w:val="1"/>
      <w:numFmt w:val="decimal"/>
      <w:lvlText w:val="%1."/>
      <w:lvlJc w:val="left"/>
      <w:pPr>
        <w:ind w:left="480" w:hanging="360"/>
      </w:pPr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lvl>
    <w:lvl w:ilvl="1" w:tentative="0">
      <w:start w:val="1"/>
      <w:numFmt w:val="bullet"/>
      <w:lvlText w:val="○"/>
      <w:lvlJc w:val="left"/>
      <w:pPr>
        <w:ind w:left="885" w:hanging="360"/>
      </w:pPr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lvl>
    <w:lvl w:ilvl="3" w:tentative="0">
      <w:start w:val="1"/>
      <w:numFmt w:val="bullet"/>
      <w:lvlText w:val="■"/>
      <w:lvlJc w:val="left"/>
      <w:pPr>
        <w:ind w:left="2880" w:hanging="360"/>
      </w:pPr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lvl>
    <w:lvl w:ilvl="4" w:tentative="0">
      <w:start w:val="1"/>
      <w:numFmt w:val="bullet"/>
      <w:lvlText w:val="■"/>
      <w:lvlJc w:val="left"/>
      <w:pPr>
        <w:ind w:left="3600" w:hanging="360"/>
      </w:pPr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lvl>
    <w:lvl w:ilvl="6" w:tentative="0">
      <w:start w:val="1"/>
      <w:numFmt w:val="bullet"/>
      <w:lvlText w:val="■"/>
      <w:lvlJc w:val="left"/>
      <w:pPr>
        <w:ind w:left="5040" w:hanging="360"/>
      </w:pPr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lvl>
    <w:lvl w:ilvl="7" w:tentative="0">
      <w:start w:val="1"/>
      <w:numFmt w:val="bullet"/>
      <w:lvlText w:val="■"/>
      <w:lvlJc w:val="left"/>
      <w:pPr>
        <w:ind w:left="5760" w:hanging="360"/>
      </w:pPr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lvl>
  </w:abstractNum>
  <w:abstractNum w:abstractNumId="1">
    <w:nsid w:val="EB3B3F2A"/>
    <w:multiLevelType w:val="multilevel"/>
    <w:tmpl w:val="EB3B3F2A"/>
    <w:lvl w:ilvl="0" w:tentative="0">
      <w:start w:val="1"/>
      <w:numFmt w:val="decimal"/>
      <w:lvlText w:val="%1."/>
      <w:lvlJc w:val="left"/>
      <w:pPr>
        <w:ind w:left="480" w:hanging="360"/>
      </w:pPr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lvl>
    <w:lvl w:ilvl="1" w:tentative="0">
      <w:start w:val="1"/>
      <w:numFmt w:val="bullet"/>
      <w:lvlText w:val="○"/>
      <w:lvlJc w:val="left"/>
      <w:pPr>
        <w:ind w:left="885" w:hanging="360"/>
      </w:pPr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lvl>
    <w:lvl w:ilvl="3" w:tentative="0">
      <w:start w:val="1"/>
      <w:numFmt w:val="bullet"/>
      <w:lvlText w:val="■"/>
      <w:lvlJc w:val="left"/>
      <w:pPr>
        <w:ind w:left="2880" w:hanging="360"/>
      </w:pPr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lvl>
    <w:lvl w:ilvl="4" w:tentative="0">
      <w:start w:val="1"/>
      <w:numFmt w:val="bullet"/>
      <w:lvlText w:val="■"/>
      <w:lvlJc w:val="left"/>
      <w:pPr>
        <w:ind w:left="3600" w:hanging="360"/>
      </w:pPr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lvl>
    <w:lvl w:ilvl="6" w:tentative="0">
      <w:start w:val="1"/>
      <w:numFmt w:val="bullet"/>
      <w:lvlText w:val="■"/>
      <w:lvlJc w:val="left"/>
      <w:pPr>
        <w:ind w:left="5040" w:hanging="360"/>
      </w:pPr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lvl>
    <w:lvl w:ilvl="7" w:tentative="0">
      <w:start w:val="1"/>
      <w:numFmt w:val="bullet"/>
      <w:lvlText w:val="■"/>
      <w:lvlJc w:val="left"/>
      <w:pPr>
        <w:ind w:left="5760" w:hanging="360"/>
      </w:pPr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doNotDisplayPageBoundaries w:val="1"/>
  <w:embedTrueTypeFonts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compatSetting w:name="compatibilityMode" w:uri="http://schemas.microsoft.com/office/word" w:val="15"/>
  </w:compat>
  <w:rsids>
    <w:rsidRoot w:val="00000000"/>
    <w:rsid w:val="07EB655E"/>
    <w:rsid w:val="675DA1DB"/>
    <w:rsid w:val="77E95F9C"/>
    <w:rsid w:val="CBB7D0BE"/>
    <w:rsid w:val="FCCF7F6F"/>
    <w:rsid w:val="FFC7399B"/>
    <w:rsid w:val="FFF796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</w:pPr>
    <w:rPr>
      <w:rFonts w:ascii="Arial" w:hAnsi="Arial" w:eastAsia="Arial" w:cs="Arial"/>
      <w:sz w:val="22"/>
      <w:szCs w:val="22"/>
    </w:rPr>
  </w:style>
  <w:style w:type="paragraph" w:styleId="2">
    <w:name w:val="heading 1"/>
    <w:basedOn w:val="1"/>
    <w:next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240" w:after="240"/>
    </w:pPr>
    <w:rPr>
      <w:b/>
      <w:bCs/>
      <w:sz w:val="48"/>
      <w:szCs w:val="48"/>
    </w:rPr>
  </w:style>
  <w:style w:type="paragraph" w:styleId="3">
    <w:name w:val="heading 2"/>
    <w:basedOn w:val="1"/>
    <w:next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225" w:after="225"/>
    </w:pPr>
    <w:rPr>
      <w:b/>
      <w:bCs/>
      <w:sz w:val="36"/>
      <w:szCs w:val="36"/>
    </w:rPr>
  </w:style>
  <w:style w:type="paragraph" w:styleId="4">
    <w:name w:val="heading 3"/>
    <w:basedOn w:val="1"/>
    <w:next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240" w:after="240"/>
    </w:pPr>
    <w:rPr>
      <w:b/>
      <w:bCs/>
      <w:sz w:val="28"/>
      <w:szCs w:val="28"/>
    </w:rPr>
  </w:style>
  <w:style w:type="paragraph" w:styleId="5">
    <w:name w:val="heading 4"/>
    <w:basedOn w:val="1"/>
    <w:next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255" w:after="255"/>
    </w:pPr>
    <w:rPr>
      <w:b/>
      <w:bCs/>
      <w:sz w:val="24"/>
      <w:szCs w:val="24"/>
    </w:rPr>
  </w:style>
  <w:style w:type="paragraph" w:styleId="6">
    <w:name w:val="heading 5"/>
    <w:basedOn w:val="1"/>
    <w:next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255" w:after="255"/>
    </w:pPr>
    <w:rPr>
      <w:b/>
      <w:bCs/>
      <w:sz w:val="18"/>
      <w:szCs w:val="18"/>
    </w:rPr>
  </w:style>
  <w:style w:type="paragraph" w:styleId="7">
    <w:name w:val="heading 6"/>
    <w:basedOn w:val="1"/>
    <w:next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360" w:after="360"/>
    </w:pPr>
    <w:rPr>
      <w:b/>
      <w:bCs/>
      <w:sz w:val="16"/>
      <w:szCs w:val="16"/>
    </w:rPr>
  </w:style>
  <w:style w:type="character" w:default="1" w:styleId="13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Subtitle"/>
    <w:basedOn w:val="1"/>
    <w:next w:val="1"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9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Title"/>
    <w:basedOn w:val="1"/>
    <w:next w:val="1"/>
    <w:uiPriority w:val="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styleId="12">
    <w:name w:val="Table Grid"/>
    <w:basedOn w:val="11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">
    <w:name w:val="TableNormal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_Style 10"/>
    <w:basedOn w:val="14"/>
    <w:uiPriority w:val="0"/>
  </w:style>
  <w:style w:type="table" w:customStyle="1" w:styleId="16">
    <w:name w:val="_Style 11"/>
    <w:basedOn w:val="14"/>
    <w:uiPriority w:val="0"/>
  </w:style>
  <w:style w:type="table" w:customStyle="1" w:styleId="17">
    <w:name w:val="_Style 15"/>
    <w:basedOn w:val="14"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TotalTime>9</TotalTime>
  <ScaleCrop>false</ScaleCrop>
  <LinksUpToDate>false</LinksUpToDate>
  <Application>WPS Office_12.1.23540.23540_F1E327BC-269C-435d-A152-05C5408002CA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2025-11-26T16:11:00Z</dcterms:created>
  <dc:creator>Data</dc:creator>
  <cp:lastModifiedBy>罗遇林</cp:lastModifiedBy>
  <dcterms:modified xsi:type="dcterms:W3CDTF">2025-12-02T23:51:22Z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6918F7A862A347B4FA0A2F692B5FDE28_43</vt:lpwstr>
  </property>
</Properties>
</file>