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D0037" w14:textId="77777777" w:rsidR="00AA2855" w:rsidRPr="00F16233" w:rsidRDefault="00AA2855" w:rsidP="00AA2855">
      <w:pPr>
        <w:pStyle w:val="maincontent"/>
        <w:rPr>
          <w:b/>
          <w:bCs/>
        </w:rPr>
      </w:pPr>
      <w:r w:rsidRPr="00F16233">
        <w:rPr>
          <w:b/>
          <w:bCs/>
        </w:rPr>
        <w:t>Supplementary Materials</w:t>
      </w:r>
    </w:p>
    <w:p w14:paraId="140E0E02" w14:textId="77777777" w:rsidR="00AA2855" w:rsidRPr="00F16233" w:rsidRDefault="00AA2855" w:rsidP="00AA2855">
      <w:pPr>
        <w:pStyle w:val="maincontent"/>
        <w:rPr>
          <w:b/>
          <w:bCs/>
        </w:rPr>
      </w:pPr>
    </w:p>
    <w:p w14:paraId="7A3C15E6" w14:textId="77777777" w:rsidR="00AA2855" w:rsidRPr="00F16233" w:rsidRDefault="00AA2855" w:rsidP="00AA2855">
      <w:pPr>
        <w:pStyle w:val="maincontent"/>
        <w:rPr>
          <w:b/>
          <w:bCs/>
        </w:rPr>
      </w:pPr>
      <w:r w:rsidRPr="00F16233">
        <w:rPr>
          <w:b/>
          <w:bCs/>
        </w:rPr>
        <w:t>Contents:</w:t>
      </w:r>
    </w:p>
    <w:p w14:paraId="6E211B14" w14:textId="77777777" w:rsidR="00AA2855" w:rsidRPr="00F16233" w:rsidRDefault="00AA2855" w:rsidP="00AA2855">
      <w:pPr>
        <w:pStyle w:val="maincontent"/>
        <w:numPr>
          <w:ilvl w:val="0"/>
          <w:numId w:val="1"/>
        </w:numPr>
      </w:pPr>
      <w:r w:rsidRPr="00F16233">
        <w:t>Supplementary Figures S1</w:t>
      </w:r>
    </w:p>
    <w:p w14:paraId="0718B84B" w14:textId="77777777" w:rsidR="00AA2855" w:rsidRPr="00F16233" w:rsidRDefault="00AA2855" w:rsidP="00AA2855">
      <w:pPr>
        <w:pStyle w:val="maincontent"/>
        <w:numPr>
          <w:ilvl w:val="0"/>
          <w:numId w:val="1"/>
        </w:numPr>
      </w:pPr>
      <w:r w:rsidRPr="00F16233">
        <w:t>Supplementary Figures S2</w:t>
      </w:r>
    </w:p>
    <w:p w14:paraId="5A62C99F" w14:textId="77777777" w:rsidR="00AA2855" w:rsidRPr="00F16233" w:rsidRDefault="00AA2855" w:rsidP="00AA2855">
      <w:pPr>
        <w:pStyle w:val="maincontent"/>
        <w:numPr>
          <w:ilvl w:val="0"/>
          <w:numId w:val="1"/>
        </w:numPr>
      </w:pPr>
      <w:r w:rsidRPr="00F16233">
        <w:t>Supplementary Figures S3</w:t>
      </w:r>
    </w:p>
    <w:p w14:paraId="1ADDB154" w14:textId="54637825" w:rsidR="00AA2855" w:rsidRPr="00F16233" w:rsidRDefault="00D36E5D" w:rsidP="00D36E5D">
      <w:pPr>
        <w:pStyle w:val="maincontent"/>
        <w:numPr>
          <w:ilvl w:val="0"/>
          <w:numId w:val="1"/>
        </w:numPr>
      </w:pPr>
      <w:r w:rsidRPr="00F16233">
        <w:t>Supplementary Figure S4</w:t>
      </w:r>
    </w:p>
    <w:p w14:paraId="45E8B1D1" w14:textId="77777777" w:rsidR="00AA2855" w:rsidRPr="00F16233" w:rsidRDefault="00AA2855" w:rsidP="00AA2855">
      <w:pPr>
        <w:pStyle w:val="maincontent"/>
      </w:pPr>
    </w:p>
    <w:p w14:paraId="0AFA71A6" w14:textId="77777777" w:rsidR="00AA2855" w:rsidRPr="00F16233" w:rsidRDefault="00AA2855" w:rsidP="00AA2855">
      <w:pPr>
        <w:rPr>
          <w:rFonts w:ascii="Times New Roman" w:hAnsi="Times New Roman" w:cs="Times New Roman"/>
        </w:rPr>
      </w:pPr>
      <w:r w:rsidRPr="00F16233">
        <w:rPr>
          <w:rFonts w:ascii="Times New Roman" w:hAnsi="Times New Roman" w:cs="Times New Roman"/>
        </w:rPr>
        <w:br w:type="page"/>
      </w:r>
    </w:p>
    <w:p w14:paraId="44E6B529" w14:textId="77777777" w:rsidR="00AA2855" w:rsidRPr="00F16233" w:rsidRDefault="00AA2855" w:rsidP="00AA2855">
      <w:pPr>
        <w:pStyle w:val="maincontent"/>
      </w:pPr>
      <w:r w:rsidRPr="00F16233">
        <w:rPr>
          <w:noProof/>
        </w:rPr>
        <w:lastRenderedPageBreak/>
        <w:drawing>
          <wp:inline distT="0" distB="0" distL="0" distR="0" wp14:anchorId="02C50871" wp14:editId="4BAEE612">
            <wp:extent cx="5937885" cy="3710305"/>
            <wp:effectExtent l="0" t="0" r="5715" b="4445"/>
            <wp:docPr id="863035022" name="Picture 2" descr="A colorful chart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35022" name="Picture 2" descr="A colorful chart with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0C726" w14:textId="77777777" w:rsidR="00AA2855" w:rsidRPr="00F16233" w:rsidRDefault="00AA2855" w:rsidP="00AA2855">
      <w:pPr>
        <w:pStyle w:val="maincontent"/>
      </w:pPr>
      <w:r w:rsidRPr="00F16233">
        <w:rPr>
          <w:noProof/>
        </w:rPr>
        <w:drawing>
          <wp:inline distT="0" distB="0" distL="0" distR="0" wp14:anchorId="77E7FF11" wp14:editId="09FD0B80">
            <wp:extent cx="5937885" cy="3710305"/>
            <wp:effectExtent l="0" t="0" r="5715" b="4445"/>
            <wp:docPr id="7363109" name="Picture 3" descr="A colorful grid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109" name="Picture 3" descr="A colorful grid with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4F42B" w14:textId="77777777" w:rsidR="00AA2855" w:rsidRPr="00F16233" w:rsidRDefault="00AA2855" w:rsidP="00AA2855">
      <w:pPr>
        <w:pStyle w:val="maincontent"/>
        <w:ind w:firstLine="0"/>
        <w:jc w:val="left"/>
      </w:pPr>
      <w:r w:rsidRPr="00F16233">
        <w:rPr>
          <w:b/>
          <w:bCs/>
        </w:rPr>
        <w:t>Supplementary Figure S1.</w:t>
      </w:r>
      <w:r w:rsidRPr="00F16233">
        <w:t xml:space="preserve"> (a) historical and (b) synthetic annual correlations across system inflow locations.</w:t>
      </w:r>
    </w:p>
    <w:p w14:paraId="4237D6A9" w14:textId="77777777" w:rsidR="00AA2855" w:rsidRPr="00F16233" w:rsidRDefault="00AA2855" w:rsidP="00AA2855">
      <w:pPr>
        <w:pStyle w:val="maincontent"/>
        <w:ind w:firstLine="0"/>
        <w:jc w:val="left"/>
      </w:pPr>
    </w:p>
    <w:p w14:paraId="7332DE58" w14:textId="77777777" w:rsidR="00AA2855" w:rsidRPr="00F16233" w:rsidRDefault="00AA2855" w:rsidP="00AA2855">
      <w:pPr>
        <w:pStyle w:val="maincontent"/>
        <w:ind w:firstLine="0"/>
        <w:jc w:val="left"/>
      </w:pPr>
      <w:r w:rsidRPr="00F16233">
        <w:rPr>
          <w:noProof/>
        </w:rPr>
        <w:lastRenderedPageBreak/>
        <w:drawing>
          <wp:inline distT="0" distB="0" distL="0" distR="0" wp14:anchorId="6997C924" wp14:editId="73652302">
            <wp:extent cx="5936615" cy="3394075"/>
            <wp:effectExtent l="0" t="0" r="6985" b="0"/>
            <wp:docPr id="2080667821" name="Picture 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67821" name="Picture 3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8C4B8" w14:textId="77777777" w:rsidR="00AA2855" w:rsidRPr="00F16233" w:rsidRDefault="00AA2855" w:rsidP="00AA2855">
      <w:pPr>
        <w:pStyle w:val="maincontent"/>
        <w:ind w:firstLine="0"/>
        <w:jc w:val="left"/>
      </w:pPr>
      <w:r w:rsidRPr="00F16233">
        <w:rPr>
          <w:b/>
          <w:bCs/>
        </w:rPr>
        <w:t>Supplementary</w:t>
      </w:r>
      <w:r w:rsidRPr="00F16233">
        <w:t xml:space="preserve"> </w:t>
      </w:r>
      <w:r w:rsidRPr="00F16233">
        <w:rPr>
          <w:b/>
          <w:bCs/>
        </w:rPr>
        <w:t xml:space="preserve">Figure S2. </w:t>
      </w:r>
      <w:r w:rsidRPr="00F16233">
        <w:t xml:space="preserve">Comparison of the observed and simulated storage for the state (SWP) and federal (CVP) portions of the San Luis Reservoir from October 1996 to September 2024: daily time series (left), and monthly storage levels with R² (right). </w:t>
      </w:r>
    </w:p>
    <w:p w14:paraId="76EF65F0" w14:textId="77777777" w:rsidR="00AA2855" w:rsidRPr="00F16233" w:rsidRDefault="00AA2855" w:rsidP="00AA2855">
      <w:pPr>
        <w:pStyle w:val="maincontent"/>
        <w:ind w:firstLine="0"/>
        <w:jc w:val="left"/>
      </w:pPr>
    </w:p>
    <w:p w14:paraId="592690A3" w14:textId="77777777" w:rsidR="00AA2855" w:rsidRPr="00F16233" w:rsidRDefault="00AA2855" w:rsidP="00AA2855">
      <w:pPr>
        <w:pStyle w:val="maincontent"/>
        <w:ind w:firstLine="0"/>
        <w:jc w:val="left"/>
      </w:pPr>
      <w:r w:rsidRPr="00F16233">
        <w:rPr>
          <w:noProof/>
        </w:rPr>
        <w:drawing>
          <wp:inline distT="0" distB="0" distL="0" distR="0" wp14:anchorId="18C68FCF" wp14:editId="5A6CD2AA">
            <wp:extent cx="5937250" cy="2965450"/>
            <wp:effectExtent l="0" t="0" r="6350" b="6350"/>
            <wp:docPr id="600680355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80355" name="Picture 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AA89" w14:textId="77777777" w:rsidR="00AA2855" w:rsidRPr="00F16233" w:rsidRDefault="00AA2855" w:rsidP="00AA2855">
      <w:pPr>
        <w:pStyle w:val="maincontent"/>
        <w:ind w:firstLine="0"/>
        <w:jc w:val="left"/>
      </w:pPr>
      <w:r w:rsidRPr="00F16233">
        <w:rPr>
          <w:b/>
          <w:bCs/>
        </w:rPr>
        <w:t>Supplementary</w:t>
      </w:r>
      <w:r w:rsidRPr="00F16233">
        <w:t xml:space="preserve"> </w:t>
      </w:r>
      <w:r w:rsidRPr="00F16233">
        <w:rPr>
          <w:b/>
          <w:bCs/>
        </w:rPr>
        <w:t>Figure S3</w:t>
      </w:r>
      <w:r w:rsidRPr="00F16233">
        <w:t>. Comparison of observed and simulated daily time series for the 12 major surface water reservoirs modeled in CALFEWS (excluding San Luis Reservoir) from October 1996 to September 2024.</w:t>
      </w:r>
    </w:p>
    <w:p w14:paraId="6AA62421" w14:textId="77777777" w:rsidR="00AA2855" w:rsidRPr="00F16233" w:rsidRDefault="00AA2855" w:rsidP="00AA2855">
      <w:pPr>
        <w:rPr>
          <w:rFonts w:ascii="Times New Roman" w:hAnsi="Times New Roman" w:cs="Times New Roman"/>
        </w:rPr>
      </w:pPr>
      <w:r w:rsidRPr="00F16233">
        <w:rPr>
          <w:rFonts w:ascii="Times New Roman" w:hAnsi="Times New Roman" w:cs="Times New Roman"/>
        </w:rPr>
        <w:br w:type="page"/>
      </w:r>
    </w:p>
    <w:p w14:paraId="67BEB506" w14:textId="77777777" w:rsidR="00E47ADF" w:rsidRPr="00F16233" w:rsidRDefault="00E47ADF" w:rsidP="00E47ADF">
      <w:pPr>
        <w:pStyle w:val="ListParagraph"/>
        <w:ind w:left="0"/>
        <w:rPr>
          <w:rFonts w:ascii="Times New Roman" w:hAnsi="Times New Roman" w:cs="Times New Roman"/>
          <w:b/>
          <w:bCs/>
          <w:i/>
          <w:iCs/>
          <w:noProof/>
        </w:rPr>
      </w:pPr>
      <w:r w:rsidRPr="00F16233">
        <w:rPr>
          <w:rFonts w:ascii="Times New Roman" w:hAnsi="Times New Roman" w:cs="Times New Roman"/>
          <w:b/>
          <w:bCs/>
          <w:i/>
          <w:iCs/>
          <w:noProof/>
        </w:rPr>
        <w:lastRenderedPageBreak/>
        <w:drawing>
          <wp:inline distT="0" distB="0" distL="0" distR="0" wp14:anchorId="45456A5A" wp14:editId="5B3D33AB">
            <wp:extent cx="5937250" cy="2743200"/>
            <wp:effectExtent l="0" t="0" r="6350" b="0"/>
            <wp:docPr id="553191087" name="Picture 4" descr="A graph of a fun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91087" name="Picture 4" descr="A graph of a func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3836B" w14:textId="5C524566" w:rsidR="00E47ADF" w:rsidRPr="00F16233" w:rsidRDefault="00E47ADF" w:rsidP="00E47ADF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F16233">
        <w:rPr>
          <w:rFonts w:ascii="Times New Roman" w:hAnsi="Times New Roman" w:cs="Times New Roman"/>
          <w:b/>
          <w:bCs/>
        </w:rPr>
        <w:t>Supplementary</w:t>
      </w:r>
      <w:r w:rsidRPr="00F16233">
        <w:rPr>
          <w:rFonts w:ascii="Times New Roman" w:hAnsi="Times New Roman" w:cs="Times New Roman"/>
        </w:rPr>
        <w:t xml:space="preserve"> </w:t>
      </w:r>
      <w:r w:rsidRPr="00F16233">
        <w:rPr>
          <w:rFonts w:ascii="Times New Roman" w:hAnsi="Times New Roman" w:cs="Times New Roman"/>
          <w:b/>
          <w:bCs/>
        </w:rPr>
        <w:t xml:space="preserve">Figure </w:t>
      </w:r>
      <w:r w:rsidRPr="00F16233">
        <w:rPr>
          <w:rFonts w:ascii="Times New Roman" w:hAnsi="Times New Roman" w:cs="Times New Roman"/>
          <w:b/>
          <w:bCs/>
        </w:rPr>
        <w:t>S4</w:t>
      </w:r>
      <w:r w:rsidRPr="00F16233">
        <w:rPr>
          <w:rFonts w:ascii="Times New Roman" w:hAnsi="Times New Roman" w:cs="Times New Roman"/>
          <w:b/>
          <w:bCs/>
        </w:rPr>
        <w:t xml:space="preserve">. Daily FNF Distribution for Historical and Synthetic Datasets. </w:t>
      </w:r>
      <w:r w:rsidRPr="00F16233">
        <w:rPr>
          <w:rFonts w:ascii="Times New Roman" w:hAnsi="Times New Roman" w:cs="Times New Roman"/>
        </w:rPr>
        <w:t xml:space="preserve">Each subfigure displays the non-exceedance curves for daily FNF, with distributions presented for the following regions: (a) the cumulative surface water reservoirs north of Millerton Lake, comprising Shasta, Oroville, New </w:t>
      </w:r>
      <w:proofErr w:type="spellStart"/>
      <w:r w:rsidRPr="00F16233">
        <w:rPr>
          <w:rFonts w:ascii="Times New Roman" w:hAnsi="Times New Roman" w:cs="Times New Roman"/>
        </w:rPr>
        <w:t>Bullards</w:t>
      </w:r>
      <w:proofErr w:type="spellEnd"/>
      <w:r w:rsidRPr="00F16233">
        <w:rPr>
          <w:rFonts w:ascii="Times New Roman" w:hAnsi="Times New Roman" w:cs="Times New Roman"/>
        </w:rPr>
        <w:t xml:space="preserve"> Bar, Folsom, New Melones, Don Pedro, and McClure; (b) Millerton Lake; and (c) the cumulative surface water reservoirs south of Millerton Lake, including Pine Flat, Kaweah, Success, and Isabella. The label "Historical" corresponds to the 119-year historical FNF, while "Synthetic" refers to the 100 one-year synthetic flow scenarios.</w:t>
      </w:r>
    </w:p>
    <w:p w14:paraId="206A7F3D" w14:textId="77777777" w:rsidR="00545971" w:rsidRPr="00F16233" w:rsidRDefault="00545971">
      <w:pPr>
        <w:rPr>
          <w:rFonts w:ascii="Times New Roman" w:hAnsi="Times New Roman" w:cs="Times New Roman"/>
        </w:rPr>
      </w:pPr>
    </w:p>
    <w:sectPr w:rsidR="00545971" w:rsidRPr="00F162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6D6031"/>
    <w:multiLevelType w:val="hybridMultilevel"/>
    <w:tmpl w:val="4ACC0CB6"/>
    <w:lvl w:ilvl="0" w:tplc="1C2C1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2876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84"/>
    <w:rsid w:val="003F2459"/>
    <w:rsid w:val="00427293"/>
    <w:rsid w:val="00545971"/>
    <w:rsid w:val="005C0B9F"/>
    <w:rsid w:val="007611F9"/>
    <w:rsid w:val="009F0484"/>
    <w:rsid w:val="00AA2855"/>
    <w:rsid w:val="00B94417"/>
    <w:rsid w:val="00CB170C"/>
    <w:rsid w:val="00D36E5D"/>
    <w:rsid w:val="00E47ADF"/>
    <w:rsid w:val="00F16233"/>
    <w:rsid w:val="00F6524C"/>
    <w:rsid w:val="00FE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27291"/>
  <w15:chartTrackingRefBased/>
  <w15:docId w15:val="{8ECD1BF7-65C8-47F6-AFEF-3FFAE9EA3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855"/>
  </w:style>
  <w:style w:type="paragraph" w:styleId="Heading1">
    <w:name w:val="heading 1"/>
    <w:basedOn w:val="Normal"/>
    <w:next w:val="Normal"/>
    <w:link w:val="Heading1Char"/>
    <w:uiPriority w:val="9"/>
    <w:qFormat/>
    <w:rsid w:val="009F04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04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04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04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4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04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04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04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04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4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04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04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04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4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04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04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04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04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04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04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04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04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04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0484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9F04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04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04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04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0484"/>
    <w:rPr>
      <w:b/>
      <w:bCs/>
      <w:smallCaps/>
      <w:color w:val="0F4761" w:themeColor="accent1" w:themeShade="BF"/>
      <w:spacing w:val="5"/>
    </w:rPr>
  </w:style>
  <w:style w:type="paragraph" w:customStyle="1" w:styleId="maincontent">
    <w:name w:val="main content"/>
    <w:basedOn w:val="ListParagraph"/>
    <w:link w:val="maincontentChar"/>
    <w:qFormat/>
    <w:rsid w:val="00AA2855"/>
    <w:pPr>
      <w:ind w:left="0" w:firstLine="720"/>
      <w:jc w:val="both"/>
    </w:pPr>
    <w:rPr>
      <w:rFonts w:ascii="Times New Roman" w:hAnsi="Times New Roman" w:cs="Times New Roman"/>
    </w:rPr>
  </w:style>
  <w:style w:type="character" w:customStyle="1" w:styleId="maincontentChar">
    <w:name w:val="main content Char"/>
    <w:basedOn w:val="DefaultParagraphFont"/>
    <w:link w:val="maincontent"/>
    <w:rsid w:val="00AA2855"/>
    <w:rPr>
      <w:rFonts w:ascii="Times New Roman" w:hAnsi="Times New Roman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47A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Dan</dc:creator>
  <cp:keywords/>
  <dc:description/>
  <cp:lastModifiedBy>Li, Dan</cp:lastModifiedBy>
  <cp:revision>5</cp:revision>
  <dcterms:created xsi:type="dcterms:W3CDTF">2025-05-26T16:32:00Z</dcterms:created>
  <dcterms:modified xsi:type="dcterms:W3CDTF">2025-11-24T02:32:00Z</dcterms:modified>
</cp:coreProperties>
</file>