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8E662" w14:textId="77777777" w:rsidR="00CB3FE5" w:rsidRDefault="00000000">
      <w:pPr>
        <w:rPr>
          <w:b/>
          <w:bCs/>
          <w:color w:val="4E81BD"/>
          <w:sz w:val="28"/>
          <w:szCs w:val="28"/>
        </w:rPr>
      </w:pPr>
      <w:r>
        <w:rPr>
          <w:b/>
          <w:bCs/>
          <w:color w:val="444746"/>
          <w:sz w:val="28"/>
          <w:szCs w:val="28"/>
          <w:highlight w:val="white"/>
        </w:rPr>
        <w:t>Enhanced Persistence of Ural Blocking under Strong Positive AO: The Role of North Atlantic Storm Tracks and PV Dynamics</w:t>
      </w:r>
    </w:p>
    <w:p w14:paraId="66DB1185" w14:textId="77777777" w:rsidR="00CB3FE5" w:rsidRDefault="00000000">
      <w:pPr>
        <w:pBdr>
          <w:top w:val="nil"/>
          <w:left w:val="nil"/>
          <w:bottom w:val="nil"/>
          <w:right w:val="nil"/>
          <w:between w:val="nil"/>
        </w:pBdr>
        <w:rPr>
          <w:sz w:val="24"/>
          <w:szCs w:val="24"/>
        </w:rPr>
      </w:pPr>
      <w:r>
        <w:t xml:space="preserve">Ho-Young </w:t>
      </w:r>
      <w:proofErr w:type="spellStart"/>
      <w:proofErr w:type="gramStart"/>
      <w:r>
        <w:t>Ku,</w:t>
      </w:r>
      <w:r>
        <w:rPr>
          <w:sz w:val="20"/>
          <w:szCs w:val="20"/>
          <w:vertAlign w:val="superscript"/>
        </w:rPr>
        <w:t>a</w:t>
      </w:r>
      <w:proofErr w:type="spellEnd"/>
      <w:proofErr w:type="gramEnd"/>
      <w:r>
        <w:t xml:space="preserve"> </w:t>
      </w:r>
      <w:proofErr w:type="spellStart"/>
      <w:r>
        <w:t>Hayeon</w:t>
      </w:r>
      <w:proofErr w:type="spellEnd"/>
      <w:r>
        <w:t xml:space="preserve"> </w:t>
      </w:r>
      <w:proofErr w:type="spellStart"/>
      <w:proofErr w:type="gramStart"/>
      <w:r>
        <w:t>Noh,</w:t>
      </w:r>
      <w:r>
        <w:rPr>
          <w:sz w:val="20"/>
          <w:szCs w:val="20"/>
          <w:vertAlign w:val="superscript"/>
        </w:rPr>
        <w:t>b</w:t>
      </w:r>
      <w:proofErr w:type="spellEnd"/>
      <w:proofErr w:type="gramEnd"/>
      <w:r>
        <w:t xml:space="preserve"> Muyin </w:t>
      </w:r>
      <w:proofErr w:type="spellStart"/>
      <w:proofErr w:type="gramStart"/>
      <w:r>
        <w:t>Wang,</w:t>
      </w:r>
      <w:r>
        <w:rPr>
          <w:sz w:val="20"/>
          <w:szCs w:val="20"/>
          <w:vertAlign w:val="superscript"/>
        </w:rPr>
        <w:t>c</w:t>
      </w:r>
      <w:proofErr w:type="gramEnd"/>
      <w:r>
        <w:rPr>
          <w:sz w:val="20"/>
          <w:szCs w:val="20"/>
          <w:vertAlign w:val="superscript"/>
        </w:rPr>
        <w:t>,d</w:t>
      </w:r>
      <w:proofErr w:type="spellEnd"/>
      <w:r>
        <w:rPr>
          <w:sz w:val="20"/>
          <w:szCs w:val="20"/>
        </w:rPr>
        <w:t xml:space="preserve"> </w:t>
      </w:r>
      <w:r>
        <w:t xml:space="preserve">James </w:t>
      </w:r>
      <w:proofErr w:type="spellStart"/>
      <w:proofErr w:type="gramStart"/>
      <w:r>
        <w:t>Overland,</w:t>
      </w:r>
      <w:r>
        <w:rPr>
          <w:sz w:val="20"/>
          <w:szCs w:val="20"/>
          <w:vertAlign w:val="superscript"/>
        </w:rPr>
        <w:t>d</w:t>
      </w:r>
      <w:proofErr w:type="spellEnd"/>
      <w:proofErr w:type="gramEnd"/>
      <w:r>
        <w:t xml:space="preserve"> Seong-Joong </w:t>
      </w:r>
      <w:proofErr w:type="spellStart"/>
      <w:proofErr w:type="gramStart"/>
      <w:r>
        <w:t>Kim,</w:t>
      </w:r>
      <w:r>
        <w:rPr>
          <w:sz w:val="20"/>
          <w:szCs w:val="20"/>
          <w:vertAlign w:val="superscript"/>
        </w:rPr>
        <w:t>e</w:t>
      </w:r>
      <w:proofErr w:type="gramEnd"/>
      <w:r>
        <w:rPr>
          <w:sz w:val="20"/>
          <w:szCs w:val="20"/>
          <w:vertAlign w:val="superscript"/>
        </w:rPr>
        <w:t>,f</w:t>
      </w:r>
      <w:proofErr w:type="spellEnd"/>
      <w:r>
        <w:t xml:space="preserve"> and Baek-Min Kim</w:t>
      </w:r>
      <w:r>
        <w:rPr>
          <w:sz w:val="20"/>
          <w:szCs w:val="20"/>
          <w:vertAlign w:val="superscript"/>
        </w:rPr>
        <w:t>a*</w:t>
      </w:r>
    </w:p>
    <w:p w14:paraId="7D3C05F0" w14:textId="77777777" w:rsidR="00CB3FE5" w:rsidRDefault="00000000">
      <w:pPr>
        <w:spacing w:after="160" w:line="240" w:lineRule="auto"/>
        <w:rPr>
          <w:i/>
          <w:iCs/>
          <w:sz w:val="20"/>
          <w:szCs w:val="20"/>
        </w:rPr>
      </w:pPr>
      <w:proofErr w:type="spellStart"/>
      <w:r>
        <w:rPr>
          <w:sz w:val="20"/>
          <w:szCs w:val="20"/>
          <w:vertAlign w:val="superscript"/>
        </w:rPr>
        <w:t>a</w:t>
      </w:r>
      <w:r>
        <w:rPr>
          <w:i/>
          <w:iCs/>
          <w:sz w:val="20"/>
          <w:szCs w:val="20"/>
        </w:rPr>
        <w:t>Division</w:t>
      </w:r>
      <w:proofErr w:type="spellEnd"/>
      <w:r>
        <w:rPr>
          <w:i/>
          <w:iCs/>
          <w:sz w:val="20"/>
          <w:szCs w:val="20"/>
        </w:rPr>
        <w:t xml:space="preserve"> of Earth Environmental System Sciences Major of Environmental Atmospheric Sciences, </w:t>
      </w:r>
      <w:proofErr w:type="spellStart"/>
      <w:r>
        <w:rPr>
          <w:i/>
          <w:iCs/>
          <w:sz w:val="20"/>
          <w:szCs w:val="20"/>
        </w:rPr>
        <w:t>Pukyong</w:t>
      </w:r>
      <w:proofErr w:type="spellEnd"/>
      <w:r>
        <w:rPr>
          <w:i/>
          <w:iCs/>
          <w:sz w:val="20"/>
          <w:szCs w:val="20"/>
        </w:rPr>
        <w:t xml:space="preserve"> National University, Busan, South Korea</w:t>
      </w:r>
    </w:p>
    <w:p w14:paraId="02BCB43D" w14:textId="77777777" w:rsidR="00CB3FE5" w:rsidRDefault="00000000">
      <w:pPr>
        <w:spacing w:after="160" w:line="240" w:lineRule="auto"/>
        <w:rPr>
          <w:i/>
          <w:iCs/>
          <w:sz w:val="20"/>
          <w:szCs w:val="20"/>
        </w:rPr>
      </w:pPr>
      <w:proofErr w:type="spellStart"/>
      <w:r>
        <w:rPr>
          <w:i/>
          <w:iCs/>
          <w:sz w:val="20"/>
          <w:szCs w:val="20"/>
          <w:vertAlign w:val="superscript"/>
        </w:rPr>
        <w:t>b</w:t>
      </w:r>
      <w:r>
        <w:rPr>
          <w:i/>
          <w:iCs/>
          <w:sz w:val="20"/>
          <w:szCs w:val="20"/>
        </w:rPr>
        <w:t>Climate</w:t>
      </w:r>
      <w:proofErr w:type="spellEnd"/>
      <w:r>
        <w:rPr>
          <w:i/>
          <w:iCs/>
          <w:sz w:val="20"/>
          <w:szCs w:val="20"/>
        </w:rPr>
        <w:t xml:space="preserve"> and Environmental Research Institute, Korea Institute of Science and Technology, Seoul, Republic of Korea</w:t>
      </w:r>
    </w:p>
    <w:p w14:paraId="1C5B38CB" w14:textId="77777777" w:rsidR="00CB3FE5" w:rsidRDefault="00000000">
      <w:pPr>
        <w:spacing w:after="160" w:line="240" w:lineRule="auto"/>
        <w:rPr>
          <w:i/>
          <w:iCs/>
          <w:sz w:val="20"/>
          <w:szCs w:val="20"/>
        </w:rPr>
      </w:pPr>
      <w:proofErr w:type="spellStart"/>
      <w:r>
        <w:rPr>
          <w:i/>
          <w:iCs/>
          <w:sz w:val="20"/>
          <w:szCs w:val="20"/>
          <w:vertAlign w:val="superscript"/>
        </w:rPr>
        <w:t>c</w:t>
      </w:r>
      <w:r>
        <w:rPr>
          <w:i/>
          <w:iCs/>
          <w:sz w:val="20"/>
          <w:szCs w:val="20"/>
        </w:rPr>
        <w:t>Cooperative</w:t>
      </w:r>
      <w:proofErr w:type="spellEnd"/>
      <w:r>
        <w:rPr>
          <w:i/>
          <w:iCs/>
          <w:sz w:val="20"/>
          <w:szCs w:val="20"/>
        </w:rPr>
        <w:t xml:space="preserve"> Institute for Climate, Ocean, and Ecosystem Studies, University of Washington, Seattle, WA, USA</w:t>
      </w:r>
    </w:p>
    <w:p w14:paraId="729E72CD" w14:textId="77777777" w:rsidR="00CB3FE5" w:rsidRDefault="00000000">
      <w:pPr>
        <w:spacing w:after="160" w:line="240" w:lineRule="auto"/>
        <w:rPr>
          <w:i/>
          <w:iCs/>
          <w:sz w:val="20"/>
          <w:szCs w:val="20"/>
        </w:rPr>
      </w:pPr>
      <w:proofErr w:type="spellStart"/>
      <w:r>
        <w:rPr>
          <w:i/>
          <w:iCs/>
          <w:sz w:val="20"/>
          <w:szCs w:val="20"/>
          <w:vertAlign w:val="superscript"/>
        </w:rPr>
        <w:t>d</w:t>
      </w:r>
      <w:r>
        <w:rPr>
          <w:i/>
          <w:iCs/>
          <w:sz w:val="20"/>
          <w:szCs w:val="20"/>
        </w:rPr>
        <w:t>NOAA</w:t>
      </w:r>
      <w:proofErr w:type="spellEnd"/>
      <w:r>
        <w:rPr>
          <w:i/>
          <w:iCs/>
          <w:sz w:val="20"/>
          <w:szCs w:val="20"/>
        </w:rPr>
        <w:t>/Pacific Marine Environmental Laboratory, Seattle, WA, United States of America</w:t>
      </w:r>
    </w:p>
    <w:p w14:paraId="43A71603" w14:textId="77777777" w:rsidR="00CB3FE5" w:rsidRDefault="00000000">
      <w:pPr>
        <w:spacing w:after="160" w:line="240" w:lineRule="auto"/>
        <w:rPr>
          <w:i/>
          <w:iCs/>
          <w:sz w:val="20"/>
          <w:szCs w:val="20"/>
        </w:rPr>
      </w:pPr>
      <w:proofErr w:type="spellStart"/>
      <w:r>
        <w:rPr>
          <w:i/>
          <w:iCs/>
          <w:sz w:val="20"/>
          <w:szCs w:val="20"/>
          <w:vertAlign w:val="superscript"/>
        </w:rPr>
        <w:t>e</w:t>
      </w:r>
      <w:r>
        <w:rPr>
          <w:i/>
          <w:iCs/>
          <w:sz w:val="20"/>
          <w:szCs w:val="20"/>
        </w:rPr>
        <w:t>Office</w:t>
      </w:r>
      <w:proofErr w:type="spellEnd"/>
      <w:r>
        <w:rPr>
          <w:i/>
          <w:iCs/>
          <w:sz w:val="20"/>
          <w:szCs w:val="20"/>
        </w:rPr>
        <w:t xml:space="preserve"> of Vice President, Korea Polar Research Institute, Incheon, South Korea</w:t>
      </w:r>
    </w:p>
    <w:p w14:paraId="7C044E5F" w14:textId="77777777" w:rsidR="00CB3FE5" w:rsidRDefault="00000000">
      <w:pPr>
        <w:spacing w:after="160" w:line="240" w:lineRule="auto"/>
        <w:rPr>
          <w:i/>
          <w:iCs/>
          <w:sz w:val="20"/>
          <w:szCs w:val="20"/>
        </w:rPr>
      </w:pPr>
      <w:proofErr w:type="spellStart"/>
      <w:r>
        <w:rPr>
          <w:i/>
          <w:iCs/>
          <w:sz w:val="20"/>
          <w:szCs w:val="20"/>
          <w:vertAlign w:val="superscript"/>
        </w:rPr>
        <w:t>f</w:t>
      </w:r>
      <w:r>
        <w:rPr>
          <w:i/>
          <w:iCs/>
          <w:sz w:val="20"/>
          <w:szCs w:val="20"/>
        </w:rPr>
        <w:t>KOPRI</w:t>
      </w:r>
      <w:proofErr w:type="spellEnd"/>
      <w:r>
        <w:rPr>
          <w:i/>
          <w:iCs/>
          <w:sz w:val="20"/>
          <w:szCs w:val="20"/>
        </w:rPr>
        <w:t xml:space="preserve"> School, University of Science and Technology, Incheon, South Korea</w:t>
      </w:r>
    </w:p>
    <w:p w14:paraId="4C3F982F" w14:textId="77777777" w:rsidR="00CB3FE5" w:rsidRDefault="00000000">
      <w:pPr>
        <w:spacing w:after="160" w:line="240" w:lineRule="auto"/>
      </w:pPr>
      <w:r>
        <w:t xml:space="preserve">Corresponding author: Baek-Min Kim, </w:t>
      </w:r>
      <w:hyperlink r:id="rId6">
        <w:r w:rsidR="00CB3FE5">
          <w:rPr>
            <w:color w:val="0000FF"/>
            <w:u w:val="single"/>
          </w:rPr>
          <w:t>baekmin@pknu.ac.kr</w:t>
        </w:r>
      </w:hyperlink>
    </w:p>
    <w:p w14:paraId="02931AA3" w14:textId="77777777" w:rsidR="00DC05A4" w:rsidRDefault="00DC05A4">
      <w:pPr>
        <w:rPr>
          <w:b/>
          <w:bCs/>
          <w:color w:val="4F81BD"/>
          <w:sz w:val="26"/>
          <w:szCs w:val="26"/>
        </w:rPr>
      </w:pPr>
      <w:r>
        <w:br w:type="page"/>
      </w:r>
    </w:p>
    <w:p w14:paraId="3DF805F3" w14:textId="33696DEA" w:rsidR="00CB3FE5" w:rsidRDefault="00000000" w:rsidP="00DC05A4">
      <w:pPr>
        <w:pStyle w:val="Heading2"/>
        <w:rPr>
          <w:rFonts w:ascii="Cambria" w:eastAsia="Cambria" w:hAnsi="Cambria" w:cs="Cambria"/>
        </w:rPr>
      </w:pPr>
      <w:r>
        <w:rPr>
          <w:rFonts w:ascii="Cambria" w:eastAsia="Cambria" w:hAnsi="Cambria" w:cs="Cambria"/>
        </w:rPr>
        <w:lastRenderedPageBreak/>
        <w:t xml:space="preserve">Supplementary </w:t>
      </w:r>
      <w:r w:rsidR="00DC05A4">
        <w:rPr>
          <w:rFonts w:ascii="Cambria" w:eastAsia="Cambria" w:hAnsi="Cambria" w:cs="Cambria"/>
        </w:rPr>
        <w:t xml:space="preserve">material </w:t>
      </w:r>
    </w:p>
    <w:p w14:paraId="1AFBF6C3" w14:textId="77777777" w:rsidR="00DC05A4" w:rsidRPr="00DC05A4" w:rsidRDefault="00DC05A4" w:rsidP="00DC05A4"/>
    <w:p w14:paraId="5D3A7F7B" w14:textId="77777777" w:rsidR="00DC05A4" w:rsidRDefault="00000000" w:rsidP="00DC05A4">
      <w:pPr>
        <w:jc w:val="center"/>
        <w:rPr>
          <w:b/>
          <w:bCs/>
          <w:sz w:val="20"/>
          <w:szCs w:val="20"/>
        </w:rPr>
      </w:pPr>
      <w:r>
        <w:rPr>
          <w:rFonts w:ascii="Malgun Gothic" w:eastAsia="Malgun Gothic" w:hAnsi="Malgun Gothic" w:cs="Malgun Gothic"/>
          <w:noProof/>
        </w:rPr>
        <w:drawing>
          <wp:inline distT="114300" distB="114300" distL="114300" distR="114300" wp14:anchorId="7CE88337" wp14:editId="7EFEDD6C">
            <wp:extent cx="5394448" cy="4189095"/>
            <wp:effectExtent l="0" t="0" r="0" b="0"/>
            <wp:docPr id="277065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394448" cy="4189095"/>
                    </a:xfrm>
                    <a:prstGeom prst="rect">
                      <a:avLst/>
                    </a:prstGeom>
                    <a:ln/>
                  </pic:spPr>
                </pic:pic>
              </a:graphicData>
            </a:graphic>
          </wp:inline>
        </w:drawing>
      </w:r>
    </w:p>
    <w:p w14:paraId="6F090514" w14:textId="61142774" w:rsidR="00CB3FE5" w:rsidRDefault="00000000" w:rsidP="00DC05A4">
      <w:pPr>
        <w:rPr>
          <w:b/>
          <w:bCs/>
          <w:sz w:val="20"/>
          <w:szCs w:val="20"/>
        </w:rPr>
      </w:pPr>
      <w:r>
        <w:rPr>
          <w:b/>
          <w:bCs/>
          <w:sz w:val="20"/>
          <w:szCs w:val="20"/>
        </w:rPr>
        <w:t xml:space="preserve">Figure S1. </w:t>
      </w:r>
      <w:r>
        <w:rPr>
          <w:sz w:val="20"/>
          <w:szCs w:val="20"/>
        </w:rPr>
        <w:t xml:space="preserve">Regression maps of (a–c) sea level pressure (SLP, </w:t>
      </w:r>
      <w:proofErr w:type="spellStart"/>
      <w:r>
        <w:rPr>
          <w:sz w:val="20"/>
          <w:szCs w:val="20"/>
        </w:rPr>
        <w:t>hPa</w:t>
      </w:r>
      <w:proofErr w:type="spellEnd"/>
      <w:r>
        <w:rPr>
          <w:sz w:val="20"/>
          <w:szCs w:val="20"/>
        </w:rPr>
        <w:t xml:space="preserve">) and (d–f) zonal wind at 300 </w:t>
      </w:r>
      <w:proofErr w:type="spellStart"/>
      <w:r>
        <w:rPr>
          <w:sz w:val="20"/>
          <w:szCs w:val="20"/>
        </w:rPr>
        <w:t>hPa</w:t>
      </w:r>
      <w:proofErr w:type="spellEnd"/>
      <w:r>
        <w:rPr>
          <w:sz w:val="20"/>
          <w:szCs w:val="20"/>
        </w:rPr>
        <w:t xml:space="preserve"> (U300, m s⁻¹) onto the Arctic Oscillation (AO) index (a, d) and the North Atlantic Oscillation (NAO) index (b, e) for DJF during 1982–2023, based on daily data.</w:t>
      </w:r>
    </w:p>
    <w:p w14:paraId="4814CD3F" w14:textId="77777777" w:rsidR="00CB3FE5" w:rsidRDefault="00CB3FE5">
      <w:pPr>
        <w:rPr>
          <w:rFonts w:ascii="Malgun Gothic" w:eastAsia="Malgun Gothic" w:hAnsi="Malgun Gothic" w:cs="Malgun Gothic"/>
        </w:rPr>
      </w:pPr>
    </w:p>
    <w:p w14:paraId="6112C2D3" w14:textId="77777777" w:rsidR="00CB3FE5" w:rsidRDefault="00000000">
      <w:pPr>
        <w:jc w:val="center"/>
      </w:pPr>
      <w:r>
        <w:rPr>
          <w:noProof/>
        </w:rPr>
        <w:lastRenderedPageBreak/>
        <w:drawing>
          <wp:inline distT="0" distB="0" distL="0" distR="0" wp14:anchorId="12816F99" wp14:editId="0AA301B3">
            <wp:extent cx="5104737" cy="5104737"/>
            <wp:effectExtent l="0" t="0" r="0" b="0"/>
            <wp:docPr id="1165629380" name="image1.png" descr="A group of graphs with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oup of graphs with different colored bars&#10;&#10;AI-generated content may be incorrect."/>
                    <pic:cNvPicPr preferRelativeResize="0"/>
                  </pic:nvPicPr>
                  <pic:blipFill>
                    <a:blip r:embed="rId8"/>
                    <a:srcRect/>
                    <a:stretch>
                      <a:fillRect/>
                    </a:stretch>
                  </pic:blipFill>
                  <pic:spPr>
                    <a:xfrm>
                      <a:off x="0" y="0"/>
                      <a:ext cx="5104737" cy="5104737"/>
                    </a:xfrm>
                    <a:prstGeom prst="rect">
                      <a:avLst/>
                    </a:prstGeom>
                    <a:ln/>
                  </pic:spPr>
                </pic:pic>
              </a:graphicData>
            </a:graphic>
          </wp:inline>
        </w:drawing>
      </w:r>
    </w:p>
    <w:p w14:paraId="27C909CC" w14:textId="77777777" w:rsidR="00CB3FE5" w:rsidRDefault="00000000">
      <w:pPr>
        <w:rPr>
          <w:sz w:val="20"/>
          <w:szCs w:val="20"/>
        </w:rPr>
      </w:pPr>
      <w:r>
        <w:rPr>
          <w:b/>
          <w:bCs/>
          <w:sz w:val="20"/>
          <w:szCs w:val="20"/>
        </w:rPr>
        <w:t xml:space="preserve">Figure S2. Distribution of UB duration under different AO conditions. </w:t>
      </w:r>
      <w:r>
        <w:rPr>
          <w:sz w:val="20"/>
          <w:szCs w:val="20"/>
        </w:rPr>
        <w:t>Histograms show the frequency of Ural blocking duration for (a) weak positive AO, (b) strong positive AO, (c) weak negative AO, and (d) strong negative AO. Each panel indicates the mean duration and the proportion of short (&lt;5 days) and long (≥5 days) events. Longer-lasting UB events are more frequent under strong positive AO conditions. AO groups are defined based on the averaged AO index from 7 to 3 days before UB onset: strong positive AO (AO &gt; 1), weak positive AO (0 &lt; AO ≤ 1), weak negative AO (−1 ≤ AO &lt; 0), and strong negative AO (AO &lt; −1).</w:t>
      </w:r>
    </w:p>
    <w:p w14:paraId="66899539" w14:textId="77777777" w:rsidR="00CB3FE5" w:rsidRDefault="00000000">
      <w:pPr>
        <w:jc w:val="center"/>
        <w:rPr>
          <w:color w:val="0070C0"/>
        </w:rPr>
      </w:pPr>
      <w:r>
        <w:rPr>
          <w:noProof/>
          <w:color w:val="0070C0"/>
        </w:rPr>
        <w:lastRenderedPageBreak/>
        <mc:AlternateContent>
          <mc:Choice Requires="wpg">
            <w:drawing>
              <wp:inline distT="0" distB="0" distL="0" distR="0" wp14:anchorId="2A84DD96" wp14:editId="463587C0">
                <wp:extent cx="3975652" cy="4447080"/>
                <wp:effectExtent l="0" t="0" r="0" b="0"/>
                <wp:docPr id="4" name="Group 4"/>
                <wp:cNvGraphicFramePr/>
                <a:graphic xmlns:a="http://schemas.openxmlformats.org/drawingml/2006/main">
                  <a:graphicData uri="http://schemas.microsoft.com/office/word/2010/wordprocessingGroup">
                    <wpg:wgp>
                      <wpg:cNvGrpSpPr/>
                      <wpg:grpSpPr>
                        <a:xfrm>
                          <a:off x="0" y="0"/>
                          <a:ext cx="3975652" cy="4447080"/>
                          <a:chOff x="3358150" y="1556450"/>
                          <a:chExt cx="3975700" cy="4447100"/>
                        </a:xfrm>
                      </wpg:grpSpPr>
                      <wpg:grpSp>
                        <wpg:cNvPr id="498133144" name="Group 498133144"/>
                        <wpg:cNvGrpSpPr/>
                        <wpg:grpSpPr>
                          <a:xfrm>
                            <a:off x="3358174" y="1556460"/>
                            <a:ext cx="3975652" cy="4447080"/>
                            <a:chOff x="0" y="0"/>
                            <a:chExt cx="6375400" cy="7131625"/>
                          </a:xfrm>
                        </wpg:grpSpPr>
                        <wps:wsp>
                          <wps:cNvPr id="2020787158" name="Rectangle 2020787158"/>
                          <wps:cNvSpPr/>
                          <wps:spPr>
                            <a:xfrm>
                              <a:off x="0" y="0"/>
                              <a:ext cx="6375400" cy="7131625"/>
                            </a:xfrm>
                            <a:prstGeom prst="rect">
                              <a:avLst/>
                            </a:prstGeom>
                            <a:noFill/>
                            <a:ln>
                              <a:noFill/>
                            </a:ln>
                          </wps:spPr>
                          <wps:txbx>
                            <w:txbxContent>
                              <w:p w14:paraId="7BE82621" w14:textId="77777777" w:rsidR="00CB3FE5" w:rsidRDefault="00CB3FE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9">
                              <a:alphaModFix/>
                            </a:blip>
                            <a:srcRect/>
                            <a:stretch/>
                          </pic:blipFill>
                          <pic:spPr>
                            <a:xfrm>
                              <a:off x="0" y="4642425"/>
                              <a:ext cx="6375400" cy="2489200"/>
                            </a:xfrm>
                            <a:prstGeom prst="rect">
                              <a:avLst/>
                            </a:prstGeom>
                            <a:noFill/>
                            <a:ln>
                              <a:noFill/>
                            </a:ln>
                          </pic:spPr>
                        </pic:pic>
                        <pic:pic xmlns:pic="http://schemas.openxmlformats.org/drawingml/2006/picture">
                          <pic:nvPicPr>
                            <pic:cNvPr id="24" name="Shape 24"/>
                            <pic:cNvPicPr preferRelativeResize="0"/>
                          </pic:nvPicPr>
                          <pic:blipFill rotWithShape="1">
                            <a:blip r:embed="rId10">
                              <a:alphaModFix/>
                            </a:blip>
                            <a:srcRect/>
                            <a:stretch/>
                          </pic:blipFill>
                          <pic:spPr>
                            <a:xfrm>
                              <a:off x="0" y="0"/>
                              <a:ext cx="6375400" cy="4559300"/>
                            </a:xfrm>
                            <a:prstGeom prst="rect">
                              <a:avLst/>
                            </a:prstGeom>
                            <a:noFill/>
                            <a:ln>
                              <a:noFill/>
                            </a:ln>
                          </pic:spPr>
                        </pic:pic>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975652" cy="4447080"/>
                <wp:effectExtent b="0" l="0" r="0" t="0"/>
                <wp:docPr id="4"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3975652" cy="4447080"/>
                        </a:xfrm>
                        <a:prstGeom prst="rect"/>
                        <a:ln/>
                      </pic:spPr>
                    </pic:pic>
                  </a:graphicData>
                </a:graphic>
              </wp:inline>
            </w:drawing>
          </mc:Fallback>
        </mc:AlternateContent>
      </w:r>
    </w:p>
    <w:p w14:paraId="472E9BCD" w14:textId="77777777" w:rsidR="00CB3FE5" w:rsidRDefault="00000000">
      <w:pPr>
        <w:spacing w:after="0"/>
        <w:rPr>
          <w:sz w:val="20"/>
          <w:szCs w:val="20"/>
        </w:rPr>
      </w:pPr>
      <w:r>
        <w:rPr>
          <w:b/>
          <w:bCs/>
          <w:sz w:val="20"/>
          <w:szCs w:val="20"/>
        </w:rPr>
        <w:t>Figure S3.</w:t>
      </w:r>
      <w:r>
        <w:rPr>
          <w:sz w:val="20"/>
          <w:szCs w:val="20"/>
        </w:rPr>
        <w:t xml:space="preserve"> Composite analysis of 300-hPa zonal wind (U wind, m/s) under different positive AO conditions: (a) strong positive AO days (AO index &gt; 1; 1194 days) and (b) weak positive AO days (0 &lt; AO index ≤ 1; 738 days). (c) Difference between strong and weak positive AO composites (a - b). Shading indicates wind speed in m/s.</w:t>
      </w:r>
    </w:p>
    <w:p w14:paraId="621BD71F" w14:textId="77777777" w:rsidR="00CB3FE5" w:rsidRDefault="00000000">
      <w:pPr>
        <w:ind w:firstLine="720"/>
        <w:jc w:val="center"/>
        <w:rPr>
          <w:color w:val="0070C0"/>
        </w:rPr>
      </w:pPr>
      <w:r>
        <w:rPr>
          <w:noProof/>
          <w:color w:val="0070C0"/>
        </w:rPr>
        <w:lastRenderedPageBreak/>
        <w:drawing>
          <wp:inline distT="0" distB="0" distL="0" distR="0" wp14:anchorId="0EA5BCCD" wp14:editId="42478F44">
            <wp:extent cx="2905802" cy="3129324"/>
            <wp:effectExtent l="0" t="0" r="6350" b="3810"/>
            <wp:docPr id="12" name="image6.png" descr="A map of the earth with different colored sp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map of the earth with different colored spots&#10;&#10;AI-generated content may be incorrect."/>
                    <pic:cNvPicPr preferRelativeResize="0"/>
                  </pic:nvPicPr>
                  <pic:blipFill>
                    <a:blip r:embed="rId17"/>
                    <a:srcRect/>
                    <a:stretch>
                      <a:fillRect/>
                    </a:stretch>
                  </pic:blipFill>
                  <pic:spPr>
                    <a:xfrm>
                      <a:off x="0" y="0"/>
                      <a:ext cx="2905802" cy="3129324"/>
                    </a:xfrm>
                    <a:prstGeom prst="rect">
                      <a:avLst/>
                    </a:prstGeom>
                    <a:ln/>
                  </pic:spPr>
                </pic:pic>
              </a:graphicData>
            </a:graphic>
          </wp:inline>
        </w:drawing>
      </w:r>
    </w:p>
    <w:p w14:paraId="61189D52" w14:textId="77777777" w:rsidR="00CB3FE5" w:rsidRDefault="00000000">
      <w:pPr>
        <w:spacing w:after="0"/>
        <w:rPr>
          <w:sz w:val="20"/>
          <w:szCs w:val="20"/>
        </w:rPr>
      </w:pPr>
      <w:r>
        <w:rPr>
          <w:b/>
          <w:bCs/>
          <w:sz w:val="20"/>
          <w:szCs w:val="20"/>
        </w:rPr>
        <w:t>Figure S4.</w:t>
      </w:r>
      <w:r>
        <w:rPr>
          <w:sz w:val="20"/>
          <w:szCs w:val="20"/>
        </w:rPr>
        <w:t xml:space="preserve"> Regression of sea ice concentration (SIC, %) onto the positive AO index for AO &gt; 0 days (1932 days). Shading indicates the percentage change in SIC per unit increase in the AO index. Cross-hatched areas denote regions where the regression is not statistically significant at the 95% confidence level. </w:t>
      </w:r>
    </w:p>
    <w:p w14:paraId="0858438F" w14:textId="77777777" w:rsidR="00CB3FE5" w:rsidRDefault="00CB3FE5">
      <w:pPr>
        <w:spacing w:after="0"/>
        <w:rPr>
          <w:sz w:val="20"/>
          <w:szCs w:val="20"/>
        </w:rPr>
      </w:pPr>
    </w:p>
    <w:p w14:paraId="63672D31" w14:textId="77777777" w:rsidR="001D19C3" w:rsidRDefault="001D19C3">
      <w:pPr>
        <w:spacing w:after="0"/>
        <w:rPr>
          <w:sz w:val="20"/>
          <w:szCs w:val="20"/>
        </w:rPr>
      </w:pPr>
    </w:p>
    <w:p w14:paraId="3D248696" w14:textId="77777777" w:rsidR="00CB3FE5" w:rsidRDefault="00000000">
      <w:pPr>
        <w:spacing w:after="0"/>
        <w:rPr>
          <w:sz w:val="20"/>
          <w:szCs w:val="20"/>
        </w:rPr>
      </w:pPr>
      <w:r>
        <w:rPr>
          <w:noProof/>
          <w:sz w:val="20"/>
          <w:szCs w:val="20"/>
        </w:rPr>
        <w:drawing>
          <wp:inline distT="0" distB="0" distL="0" distR="0" wp14:anchorId="0B587BDE" wp14:editId="3FDF847E">
            <wp:extent cx="5486400" cy="2050415"/>
            <wp:effectExtent l="0" t="0" r="0" b="0"/>
            <wp:docPr id="10" name="image3.png" descr="A map of the eart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map of the earth&#10;&#10;AI-generated content may be incorrect."/>
                    <pic:cNvPicPr preferRelativeResize="0"/>
                  </pic:nvPicPr>
                  <pic:blipFill>
                    <a:blip r:embed="rId18"/>
                    <a:srcRect/>
                    <a:stretch>
                      <a:fillRect/>
                    </a:stretch>
                  </pic:blipFill>
                  <pic:spPr>
                    <a:xfrm>
                      <a:off x="0" y="0"/>
                      <a:ext cx="5486400" cy="2050415"/>
                    </a:xfrm>
                    <a:prstGeom prst="rect">
                      <a:avLst/>
                    </a:prstGeom>
                    <a:ln/>
                  </pic:spPr>
                </pic:pic>
              </a:graphicData>
            </a:graphic>
          </wp:inline>
        </w:drawing>
      </w:r>
    </w:p>
    <w:p w14:paraId="078357F0" w14:textId="761B7943" w:rsidR="00CB3FE5" w:rsidRDefault="00000000" w:rsidP="00DC05A4">
      <w:pPr>
        <w:rPr>
          <w:sz w:val="20"/>
          <w:szCs w:val="20"/>
        </w:rPr>
      </w:pPr>
      <w:r>
        <w:rPr>
          <w:b/>
          <w:bCs/>
          <w:sz w:val="20"/>
          <w:szCs w:val="20"/>
        </w:rPr>
        <w:t xml:space="preserve">Figure S5. </w:t>
      </w:r>
      <w:r>
        <w:rPr>
          <w:sz w:val="20"/>
          <w:szCs w:val="20"/>
        </w:rPr>
        <w:t>Monthly standard deviation of 500-hPa geopotential height (Z500) anomalies (</w:t>
      </w:r>
      <w:proofErr w:type="spellStart"/>
      <w:r>
        <w:rPr>
          <w:sz w:val="20"/>
          <w:szCs w:val="20"/>
        </w:rPr>
        <w:t>gpm</w:t>
      </w:r>
      <w:proofErr w:type="spellEnd"/>
      <w:r>
        <w:rPr>
          <w:sz w:val="20"/>
          <w:szCs w:val="20"/>
        </w:rPr>
        <w:t>) from 1982 to 2023 for (a) December (DEC), (b) January (JAN), and (c) February (FEB).</w:t>
      </w:r>
    </w:p>
    <w:sectPr w:rsidR="00CB3FE5">
      <w:footerReference w:type="even" r:id="rId19"/>
      <w:footerReference w:type="default" r:id="rId2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74A83" w14:textId="77777777" w:rsidR="00C53EA0" w:rsidRDefault="00C53EA0">
      <w:pPr>
        <w:spacing w:after="0" w:line="240" w:lineRule="auto"/>
      </w:pPr>
      <w:r>
        <w:separator/>
      </w:r>
    </w:p>
  </w:endnote>
  <w:endnote w:type="continuationSeparator" w:id="0">
    <w:p w14:paraId="49A493EF" w14:textId="77777777" w:rsidR="00C53EA0" w:rsidRDefault="00C53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73DFECD3-DFD4-E34F-B654-1C366AB187B1}"/>
    <w:embedBold r:id="rId2" w:fontKey="{FA3146EE-9733-A34B-ABD0-47D3CA2B88EB}"/>
    <w:embedItalic r:id="rId3" w:fontKey="{1F8BBC8D-BB5C-DE4F-997E-94A9806FA13D}"/>
  </w:font>
  <w:font w:name="Calibri">
    <w:panose1 w:val="020F0502020204030204"/>
    <w:charset w:val="00"/>
    <w:family w:val="swiss"/>
    <w:pitch w:val="variable"/>
    <w:sig w:usb0="E4002EFF" w:usb1="C200247B" w:usb2="00000009" w:usb3="00000000" w:csb0="000001FF" w:csb1="00000000"/>
    <w:embedRegular r:id="rId4" w:fontKey="{B2B0C9A2-F60B-5049-B236-2A1684C35276}"/>
    <w:embedBold r:id="rId5" w:fontKey="{2C4794E4-6820-6243-AE74-6BC8428FE370}"/>
    <w:embedItalic r:id="rId6" w:fontKey="{CF149393-50C8-DC4D-94C4-442D0D6F6B1D}"/>
    <w:embedBoldItalic r:id="rId7" w:fontKey="{A51C26DE-AB24-7446-AA1C-81D0715AA633}"/>
  </w:font>
  <w:font w:name="Times New Roman">
    <w:panose1 w:val="02020603050405020304"/>
    <w:charset w:val="00"/>
    <w:family w:val="roman"/>
    <w:pitch w:val="variable"/>
    <w:sig w:usb0="E0002EFF" w:usb1="C000785B" w:usb2="00000009" w:usb3="00000000" w:csb0="000001FF" w:csb1="00000000"/>
    <w:embedRegular r:id="rId8" w:fontKey="{8CD8E25E-D6EF-8348-AB68-E39671D9B931}"/>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6A6D" w14:textId="77777777" w:rsidR="00CB3FE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33B90EA" w14:textId="77777777" w:rsidR="00CB3FE5" w:rsidRDefault="00CB3FE5">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0943" w14:textId="77777777" w:rsidR="00CB3FE5"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1DE9">
      <w:rPr>
        <w:noProof/>
        <w:color w:val="000000"/>
      </w:rPr>
      <w:t>1</w:t>
    </w:r>
    <w:r>
      <w:rPr>
        <w:color w:val="000000"/>
      </w:rPr>
      <w:fldChar w:fldCharType="end"/>
    </w:r>
  </w:p>
  <w:p w14:paraId="50E73ADC" w14:textId="77777777" w:rsidR="00CB3FE5" w:rsidRDefault="00CB3FE5">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91605" w14:textId="77777777" w:rsidR="00C53EA0" w:rsidRDefault="00C53EA0">
      <w:pPr>
        <w:spacing w:after="0" w:line="240" w:lineRule="auto"/>
      </w:pPr>
      <w:r>
        <w:separator/>
      </w:r>
    </w:p>
  </w:footnote>
  <w:footnote w:type="continuationSeparator" w:id="0">
    <w:p w14:paraId="6ABE9FB5" w14:textId="77777777" w:rsidR="00C53EA0" w:rsidRDefault="00C53E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FE5"/>
    <w:rsid w:val="001D19C3"/>
    <w:rsid w:val="00291DE9"/>
    <w:rsid w:val="004A751D"/>
    <w:rsid w:val="009B4BA0"/>
    <w:rsid w:val="00A51793"/>
    <w:rsid w:val="00C53EA0"/>
    <w:rsid w:val="00CB3FE5"/>
    <w:rsid w:val="00D03C61"/>
    <w:rsid w:val="00DC05A4"/>
    <w:rsid w:val="00EF4DC8"/>
  </w:rsids>
  <m:mathPr>
    <m:mathFont m:val="Cambria Math"/>
    <m:brkBin m:val="before"/>
    <m:brkBinSub m:val="--"/>
    <m:smallFrac m:val="0"/>
    <m:dispDef/>
    <m:lMargin m:val="0"/>
    <m:rMargin m:val="0"/>
    <m:defJc m:val="centerGroup"/>
    <m:wrapIndent m:val="1440"/>
    <m:intLim m:val="subSup"/>
    <m:naryLim m:val="undOvr"/>
  </m:mathPr>
  <w:themeFontLang w:val="en-KR"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98F49F3"/>
  <w15:docId w15:val="{ACE0495D-24EE-9843-87B6-1CFD8378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baekmin@pknu.ac.kr" TargetMode="External"/><Relationship Id="rId5" Type="http://schemas.openxmlformats.org/officeDocument/2006/relationships/endnotes" Target="endnotes.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397</Words>
  <Characters>2265</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hyku</cp:lastModifiedBy>
  <cp:revision>4</cp:revision>
  <dcterms:created xsi:type="dcterms:W3CDTF">2025-12-01T05:16:00Z</dcterms:created>
  <dcterms:modified xsi:type="dcterms:W3CDTF">2025-12-01T05:21:00Z</dcterms:modified>
</cp:coreProperties>
</file>