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58C09" w14:textId="5C1CCCB1" w:rsidR="3A4C9CC6" w:rsidRDefault="3A4C9CC6" w:rsidP="0C6C9EA1">
      <w:pPr>
        <w:spacing w:after="0" w:line="240" w:lineRule="auto"/>
        <w:ind w:left="720" w:righ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Selective </w:t>
      </w:r>
      <w:r w:rsidR="00F52F8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t</w:t>
      </w:r>
      <w:r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argeting of </w:t>
      </w:r>
      <w:r w:rsidR="00F52F8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</w:t>
      </w:r>
      <w:r w:rsidR="00F52F87"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athogenic </w:t>
      </w:r>
      <w:r w:rsidR="00F52F8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t</w:t>
      </w:r>
      <w:r w:rsidR="00F52F87"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au </w:t>
      </w:r>
      <w:r w:rsidR="00F52F8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</w:t>
      </w:r>
      <w:r w:rsidR="00F52F87"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eeds </w:t>
      </w:r>
      <w:r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via a </w:t>
      </w:r>
      <w:r w:rsidR="00F52F8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</w:t>
      </w:r>
      <w:r w:rsidR="00F52F87"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ovel </w:t>
      </w:r>
      <w:r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VHH</w:t>
      </w:r>
    </w:p>
    <w:p w14:paraId="52F2E23F" w14:textId="065EE146" w:rsidR="0C6C9EA1" w:rsidRDefault="0C6C9EA1" w:rsidP="0C6C9EA1">
      <w:pPr>
        <w:spacing w:after="0" w:line="240" w:lineRule="auto"/>
        <w:ind w:left="720" w:righ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CEBFAF3" w14:textId="47D9455F" w:rsidR="3A4C9CC6" w:rsidRDefault="3A4C9CC6" w:rsidP="0C6C9EA1">
      <w:pPr>
        <w:spacing w:after="0" w:line="240" w:lineRule="auto"/>
        <w:ind w:left="720" w:righ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C9EA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Authors</w:t>
      </w:r>
    </w:p>
    <w:p w14:paraId="6D4B2B8F" w14:textId="152C4148" w:rsidR="3A4C9CC6" w:rsidRDefault="3A4C9CC6" w:rsidP="0C6C9EA1">
      <w:pPr>
        <w:spacing w:after="0" w:line="240" w:lineRule="auto"/>
        <w:ind w:left="720" w:righ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>
        <w:tab/>
      </w:r>
    </w:p>
    <w:p w14:paraId="06F8F28C" w14:textId="04F927DA" w:rsidR="3A4C9CC6" w:rsidRDefault="3A4C9CC6" w:rsidP="0C6C9EA1">
      <w:pPr>
        <w:spacing w:after="0" w:line="240" w:lineRule="auto"/>
        <w:ind w:left="720" w:righ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Ankit Gupta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Richard Liu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Devin Keely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1D35"/>
          <w:sz w:val="22"/>
          <w:szCs w:val="22"/>
          <w:vertAlign w:val="superscript"/>
        </w:rPr>
        <w:t>‡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Victoria Sunderman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1D35"/>
          <w:sz w:val="22"/>
          <w:szCs w:val="22"/>
          <w:vertAlign w:val="superscript"/>
        </w:rPr>
        <w:t>‡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Yogesh Tak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00E86CB9" w:rsidRPr="00E86CB9">
        <w:rPr>
          <w:rFonts w:ascii="Arial" w:eastAsia="Arial" w:hAnsi="Arial" w:cs="Arial"/>
          <w:color w:val="000000" w:themeColor="text1"/>
          <w:sz w:val="22"/>
          <w:szCs w:val="22"/>
        </w:rPr>
        <w:t>Katerina Konstantoulea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="00C300B6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,2,3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00D0714C">
        <w:rPr>
          <w:rFonts w:ascii="Arial" w:eastAsia="Arial" w:hAnsi="Arial" w:cs="Arial"/>
          <w:sz w:val="22"/>
          <w:szCs w:val="22"/>
        </w:rPr>
        <w:t>Sandi-</w:t>
      </w:r>
      <w:r w:rsidR="00D0714C" w:rsidRPr="00872E7B">
        <w:rPr>
          <w:rFonts w:ascii="Arial" w:eastAsia="Arial" w:hAnsi="Arial" w:cs="Arial"/>
          <w:sz w:val="22"/>
          <w:szCs w:val="22"/>
        </w:rPr>
        <w:t>Jo Terpack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Charles L. White III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William P. Russ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="00D7449F">
        <w:rPr>
          <w:rFonts w:ascii="Arial" w:eastAsia="Arial" w:hAnsi="Arial" w:cs="Arial"/>
          <w:color w:val="000000" w:themeColor="text1"/>
          <w:sz w:val="22"/>
          <w:szCs w:val="22"/>
        </w:rPr>
        <w:t>, Josep Rizo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3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Nikolaos Louros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</w:t>
      </w:r>
      <w:r w:rsidR="00C300B6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,2,3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, Jaime Vaquer-Alicea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1,2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*, Marc I. Diamond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  <w:vertAlign w:val="superscript"/>
        </w:rPr>
        <w:t>1,2</w:t>
      </w:r>
      <w:r w:rsidRPr="0C6C9EA1">
        <w:rPr>
          <w:rFonts w:ascii="Arial" w:eastAsia="Arial" w:hAnsi="Arial" w:cs="Arial"/>
          <w:color w:val="000000" w:themeColor="text1"/>
          <w:sz w:val="22"/>
          <w:szCs w:val="22"/>
        </w:rPr>
        <w:t>*</w:t>
      </w:r>
    </w:p>
    <w:p w14:paraId="00A348F7" w14:textId="5BDD6812" w:rsidR="0C6C9EA1" w:rsidRDefault="0C6C9EA1">
      <w:r>
        <w:br w:type="page"/>
      </w:r>
    </w:p>
    <w:p w14:paraId="6D436A50" w14:textId="6EAD9D53" w:rsidR="00C63E5E" w:rsidRPr="004B3C75" w:rsidRDefault="00FA21D1" w:rsidP="028163CF">
      <w:pPr>
        <w:spacing w:after="0" w:line="240" w:lineRule="auto"/>
        <w:jc w:val="center"/>
      </w:pPr>
      <w:r w:rsidRPr="00FA21D1">
        <w:rPr>
          <w:noProof/>
          <w:lang w:eastAsia="en-US"/>
        </w:rPr>
        <w:lastRenderedPageBreak/>
        <w:drawing>
          <wp:inline distT="0" distB="0" distL="0" distR="0" wp14:anchorId="622F8CE9" wp14:editId="24D9C5D5">
            <wp:extent cx="1371598" cy="3200400"/>
            <wp:effectExtent l="0" t="0" r="635" b="0"/>
            <wp:docPr id="1" name="Picture 1" descr="O:\CAND\Diamond Research\Ankit Diamond LAB\Nanobody project\MS\FInal MS draft\Journal submission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AND\Diamond Research\Ankit Diamond LAB\Nanobody project\MS\FInal MS draft\Journal submission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9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0961" w14:textId="55970298" w:rsidR="00045CFA" w:rsidRPr="004B3C75" w:rsidRDefault="6DBA7D38" w:rsidP="001F624B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3C75">
        <w:rPr>
          <w:rFonts w:ascii="Arial" w:eastAsia="Arial" w:hAnsi="Arial" w:cs="Arial"/>
          <w:b/>
          <w:bCs/>
          <w:sz w:val="22"/>
          <w:szCs w:val="22"/>
        </w:rPr>
        <w:t>Figure S1</w:t>
      </w:r>
      <w:r w:rsidR="7B7D6853" w:rsidRPr="004B3C75">
        <w:rPr>
          <w:rFonts w:ascii="Arial" w:eastAsia="Arial" w:hAnsi="Arial" w:cs="Arial"/>
          <w:b/>
          <w:bCs/>
          <w:sz w:val="22"/>
          <w:szCs w:val="22"/>
        </w:rPr>
        <w:t>.</w:t>
      </w: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4820C2" w:rsidRPr="004B3C75">
        <w:rPr>
          <w:rFonts w:ascii="Arial" w:eastAsia="Arial" w:hAnsi="Arial" w:cs="Arial"/>
          <w:b/>
          <w:bCs/>
          <w:sz w:val="22"/>
          <w:szCs w:val="22"/>
        </w:rPr>
        <w:t xml:space="preserve">Initial </w:t>
      </w:r>
      <w:r w:rsidR="4E830344" w:rsidRPr="004B3C75">
        <w:rPr>
          <w:rFonts w:ascii="Arial" w:eastAsia="Arial" w:hAnsi="Arial" w:cs="Arial"/>
          <w:b/>
          <w:bCs/>
          <w:sz w:val="22"/>
          <w:szCs w:val="22"/>
        </w:rPr>
        <w:t>VHH</w:t>
      </w: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 screening</w:t>
      </w:r>
      <w:r w:rsidR="004820C2" w:rsidRPr="004B3C75">
        <w:rPr>
          <w:rFonts w:ascii="Arial" w:eastAsia="Arial" w:hAnsi="Arial" w:cs="Arial"/>
          <w:b/>
          <w:bCs/>
          <w:sz w:val="22"/>
          <w:szCs w:val="22"/>
        </w:rPr>
        <w:t xml:space="preserve"> against monomeric tau</w:t>
      </w:r>
      <w:r w:rsidR="00DF1CC4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60EA7B1" w14:textId="1521EF40" w:rsidR="00F5369B" w:rsidRDefault="6DBA7D38" w:rsidP="000D04DB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 w:rsidRPr="004B3C75">
        <w:rPr>
          <w:rFonts w:ascii="Arial" w:eastAsia="Arial" w:hAnsi="Arial" w:cs="Arial"/>
          <w:sz w:val="22"/>
          <w:szCs w:val="22"/>
        </w:rPr>
        <w:t xml:space="preserve">Schematic </w:t>
      </w:r>
      <w:r w:rsidR="00A27CB5" w:rsidRPr="004B3C75">
        <w:rPr>
          <w:rFonts w:ascii="Arial" w:eastAsia="Arial" w:hAnsi="Arial" w:cs="Arial"/>
          <w:sz w:val="22"/>
          <w:szCs w:val="22"/>
        </w:rPr>
        <w:t>of the first phase of VHH selection</w:t>
      </w:r>
      <w:r w:rsidR="00450239">
        <w:rPr>
          <w:rFonts w:ascii="Arial" w:eastAsia="Arial" w:hAnsi="Arial" w:cs="Arial"/>
          <w:sz w:val="22"/>
          <w:szCs w:val="22"/>
        </w:rPr>
        <w:t xml:space="preserve"> </w:t>
      </w:r>
      <w:r w:rsidR="001505A3" w:rsidRPr="004B3C75">
        <w:rPr>
          <w:rFonts w:ascii="Arial" w:eastAsia="Arial" w:hAnsi="Arial" w:cs="Arial"/>
          <w:sz w:val="22"/>
          <w:szCs w:val="22"/>
        </w:rPr>
        <w:t>against</w:t>
      </w:r>
      <w:r w:rsidR="00C91618" w:rsidRPr="004B3C75">
        <w:rPr>
          <w:rFonts w:ascii="Arial" w:eastAsia="Arial" w:hAnsi="Arial" w:cs="Arial"/>
          <w:sz w:val="22"/>
          <w:szCs w:val="22"/>
        </w:rPr>
        <w:t xml:space="preserve"> f</w:t>
      </w:r>
      <w:r w:rsidR="00073C0C">
        <w:rPr>
          <w:rFonts w:ascii="Arial" w:eastAsia="Arial" w:hAnsi="Arial" w:cs="Arial"/>
          <w:sz w:val="22"/>
          <w:szCs w:val="22"/>
        </w:rPr>
        <w:t>u</w:t>
      </w:r>
      <w:r w:rsidR="00C91618" w:rsidRPr="004B3C75">
        <w:rPr>
          <w:rFonts w:ascii="Arial" w:eastAsia="Arial" w:hAnsi="Arial" w:cs="Arial"/>
          <w:sz w:val="22"/>
          <w:szCs w:val="22"/>
        </w:rPr>
        <w:t xml:space="preserve">ll-length </w:t>
      </w:r>
      <w:r w:rsidR="00813EDA" w:rsidRPr="004B3C75">
        <w:rPr>
          <w:rFonts w:ascii="Arial" w:eastAsia="Arial" w:hAnsi="Arial" w:cs="Arial"/>
          <w:sz w:val="22"/>
          <w:szCs w:val="22"/>
        </w:rPr>
        <w:t>tau monomer</w:t>
      </w:r>
      <w:r w:rsidR="00450239">
        <w:rPr>
          <w:rFonts w:ascii="Arial" w:eastAsia="Arial" w:hAnsi="Arial" w:cs="Arial"/>
          <w:sz w:val="22"/>
          <w:szCs w:val="22"/>
        </w:rPr>
        <w:t xml:space="preserve">, consisting of </w:t>
      </w:r>
      <w:r w:rsidR="00355715" w:rsidRPr="004B3C75">
        <w:rPr>
          <w:rFonts w:ascii="Arial" w:eastAsia="Arial" w:hAnsi="Arial" w:cs="Arial"/>
          <w:sz w:val="22"/>
          <w:szCs w:val="22"/>
        </w:rPr>
        <w:t xml:space="preserve">two rounds of </w:t>
      </w:r>
      <w:r w:rsidR="00446F0B" w:rsidRPr="004B3C75">
        <w:rPr>
          <w:rFonts w:ascii="Arial" w:eastAsia="Arial" w:hAnsi="Arial" w:cs="Arial"/>
          <w:sz w:val="22"/>
          <w:szCs w:val="22"/>
        </w:rPr>
        <w:t>Magnetic</w:t>
      </w:r>
      <w:r w:rsidR="000962C9" w:rsidRPr="004B3C75">
        <w:rPr>
          <w:rFonts w:ascii="Arial" w:eastAsia="Arial" w:hAnsi="Arial" w:cs="Arial"/>
          <w:sz w:val="22"/>
          <w:szCs w:val="22"/>
        </w:rPr>
        <w:t>-Activated Cell Sorting (MACS)</w:t>
      </w:r>
      <w:r w:rsidR="00F438E0" w:rsidRPr="004B3C75">
        <w:rPr>
          <w:rFonts w:ascii="Arial" w:eastAsia="Arial" w:hAnsi="Arial" w:cs="Arial"/>
          <w:sz w:val="22"/>
          <w:szCs w:val="22"/>
        </w:rPr>
        <w:t>, followed by three r</w:t>
      </w:r>
      <w:r w:rsidR="007D2FAE" w:rsidRPr="004B3C75">
        <w:rPr>
          <w:rFonts w:ascii="Arial" w:eastAsia="Arial" w:hAnsi="Arial" w:cs="Arial"/>
          <w:sz w:val="22"/>
          <w:szCs w:val="22"/>
        </w:rPr>
        <w:t>ounds of Fluorescence-Activated Cell Sorting (FACS)</w:t>
      </w:r>
      <w:r w:rsidR="00952BD0" w:rsidRPr="004B3C75">
        <w:rPr>
          <w:rFonts w:ascii="Arial" w:eastAsia="Arial" w:hAnsi="Arial" w:cs="Arial"/>
          <w:sz w:val="22"/>
          <w:szCs w:val="22"/>
        </w:rPr>
        <w:t>.</w:t>
      </w:r>
      <w:r w:rsidR="004204B0" w:rsidRPr="004B3C75">
        <w:rPr>
          <w:rFonts w:ascii="Arial" w:eastAsia="Arial" w:hAnsi="Arial" w:cs="Arial"/>
          <w:sz w:val="22"/>
          <w:szCs w:val="22"/>
        </w:rPr>
        <w:t xml:space="preserve"> The tau concen</w:t>
      </w:r>
      <w:r w:rsidR="009A3C1A" w:rsidRPr="004B3C75">
        <w:rPr>
          <w:rFonts w:ascii="Arial" w:eastAsia="Arial" w:hAnsi="Arial" w:cs="Arial"/>
          <w:sz w:val="22"/>
          <w:szCs w:val="22"/>
        </w:rPr>
        <w:t>tration was progressively lowered at each round to increase selection stringency</w:t>
      </w:r>
      <w:r w:rsidR="00952BD0" w:rsidRPr="004B3C75">
        <w:rPr>
          <w:rFonts w:ascii="Arial" w:eastAsia="Arial" w:hAnsi="Arial" w:cs="Arial"/>
          <w:sz w:val="22"/>
          <w:szCs w:val="22"/>
        </w:rPr>
        <w:t xml:space="preserve">, and the fluorophore label was changed to avoid </w:t>
      </w:r>
      <w:r w:rsidR="00E33944">
        <w:rPr>
          <w:rFonts w:ascii="Arial" w:eastAsia="Arial" w:hAnsi="Arial" w:cs="Arial"/>
          <w:sz w:val="22"/>
          <w:szCs w:val="22"/>
        </w:rPr>
        <w:t xml:space="preserve">screening </w:t>
      </w:r>
      <w:r w:rsidR="00952BD0" w:rsidRPr="004B3C75">
        <w:rPr>
          <w:rFonts w:ascii="Arial" w:eastAsia="Arial" w:hAnsi="Arial" w:cs="Arial"/>
          <w:sz w:val="22"/>
          <w:szCs w:val="22"/>
        </w:rPr>
        <w:t>bias toward a particular dye.</w:t>
      </w:r>
      <w:r w:rsidRPr="004B3C75">
        <w:rPr>
          <w:rFonts w:ascii="Arial" w:eastAsia="Arial" w:hAnsi="Arial" w:cs="Arial"/>
          <w:sz w:val="22"/>
          <w:szCs w:val="22"/>
        </w:rPr>
        <w:t xml:space="preserve"> </w:t>
      </w:r>
    </w:p>
    <w:p w14:paraId="5960896E" w14:textId="77777777" w:rsidR="00F5369B" w:rsidRDefault="00F5369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68796189" w14:textId="0609C900" w:rsidR="00C63E5E" w:rsidRPr="004B3C75" w:rsidRDefault="009336D5" w:rsidP="00A322D6">
      <w:pPr>
        <w:spacing w:after="0" w:line="240" w:lineRule="auto"/>
      </w:pPr>
      <w:r w:rsidRPr="009336D5">
        <w:rPr>
          <w:noProof/>
          <w:lang w:eastAsia="en-US"/>
        </w:rPr>
        <w:lastRenderedPageBreak/>
        <w:drawing>
          <wp:inline distT="0" distB="0" distL="0" distR="0" wp14:anchorId="5ACC615F" wp14:editId="4CDB849A">
            <wp:extent cx="5943600" cy="2902862"/>
            <wp:effectExtent l="0" t="0" r="0" b="0"/>
            <wp:docPr id="2" name="Picture 2" descr="O:\CAND\Diamond Research\Ankit Diamond LAB\Nanobody project\MS\FInal MS draft\Journal submiss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AND\Diamond Research\Ankit Diamond LAB\Nanobody project\MS\FInal MS draft\Journal submission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F798" w14:textId="77777777" w:rsidR="00EB4C6B" w:rsidRDefault="6A5ACB22" w:rsidP="005F5FA6">
      <w:pPr>
        <w:spacing w:before="240"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DB4CA7">
        <w:rPr>
          <w:rFonts w:ascii="Arial" w:eastAsia="Arial" w:hAnsi="Arial" w:cs="Arial"/>
          <w:b/>
          <w:bCs/>
          <w:sz w:val="22"/>
          <w:szCs w:val="22"/>
        </w:rPr>
        <w:t>Figure S</w:t>
      </w:r>
      <w:r w:rsidR="0008057A" w:rsidRPr="00DB4CA7">
        <w:rPr>
          <w:rFonts w:ascii="Arial" w:eastAsia="Arial" w:hAnsi="Arial" w:cs="Arial"/>
          <w:b/>
          <w:bCs/>
          <w:sz w:val="22"/>
          <w:szCs w:val="22"/>
        </w:rPr>
        <w:t>2</w:t>
      </w:r>
      <w:r w:rsidRPr="00DB4CA7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981656" w:rsidRPr="00DB4CA7">
        <w:rPr>
          <w:rFonts w:ascii="Arial" w:eastAsia="Arial" w:hAnsi="Arial" w:cs="Arial"/>
          <w:b/>
          <w:bCs/>
          <w:sz w:val="22"/>
          <w:szCs w:val="22"/>
        </w:rPr>
        <w:t>VHH clones exhibit preferential binding to AD and CBD brain-derived seeds.</w:t>
      </w:r>
    </w:p>
    <w:p w14:paraId="74362C36" w14:textId="1F6DFBFC" w:rsidR="00C63E5E" w:rsidRPr="004B3C75" w:rsidRDefault="00BA16FE" w:rsidP="000752A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DB4CA7">
        <w:rPr>
          <w:rFonts w:ascii="Arial" w:eastAsia="Arial" w:hAnsi="Arial" w:cs="Arial"/>
          <w:sz w:val="22"/>
          <w:szCs w:val="22"/>
        </w:rPr>
        <w:t>Scatter plots compare FRET% values from the same set of 300 VHH clones tested via IP-and-seeding against multiple tau sources. (</w:t>
      </w:r>
      <w:r w:rsidRPr="00DB4CA7">
        <w:rPr>
          <w:rFonts w:ascii="Arial" w:eastAsia="Arial" w:hAnsi="Arial" w:cs="Arial"/>
          <w:b/>
          <w:bCs/>
          <w:sz w:val="22"/>
          <w:szCs w:val="22"/>
        </w:rPr>
        <w:t>A</w:t>
      </w:r>
      <w:r w:rsidR="009C58BE" w:rsidRPr="00DB4CA7">
        <w:rPr>
          <w:rFonts w:ascii="Arial" w:eastAsia="Arial" w:hAnsi="Arial" w:cs="Arial"/>
          <w:b/>
          <w:bCs/>
          <w:sz w:val="22"/>
          <w:szCs w:val="22"/>
        </w:rPr>
        <w:t>-D</w:t>
      </w:r>
      <w:r w:rsidRPr="00DB4CA7">
        <w:rPr>
          <w:rFonts w:ascii="Arial" w:eastAsia="Arial" w:hAnsi="Arial" w:cs="Arial"/>
          <w:sz w:val="22"/>
          <w:szCs w:val="22"/>
        </w:rPr>
        <w:t xml:space="preserve">) Correlation between </w:t>
      </w:r>
      <w:r w:rsidR="00947F2F">
        <w:rPr>
          <w:rFonts w:ascii="Arial" w:eastAsia="Arial" w:hAnsi="Arial" w:cs="Arial"/>
          <w:sz w:val="22"/>
          <w:szCs w:val="22"/>
        </w:rPr>
        <w:t xml:space="preserve">two </w:t>
      </w:r>
      <w:r w:rsidR="009C58BE" w:rsidRPr="00DB4CA7">
        <w:rPr>
          <w:rFonts w:ascii="Arial" w:eastAsia="Arial" w:hAnsi="Arial" w:cs="Arial"/>
          <w:sz w:val="22"/>
          <w:szCs w:val="22"/>
        </w:rPr>
        <w:t>AD</w:t>
      </w:r>
      <w:r w:rsidR="00947F2F">
        <w:rPr>
          <w:rFonts w:ascii="Arial" w:eastAsia="Arial" w:hAnsi="Arial" w:cs="Arial"/>
          <w:sz w:val="22"/>
          <w:szCs w:val="22"/>
        </w:rPr>
        <w:t xml:space="preserve"> (AD 1 and AD 2)</w:t>
      </w:r>
      <w:r w:rsidR="009C58BE" w:rsidRPr="00DB4CA7">
        <w:rPr>
          <w:rFonts w:ascii="Arial" w:eastAsia="Arial" w:hAnsi="Arial" w:cs="Arial"/>
          <w:sz w:val="22"/>
          <w:szCs w:val="22"/>
        </w:rPr>
        <w:t xml:space="preserve"> and </w:t>
      </w:r>
      <w:r w:rsidR="00947F2F">
        <w:rPr>
          <w:rFonts w:ascii="Arial" w:eastAsia="Arial" w:hAnsi="Arial" w:cs="Arial"/>
          <w:sz w:val="22"/>
          <w:szCs w:val="22"/>
        </w:rPr>
        <w:t xml:space="preserve">two </w:t>
      </w:r>
      <w:r w:rsidR="009C58BE" w:rsidRPr="00DB4CA7">
        <w:rPr>
          <w:rFonts w:ascii="Arial" w:eastAsia="Arial" w:hAnsi="Arial" w:cs="Arial"/>
          <w:sz w:val="22"/>
          <w:szCs w:val="22"/>
        </w:rPr>
        <w:t xml:space="preserve">CBD </w:t>
      </w:r>
      <w:r w:rsidR="00947F2F">
        <w:rPr>
          <w:rFonts w:ascii="Arial" w:eastAsia="Arial" w:hAnsi="Arial" w:cs="Arial"/>
          <w:sz w:val="22"/>
          <w:szCs w:val="22"/>
        </w:rPr>
        <w:t xml:space="preserve">(CBD 1 and CBD 2) </w:t>
      </w:r>
      <w:r w:rsidR="009C58BE" w:rsidRPr="00DB4CA7">
        <w:rPr>
          <w:rFonts w:ascii="Arial" w:eastAsia="Arial" w:hAnsi="Arial" w:cs="Arial"/>
          <w:sz w:val="22"/>
          <w:szCs w:val="22"/>
        </w:rPr>
        <w:t>cases</w:t>
      </w:r>
      <w:r w:rsidRPr="00DB4CA7">
        <w:rPr>
          <w:rFonts w:ascii="Arial" w:eastAsia="Arial" w:hAnsi="Arial" w:cs="Arial"/>
          <w:sz w:val="22"/>
          <w:szCs w:val="22"/>
        </w:rPr>
        <w:t>. (</w:t>
      </w:r>
      <w:r w:rsidR="009C58BE" w:rsidRPr="00DB4CA7">
        <w:rPr>
          <w:rFonts w:ascii="Arial" w:eastAsia="Arial" w:hAnsi="Arial" w:cs="Arial"/>
          <w:b/>
          <w:bCs/>
          <w:sz w:val="22"/>
          <w:szCs w:val="22"/>
        </w:rPr>
        <w:t>E</w:t>
      </w:r>
      <w:r w:rsidRPr="00DB4CA7">
        <w:rPr>
          <w:rFonts w:ascii="Arial" w:eastAsia="Arial" w:hAnsi="Arial" w:cs="Arial"/>
          <w:b/>
          <w:bCs/>
          <w:sz w:val="22"/>
          <w:szCs w:val="22"/>
        </w:rPr>
        <w:t xml:space="preserve">, </w:t>
      </w:r>
      <w:r w:rsidR="009C58BE" w:rsidRPr="00DB4CA7">
        <w:rPr>
          <w:rFonts w:ascii="Arial" w:eastAsia="Arial" w:hAnsi="Arial" w:cs="Arial"/>
          <w:b/>
          <w:bCs/>
          <w:sz w:val="22"/>
          <w:szCs w:val="22"/>
        </w:rPr>
        <w:t>F</w:t>
      </w:r>
      <w:r w:rsidRPr="00DB4CA7">
        <w:rPr>
          <w:rFonts w:ascii="Arial" w:eastAsia="Arial" w:hAnsi="Arial" w:cs="Arial"/>
          <w:sz w:val="22"/>
          <w:szCs w:val="22"/>
        </w:rPr>
        <w:t xml:space="preserve">) Comparisons </w:t>
      </w:r>
      <w:r w:rsidR="009C58BE" w:rsidRPr="00DB4CA7">
        <w:rPr>
          <w:rFonts w:ascii="Arial" w:eastAsia="Arial" w:hAnsi="Arial" w:cs="Arial"/>
          <w:sz w:val="22"/>
          <w:szCs w:val="22"/>
        </w:rPr>
        <w:t>between AD and P301S</w:t>
      </w:r>
      <w:r w:rsidRPr="00DB4CA7">
        <w:rPr>
          <w:rFonts w:ascii="Arial" w:eastAsia="Arial" w:hAnsi="Arial" w:cs="Arial"/>
          <w:sz w:val="22"/>
          <w:szCs w:val="22"/>
        </w:rPr>
        <w:t xml:space="preserve"> lysates. (</w:t>
      </w:r>
      <w:r w:rsidR="009C58BE" w:rsidRPr="00DB4CA7">
        <w:rPr>
          <w:rFonts w:ascii="Arial" w:eastAsia="Arial" w:hAnsi="Arial" w:cs="Arial"/>
          <w:b/>
          <w:bCs/>
          <w:sz w:val="22"/>
          <w:szCs w:val="22"/>
        </w:rPr>
        <w:t>G, H</w:t>
      </w:r>
      <w:r w:rsidRPr="00DB4CA7">
        <w:rPr>
          <w:rFonts w:ascii="Arial" w:eastAsia="Arial" w:hAnsi="Arial" w:cs="Arial"/>
          <w:sz w:val="22"/>
          <w:szCs w:val="22"/>
        </w:rPr>
        <w:t xml:space="preserve">) </w:t>
      </w:r>
      <w:r w:rsidR="009C58BE" w:rsidRPr="00DB4CA7">
        <w:rPr>
          <w:rFonts w:ascii="Arial" w:eastAsia="Arial" w:hAnsi="Arial" w:cs="Arial"/>
          <w:sz w:val="22"/>
          <w:szCs w:val="22"/>
        </w:rPr>
        <w:t>Comparisons between AD and heparin</w:t>
      </w:r>
      <w:r w:rsidR="00820B00">
        <w:rPr>
          <w:rFonts w:ascii="Arial" w:eastAsia="Arial" w:hAnsi="Arial" w:cs="Arial"/>
          <w:sz w:val="22"/>
          <w:szCs w:val="22"/>
        </w:rPr>
        <w:t>-</w:t>
      </w:r>
      <w:r w:rsidR="009C58BE" w:rsidRPr="00DB4CA7">
        <w:rPr>
          <w:rFonts w:ascii="Arial" w:eastAsia="Arial" w:hAnsi="Arial" w:cs="Arial"/>
          <w:sz w:val="22"/>
          <w:szCs w:val="22"/>
        </w:rPr>
        <w:t>induced 2N4R recombinant fibrils</w:t>
      </w:r>
      <w:r w:rsidR="00065EBD">
        <w:rPr>
          <w:rFonts w:ascii="Arial" w:eastAsia="Arial" w:hAnsi="Arial" w:cs="Arial"/>
          <w:sz w:val="22"/>
          <w:szCs w:val="22"/>
        </w:rPr>
        <w:t xml:space="preserve"> (R</w:t>
      </w:r>
      <w:r w:rsidR="0073740B">
        <w:rPr>
          <w:rFonts w:ascii="Arial" w:eastAsia="Arial" w:hAnsi="Arial" w:cs="Arial"/>
          <w:sz w:val="22"/>
          <w:szCs w:val="22"/>
        </w:rPr>
        <w:t>ec</w:t>
      </w:r>
      <w:r w:rsidR="00065EBD">
        <w:rPr>
          <w:rFonts w:ascii="Arial" w:eastAsia="Arial" w:hAnsi="Arial" w:cs="Arial"/>
          <w:sz w:val="22"/>
          <w:szCs w:val="22"/>
        </w:rPr>
        <w:t xml:space="preserve"> 2N4R)</w:t>
      </w:r>
      <w:r w:rsidR="009C58BE" w:rsidRPr="00DB4CA7">
        <w:rPr>
          <w:rFonts w:ascii="Arial" w:eastAsia="Arial" w:hAnsi="Arial" w:cs="Arial"/>
          <w:sz w:val="22"/>
          <w:szCs w:val="22"/>
        </w:rPr>
        <w:t xml:space="preserve">. </w:t>
      </w:r>
      <w:r w:rsidRPr="007E0319">
        <w:rPr>
          <w:rFonts w:ascii="Arial" w:eastAsia="Arial" w:hAnsi="Arial" w:cs="Arial"/>
          <w:sz w:val="22"/>
          <w:szCs w:val="22"/>
        </w:rPr>
        <w:t>Notably, the strongest correlations occur between the two AD samples</w:t>
      </w:r>
      <w:r w:rsidR="009C58BE" w:rsidRPr="007E0319">
        <w:rPr>
          <w:rFonts w:ascii="Arial" w:eastAsia="Arial" w:hAnsi="Arial" w:cs="Arial"/>
          <w:sz w:val="22"/>
          <w:szCs w:val="22"/>
        </w:rPr>
        <w:t xml:space="preserve"> </w:t>
      </w:r>
      <w:r w:rsidR="00DB4CA7" w:rsidRPr="007E0319">
        <w:rPr>
          <w:rFonts w:ascii="Arial" w:eastAsia="Arial" w:hAnsi="Arial" w:cs="Arial"/>
          <w:sz w:val="22"/>
          <w:szCs w:val="22"/>
        </w:rPr>
        <w:t xml:space="preserve">and two CBD samples </w:t>
      </w:r>
      <w:r w:rsidR="009C58BE" w:rsidRPr="007E0319">
        <w:rPr>
          <w:rFonts w:ascii="Arial" w:eastAsia="Arial" w:hAnsi="Arial" w:cs="Arial"/>
          <w:sz w:val="22"/>
          <w:szCs w:val="22"/>
        </w:rPr>
        <w:t>(Figure 2)</w:t>
      </w:r>
      <w:r w:rsidR="00DB4CA7" w:rsidRPr="007E0319">
        <w:rPr>
          <w:rFonts w:ascii="Arial" w:eastAsia="Arial" w:hAnsi="Arial" w:cs="Arial"/>
          <w:sz w:val="22"/>
          <w:szCs w:val="22"/>
        </w:rPr>
        <w:t xml:space="preserve">, </w:t>
      </w:r>
      <w:r w:rsidRPr="007E0319">
        <w:rPr>
          <w:rFonts w:ascii="Arial" w:eastAsia="Arial" w:hAnsi="Arial" w:cs="Arial"/>
          <w:sz w:val="22"/>
          <w:szCs w:val="22"/>
        </w:rPr>
        <w:t>whereas</w:t>
      </w:r>
      <w:r w:rsidRPr="00DB4CA7">
        <w:rPr>
          <w:rFonts w:ascii="Arial" w:eastAsia="Arial" w:hAnsi="Arial" w:cs="Arial"/>
          <w:sz w:val="22"/>
          <w:szCs w:val="22"/>
        </w:rPr>
        <w:t xml:space="preserve"> </w:t>
      </w:r>
      <w:r w:rsidR="00820B00">
        <w:rPr>
          <w:rFonts w:ascii="Arial" w:eastAsia="Arial" w:hAnsi="Arial" w:cs="Arial"/>
          <w:sz w:val="22"/>
          <w:szCs w:val="22"/>
        </w:rPr>
        <w:t xml:space="preserve">the </w:t>
      </w:r>
      <w:r w:rsidRPr="00DB4CA7">
        <w:rPr>
          <w:rFonts w:ascii="Arial" w:eastAsia="Arial" w:hAnsi="Arial" w:cs="Arial"/>
          <w:sz w:val="22"/>
          <w:szCs w:val="22"/>
        </w:rPr>
        <w:t>correlation with recombi</w:t>
      </w:r>
      <w:r w:rsidR="00DB4CA7" w:rsidRPr="00DB4CA7">
        <w:rPr>
          <w:rFonts w:ascii="Arial" w:eastAsia="Arial" w:hAnsi="Arial" w:cs="Arial"/>
          <w:sz w:val="22"/>
          <w:szCs w:val="22"/>
        </w:rPr>
        <w:t>nant fibrils is markedly lower.</w:t>
      </w:r>
      <w:r w:rsidR="00335D0A" w:rsidRPr="00335D0A">
        <w:rPr>
          <w:rFonts w:ascii="Arial" w:eastAsia="Arial" w:hAnsi="Arial" w:cs="Arial"/>
          <w:sz w:val="22"/>
          <w:szCs w:val="22"/>
        </w:rPr>
        <w:t xml:space="preserve"> </w:t>
      </w:r>
      <w:r w:rsidR="00335D0A">
        <w:rPr>
          <w:rFonts w:ascii="Arial" w:eastAsia="Arial" w:hAnsi="Arial" w:cs="Arial"/>
          <w:sz w:val="22"/>
          <w:szCs w:val="22"/>
        </w:rPr>
        <w:t>Data points represent average of two independent experiments (each with technical replicates); error bars = S.D.</w:t>
      </w:r>
      <w:bookmarkStart w:id="0" w:name="_GoBack"/>
      <w:bookmarkEnd w:id="0"/>
    </w:p>
    <w:p w14:paraId="34CA87C6" w14:textId="3C6EC6C8" w:rsidR="00C63E5E" w:rsidRPr="004B3C75" w:rsidRDefault="6A5ACB22" w:rsidP="001F624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B3C75">
        <w:rPr>
          <w:rFonts w:ascii="Arial" w:eastAsia="Arial" w:hAnsi="Arial" w:cs="Arial"/>
          <w:sz w:val="22"/>
          <w:szCs w:val="22"/>
        </w:rPr>
        <w:t xml:space="preserve"> </w:t>
      </w:r>
    </w:p>
    <w:p w14:paraId="7AB5015F" w14:textId="77777777" w:rsidR="00F5369B" w:rsidRDefault="00F536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A32B101" w14:textId="31F8210D" w:rsidR="00B13816" w:rsidRPr="004B3C75" w:rsidRDefault="00FF5FAD" w:rsidP="001F624B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FF5FAD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57AAE822" wp14:editId="3A624E8D">
            <wp:extent cx="2644684" cy="2468880"/>
            <wp:effectExtent l="0" t="0" r="3810" b="7620"/>
            <wp:docPr id="9" name="Picture 9" descr="O:\CAND\Diamond Research\Ankit Diamond LAB\Nanobody project\MS\FInal MS draft\Journal submission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AND\Diamond Research\Ankit Diamond LAB\Nanobody project\MS\FInal MS draft\Journal submission\Figure S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4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7282" w14:textId="59A604E3" w:rsidR="00B13816" w:rsidRPr="004B3C75" w:rsidRDefault="303E456B" w:rsidP="005F5FA6">
      <w:pPr>
        <w:spacing w:before="240" w:after="0" w:line="240" w:lineRule="auto"/>
        <w:rPr>
          <w:rFonts w:ascii="Arial" w:eastAsia="Arial" w:hAnsi="Arial" w:cs="Arial"/>
          <w:sz w:val="22"/>
          <w:szCs w:val="22"/>
        </w:rPr>
      </w:pPr>
      <w:r w:rsidRPr="004B3C75">
        <w:rPr>
          <w:rFonts w:ascii="Arial" w:eastAsia="Arial" w:hAnsi="Arial" w:cs="Arial"/>
          <w:b/>
          <w:bCs/>
          <w:sz w:val="22"/>
          <w:szCs w:val="22"/>
        </w:rPr>
        <w:t>Figure S</w:t>
      </w:r>
      <w:r w:rsidR="0008057A">
        <w:rPr>
          <w:rFonts w:ascii="Arial" w:eastAsia="Arial" w:hAnsi="Arial" w:cs="Arial"/>
          <w:b/>
          <w:bCs/>
          <w:sz w:val="22"/>
          <w:szCs w:val="22"/>
        </w:rPr>
        <w:t>3</w:t>
      </w: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47566F">
        <w:rPr>
          <w:rFonts w:ascii="Arial" w:eastAsia="Arial" w:hAnsi="Arial" w:cs="Arial"/>
          <w:b/>
          <w:bCs/>
          <w:sz w:val="22"/>
          <w:szCs w:val="22"/>
        </w:rPr>
        <w:t>Reco</w:t>
      </w:r>
      <w:r w:rsidR="0047566F" w:rsidRPr="0047566F">
        <w:rPr>
          <w:rFonts w:ascii="Arial" w:eastAsia="Arial" w:hAnsi="Arial" w:cs="Arial"/>
          <w:b/>
          <w:bCs/>
          <w:sz w:val="22"/>
          <w:szCs w:val="22"/>
        </w:rPr>
        <w:t>mbinant expression of anti-tau VHHs in E. coli.</w:t>
      </w:r>
      <w:r w:rsidR="0047566F" w:rsidRPr="0047566F">
        <w:rPr>
          <w:rFonts w:ascii="Arial" w:eastAsia="Arial" w:hAnsi="Arial" w:cs="Arial"/>
          <w:sz w:val="22"/>
          <w:szCs w:val="22"/>
        </w:rPr>
        <w:br/>
        <w:t>(</w:t>
      </w:r>
      <w:r w:rsidR="0047566F" w:rsidRPr="0047566F">
        <w:rPr>
          <w:rFonts w:ascii="Arial" w:eastAsia="Arial" w:hAnsi="Arial" w:cs="Arial"/>
          <w:b/>
          <w:bCs/>
          <w:sz w:val="22"/>
          <w:szCs w:val="22"/>
        </w:rPr>
        <w:t>A</w:t>
      </w:r>
      <w:r w:rsidR="0047566F" w:rsidRPr="0047566F">
        <w:rPr>
          <w:rFonts w:ascii="Arial" w:eastAsia="Arial" w:hAnsi="Arial" w:cs="Arial"/>
          <w:sz w:val="22"/>
          <w:szCs w:val="22"/>
        </w:rPr>
        <w:t>) SDS-PAGE gels showing expression of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47566F" w:rsidRPr="0047566F">
        <w:rPr>
          <w:rFonts w:ascii="Arial" w:eastAsia="Arial" w:hAnsi="Arial" w:cs="Arial"/>
          <w:sz w:val="22"/>
          <w:szCs w:val="22"/>
        </w:rPr>
        <w:t>50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47566F" w:rsidRPr="0047566F">
        <w:rPr>
          <w:rFonts w:ascii="Arial" w:eastAsia="Arial" w:hAnsi="Arial" w:cs="Arial"/>
          <w:sz w:val="22"/>
          <w:szCs w:val="22"/>
        </w:rPr>
        <w:t xml:space="preserve"> and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47566F" w:rsidRPr="0047566F">
        <w:rPr>
          <w:rFonts w:ascii="Arial" w:eastAsia="Arial" w:hAnsi="Arial" w:cs="Arial"/>
          <w:sz w:val="22"/>
          <w:szCs w:val="22"/>
        </w:rPr>
        <w:t>50M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947765">
        <w:rPr>
          <w:rFonts w:ascii="Arial" w:eastAsia="Arial" w:hAnsi="Arial" w:cs="Arial"/>
          <w:sz w:val="22"/>
          <w:szCs w:val="22"/>
        </w:rPr>
        <w:t xml:space="preserve">. </w:t>
      </w:r>
      <w:r w:rsidR="0047566F" w:rsidRPr="0047566F">
        <w:rPr>
          <w:rFonts w:ascii="Arial" w:eastAsia="Arial" w:hAnsi="Arial" w:cs="Arial"/>
          <w:sz w:val="22"/>
          <w:szCs w:val="22"/>
        </w:rPr>
        <w:t>(</w:t>
      </w:r>
      <w:r w:rsidR="0047566F" w:rsidRPr="0047566F">
        <w:rPr>
          <w:rFonts w:ascii="Arial" w:eastAsia="Arial" w:hAnsi="Arial" w:cs="Arial"/>
          <w:b/>
          <w:bCs/>
          <w:sz w:val="22"/>
          <w:szCs w:val="22"/>
        </w:rPr>
        <w:t>B</w:t>
      </w:r>
      <w:r w:rsidR="0047566F" w:rsidRPr="0047566F">
        <w:rPr>
          <w:rFonts w:ascii="Arial" w:eastAsia="Arial" w:hAnsi="Arial" w:cs="Arial"/>
          <w:sz w:val="22"/>
          <w:szCs w:val="22"/>
        </w:rPr>
        <w:t>) Similar analysis for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47566F" w:rsidRPr="0047566F">
        <w:rPr>
          <w:rFonts w:ascii="Arial" w:eastAsia="Arial" w:hAnsi="Arial" w:cs="Arial"/>
          <w:sz w:val="22"/>
          <w:szCs w:val="22"/>
        </w:rPr>
        <w:t>510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47566F" w:rsidRPr="0047566F">
        <w:rPr>
          <w:rFonts w:ascii="Arial" w:eastAsia="Arial" w:hAnsi="Arial" w:cs="Arial"/>
          <w:sz w:val="22"/>
          <w:szCs w:val="22"/>
        </w:rPr>
        <w:t xml:space="preserve"> and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47566F" w:rsidRPr="0047566F">
        <w:rPr>
          <w:rFonts w:ascii="Arial" w:eastAsia="Arial" w:hAnsi="Arial" w:cs="Arial"/>
          <w:sz w:val="22"/>
          <w:szCs w:val="22"/>
        </w:rPr>
        <w:t>510M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47566F" w:rsidRPr="0047566F">
        <w:rPr>
          <w:rFonts w:ascii="Arial" w:eastAsia="Arial" w:hAnsi="Arial" w:cs="Arial"/>
          <w:sz w:val="22"/>
          <w:szCs w:val="22"/>
        </w:rPr>
        <w:t>.</w:t>
      </w:r>
      <w:r w:rsidR="00947765">
        <w:rPr>
          <w:rFonts w:ascii="Arial" w:eastAsia="Arial" w:hAnsi="Arial" w:cs="Arial"/>
          <w:sz w:val="22"/>
          <w:szCs w:val="22"/>
        </w:rPr>
        <w:t xml:space="preserve"> </w:t>
      </w:r>
      <w:r w:rsidR="0047566F" w:rsidRPr="0047566F">
        <w:rPr>
          <w:rFonts w:ascii="Arial" w:eastAsia="Arial" w:hAnsi="Arial" w:cs="Arial"/>
          <w:sz w:val="22"/>
          <w:szCs w:val="22"/>
        </w:rPr>
        <w:t>In each panel, cultures were induced with 0.25 mM IPTG and harvested after 3 or 12 hours. Cell pellets were lysed in 8 M urea and prepared for SDS-PAGE. The red boxes indicate the expected VHH band around ~15 kDa. M, molecular weight marker; Time (h), induction length in hours.</w:t>
      </w:r>
    </w:p>
    <w:p w14:paraId="1C6AD4EC" w14:textId="545976D3" w:rsidR="199BAC42" w:rsidRPr="004B3C75" w:rsidRDefault="199BAC42" w:rsidP="001F624B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6A529B6E" w14:textId="4419DCF5" w:rsidR="199BAC42" w:rsidRPr="004B3C75" w:rsidRDefault="199BAC42" w:rsidP="001F624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B3C75">
        <w:rPr>
          <w:rFonts w:ascii="Arial" w:hAnsi="Arial" w:cs="Arial"/>
          <w:sz w:val="22"/>
          <w:szCs w:val="22"/>
        </w:rPr>
        <w:br w:type="page"/>
      </w:r>
    </w:p>
    <w:p w14:paraId="325A1200" w14:textId="02A91EF3" w:rsidR="79AE42CB" w:rsidRPr="004B3C75" w:rsidRDefault="00FF5FAD" w:rsidP="001F624B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FF5FAD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0287D006" wp14:editId="66682BD9">
            <wp:extent cx="3252267" cy="1828800"/>
            <wp:effectExtent l="0" t="0" r="5715" b="0"/>
            <wp:docPr id="11" name="Picture 11" descr="O:\CAND\Diamond Research\Ankit Diamond LAB\Nanobody project\MS\FInal MS draft\Journal submission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AND\Diamond Research\Ankit Diamond LAB\Nanobody project\MS\FInal MS draft\Journal submission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6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72F4" w14:textId="64489F00" w:rsidR="79AE42CB" w:rsidRPr="004B3C75" w:rsidRDefault="79AE42CB" w:rsidP="005F5FA6">
      <w:pPr>
        <w:spacing w:before="240" w:after="0" w:line="240" w:lineRule="auto"/>
        <w:rPr>
          <w:rFonts w:ascii="Arial" w:eastAsia="Arial" w:hAnsi="Arial" w:cs="Arial"/>
          <w:sz w:val="22"/>
          <w:szCs w:val="22"/>
        </w:rPr>
      </w:pPr>
      <w:r w:rsidRPr="004B3C75">
        <w:rPr>
          <w:rFonts w:ascii="Arial" w:eastAsia="Arial" w:hAnsi="Arial" w:cs="Arial"/>
          <w:b/>
          <w:bCs/>
          <w:sz w:val="22"/>
          <w:szCs w:val="22"/>
        </w:rPr>
        <w:t>Figure S</w:t>
      </w:r>
      <w:r w:rsidR="0008057A">
        <w:rPr>
          <w:rFonts w:ascii="Arial" w:eastAsia="Arial" w:hAnsi="Arial" w:cs="Arial"/>
          <w:b/>
          <w:bCs/>
          <w:sz w:val="22"/>
          <w:szCs w:val="22"/>
        </w:rPr>
        <w:t>4</w:t>
      </w: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Temperature-dependent solubility and stability of VHH</w:t>
      </w:r>
      <w:r w:rsidR="00E660B5">
        <w:rPr>
          <w:rFonts w:ascii="Arial" w:eastAsia="Arial" w:hAnsi="Arial" w:cs="Arial"/>
          <w:b/>
          <w:bCs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50</w:t>
      </w:r>
      <w:r w:rsidR="00E660B5">
        <w:rPr>
          <w:rFonts w:ascii="Arial" w:eastAsia="Arial" w:hAnsi="Arial" w:cs="Arial"/>
          <w:b/>
          <w:bCs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 xml:space="preserve"> and VHH</w:t>
      </w:r>
      <w:r w:rsidR="00E660B5">
        <w:rPr>
          <w:rFonts w:ascii="Arial" w:eastAsia="Arial" w:hAnsi="Arial" w:cs="Arial"/>
          <w:b/>
          <w:bCs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50M</w:t>
      </w:r>
      <w:r w:rsidR="00E660B5">
        <w:rPr>
          <w:rFonts w:ascii="Arial" w:eastAsia="Arial" w:hAnsi="Arial" w:cs="Arial"/>
          <w:b/>
          <w:bCs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.</w:t>
      </w:r>
      <w:r w:rsidR="0009567C" w:rsidRPr="0009567C">
        <w:rPr>
          <w:rFonts w:ascii="Arial" w:eastAsia="Arial" w:hAnsi="Arial" w:cs="Arial"/>
          <w:sz w:val="22"/>
          <w:szCs w:val="22"/>
        </w:rPr>
        <w:br/>
        <w:t>SDS-PAGE gels illustrating the impact of temperature on VHH expression and aggregation over time. Cultures were induced for 12 h at 37 °C with 0.25 mM IPTG, followed by lysis in 1×PBS. Both soluble (S) and insoluble (P) fractions were collected and subjected to brief (5 min) or prolonged (48 h) incubation at the indicated temperatures (4 °C, 25 °C, 37 °C) prior to analysis.</w:t>
      </w:r>
      <w:r w:rsidR="00622FD5">
        <w:rPr>
          <w:rFonts w:ascii="Arial" w:eastAsia="Arial" w:hAnsi="Arial" w:cs="Arial"/>
          <w:sz w:val="22"/>
          <w:szCs w:val="22"/>
        </w:rPr>
        <w:t xml:space="preserve"> </w:t>
      </w:r>
      <w:r w:rsidR="0009567C" w:rsidRPr="0009567C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A</w:t>
      </w:r>
      <w:r w:rsidR="0009567C" w:rsidRPr="0009567C">
        <w:rPr>
          <w:rFonts w:ascii="Arial" w:eastAsia="Arial" w:hAnsi="Arial" w:cs="Arial"/>
          <w:sz w:val="22"/>
          <w:szCs w:val="22"/>
        </w:rPr>
        <w:t>) At 5 min post-lysis, wild-type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sz w:val="22"/>
          <w:szCs w:val="22"/>
        </w:rPr>
        <w:t>50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sz w:val="22"/>
          <w:szCs w:val="22"/>
        </w:rPr>
        <w:t xml:space="preserve"> was largely found in the pellet (P), whereas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sz w:val="22"/>
          <w:szCs w:val="22"/>
        </w:rPr>
        <w:t>50M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sz w:val="22"/>
          <w:szCs w:val="22"/>
        </w:rPr>
        <w:t xml:space="preserve"> showed partial solubility.</w:t>
      </w:r>
      <w:r w:rsidR="0046204D">
        <w:rPr>
          <w:rFonts w:ascii="Arial" w:eastAsia="Arial" w:hAnsi="Arial" w:cs="Arial"/>
          <w:sz w:val="22"/>
          <w:szCs w:val="22"/>
        </w:rPr>
        <w:t xml:space="preserve"> </w:t>
      </w:r>
      <w:r w:rsidR="0009567C" w:rsidRPr="0009567C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b/>
          <w:bCs/>
          <w:sz w:val="22"/>
          <w:szCs w:val="22"/>
        </w:rPr>
        <w:t>B</w:t>
      </w:r>
      <w:r w:rsidR="0009567C" w:rsidRPr="0009567C">
        <w:rPr>
          <w:rFonts w:ascii="Arial" w:eastAsia="Arial" w:hAnsi="Arial" w:cs="Arial"/>
          <w:sz w:val="22"/>
          <w:szCs w:val="22"/>
        </w:rPr>
        <w:t>) After 48 h, the soluble fraction of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sz w:val="22"/>
          <w:szCs w:val="22"/>
        </w:rPr>
        <w:t>50M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sz w:val="22"/>
          <w:szCs w:val="22"/>
        </w:rPr>
        <w:t xml:space="preserve"> remained stable at all temperatures, whereas wild-type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09567C" w:rsidRPr="0009567C">
        <w:rPr>
          <w:rFonts w:ascii="Arial" w:eastAsia="Arial" w:hAnsi="Arial" w:cs="Arial"/>
          <w:sz w:val="22"/>
          <w:szCs w:val="22"/>
        </w:rPr>
        <w:t>50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09567C" w:rsidRPr="0009567C">
        <w:rPr>
          <w:rFonts w:ascii="Arial" w:eastAsia="Arial" w:hAnsi="Arial" w:cs="Arial"/>
          <w:sz w:val="22"/>
          <w:szCs w:val="22"/>
        </w:rPr>
        <w:t xml:space="preserve"> exhibited extensive aggregation. Red boxes highlight the expected ~15 kDa VHH band. M: molecular weight marker; W: whole cell lysate (solubilized in 8 M urea).</w:t>
      </w:r>
    </w:p>
    <w:p w14:paraId="1426B2A7" w14:textId="5EEA7058" w:rsidR="46A3B0A9" w:rsidRPr="004B3C75" w:rsidRDefault="46A3B0A9" w:rsidP="001F624B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365F3046" w14:textId="19A5293C" w:rsidR="0008057A" w:rsidRDefault="0008057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1A480E6C" w14:textId="3B38C77B" w:rsidR="00C63E5E" w:rsidRPr="004B3C75" w:rsidRDefault="00B02E13" w:rsidP="001F624B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B02E13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0C9001A6" wp14:editId="29B39BDC">
            <wp:extent cx="2387279" cy="2286000"/>
            <wp:effectExtent l="0" t="0" r="0" b="0"/>
            <wp:docPr id="8" name="Picture 8" descr="O:\CAND\Diamond Research\Ankit Diamond LAB\Nanobody project\MS\FInal MS draft\Journal submission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AND\Diamond Research\Ankit Diamond LAB\Nanobody project\MS\FInal MS draft\Journal submission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7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EC27" w14:textId="36DA01CA" w:rsidR="00F52155" w:rsidRDefault="21C097BD" w:rsidP="002F112B">
      <w:pPr>
        <w:spacing w:before="240" w:after="0" w:line="240" w:lineRule="auto"/>
        <w:rPr>
          <w:rFonts w:ascii="Arial" w:eastAsia="Arial" w:hAnsi="Arial" w:cs="Arial"/>
          <w:sz w:val="22"/>
          <w:szCs w:val="22"/>
        </w:rPr>
      </w:pPr>
      <w:r w:rsidRPr="0C6C9EA1">
        <w:rPr>
          <w:rFonts w:ascii="Arial" w:eastAsia="Arial" w:hAnsi="Arial" w:cs="Arial"/>
          <w:b/>
          <w:bCs/>
          <w:sz w:val="22"/>
          <w:szCs w:val="22"/>
        </w:rPr>
        <w:t>Figure S</w:t>
      </w:r>
      <w:r w:rsidR="009540E6">
        <w:rPr>
          <w:rFonts w:ascii="Arial" w:eastAsia="Arial" w:hAnsi="Arial" w:cs="Arial"/>
          <w:b/>
          <w:bCs/>
          <w:sz w:val="22"/>
          <w:szCs w:val="22"/>
        </w:rPr>
        <w:t>5</w:t>
      </w:r>
      <w:r w:rsidRPr="0C6C9EA1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62559848" w:rsidRPr="0C6C9EA1">
        <w:rPr>
          <w:rFonts w:ascii="Arial" w:eastAsia="Arial" w:hAnsi="Arial" w:cs="Arial"/>
          <w:b/>
          <w:bCs/>
          <w:sz w:val="22"/>
          <w:szCs w:val="22"/>
        </w:rPr>
        <w:t>Purification of anti-tau VHH</w:t>
      </w:r>
      <w:r w:rsidR="00E660B5">
        <w:rPr>
          <w:rFonts w:ascii="Arial" w:eastAsia="Arial" w:hAnsi="Arial" w:cs="Arial"/>
          <w:b/>
          <w:bCs/>
          <w:sz w:val="22"/>
          <w:szCs w:val="22"/>
        </w:rPr>
        <w:t>(</w:t>
      </w:r>
      <w:r w:rsidR="62559848" w:rsidRPr="0C6C9EA1">
        <w:rPr>
          <w:rFonts w:ascii="Arial" w:eastAsia="Arial" w:hAnsi="Arial" w:cs="Arial"/>
          <w:b/>
          <w:bCs/>
          <w:sz w:val="22"/>
          <w:szCs w:val="22"/>
        </w:rPr>
        <w:t>510M</w:t>
      </w:r>
      <w:r w:rsidR="00E660B5">
        <w:rPr>
          <w:rFonts w:ascii="Arial" w:eastAsia="Arial" w:hAnsi="Arial" w:cs="Arial"/>
          <w:b/>
          <w:bCs/>
          <w:sz w:val="22"/>
          <w:szCs w:val="22"/>
        </w:rPr>
        <w:t>)</w:t>
      </w:r>
      <w:r w:rsidR="62559848" w:rsidRPr="0C6C9EA1">
        <w:rPr>
          <w:rFonts w:ascii="Arial" w:eastAsia="Arial" w:hAnsi="Arial" w:cs="Arial"/>
          <w:b/>
          <w:bCs/>
          <w:sz w:val="22"/>
          <w:szCs w:val="22"/>
        </w:rPr>
        <w:t xml:space="preserve"> using Amsphere™ A3 resin.</w:t>
      </w:r>
      <w:r w:rsidR="6A5ACB22">
        <w:br/>
      </w:r>
      <w:r w:rsidR="62559848" w:rsidRPr="0C6C9EA1">
        <w:rPr>
          <w:rFonts w:ascii="Arial" w:eastAsia="Arial" w:hAnsi="Arial" w:cs="Arial"/>
          <w:sz w:val="22"/>
          <w:szCs w:val="22"/>
        </w:rPr>
        <w:t xml:space="preserve">SDS-PAGE gel illustrating each purification step. M, molecular weight marker; U, whole cell lysate in 8 M urea; L, </w:t>
      </w:r>
      <w:r w:rsidR="5D2C7382" w:rsidRPr="0C6C9EA1">
        <w:rPr>
          <w:rFonts w:ascii="Arial" w:eastAsia="Arial" w:hAnsi="Arial" w:cs="Arial"/>
          <w:sz w:val="22"/>
          <w:szCs w:val="22"/>
        </w:rPr>
        <w:t xml:space="preserve">clarified cell </w:t>
      </w:r>
      <w:r w:rsidR="62559848" w:rsidRPr="0C6C9EA1">
        <w:rPr>
          <w:rFonts w:ascii="Arial" w:eastAsia="Arial" w:hAnsi="Arial" w:cs="Arial"/>
          <w:sz w:val="22"/>
          <w:szCs w:val="22"/>
        </w:rPr>
        <w:t xml:space="preserve">lysate loaded onto the A3 column; FT, flow-through containing unbound material; W1–W4, successive wash steps with </w:t>
      </w:r>
      <w:r w:rsidR="00F619B5">
        <w:rPr>
          <w:rFonts w:ascii="Arial" w:eastAsia="Arial" w:hAnsi="Arial" w:cs="Arial"/>
          <w:sz w:val="22"/>
          <w:szCs w:val="22"/>
        </w:rPr>
        <w:t>1x</w:t>
      </w:r>
      <w:r w:rsidR="62559848" w:rsidRPr="0C6C9EA1">
        <w:rPr>
          <w:rFonts w:ascii="Arial" w:eastAsia="Arial" w:hAnsi="Arial" w:cs="Arial"/>
          <w:sz w:val="22"/>
          <w:szCs w:val="22"/>
        </w:rPr>
        <w:t xml:space="preserve">PBS containing 500 mM, 1 M, 2 M, and 5 M NaCl, respectively; E1–E3, elutions collected with 200 mM glycine (pH 2.5); C, </w:t>
      </w:r>
      <w:r w:rsidR="003E3C92">
        <w:rPr>
          <w:rFonts w:ascii="Arial" w:eastAsia="Arial" w:hAnsi="Arial" w:cs="Arial"/>
          <w:sz w:val="22"/>
          <w:szCs w:val="22"/>
        </w:rPr>
        <w:t>bead cleaning</w:t>
      </w:r>
      <w:r w:rsidR="62559848" w:rsidRPr="0C6C9EA1">
        <w:rPr>
          <w:rFonts w:ascii="Arial" w:eastAsia="Arial" w:hAnsi="Arial" w:cs="Arial"/>
          <w:sz w:val="22"/>
          <w:szCs w:val="22"/>
        </w:rPr>
        <w:t xml:space="preserve"> with 1 M NaOH. The purified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62559848" w:rsidRPr="0C6C9EA1">
        <w:rPr>
          <w:rFonts w:ascii="Arial" w:eastAsia="Arial" w:hAnsi="Arial" w:cs="Arial"/>
          <w:sz w:val="22"/>
          <w:szCs w:val="22"/>
        </w:rPr>
        <w:t>510M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62559848" w:rsidRPr="0C6C9EA1">
        <w:rPr>
          <w:rFonts w:ascii="Arial" w:eastAsia="Arial" w:hAnsi="Arial" w:cs="Arial"/>
          <w:sz w:val="22"/>
          <w:szCs w:val="22"/>
        </w:rPr>
        <w:t xml:space="preserve"> (~15 kDa, arrow) elutes in E1 and E2. Pooled fractions were subsequently subjected to size-exclusion chromatography (SEC) to remove high-molecular-weight impurities, and the final purified protein was used in downstream experiments.</w:t>
      </w:r>
    </w:p>
    <w:p w14:paraId="6E373354" w14:textId="77777777" w:rsidR="00D45091" w:rsidRDefault="00D45091">
      <w:pPr>
        <w:rPr>
          <w:rFonts w:ascii="Arial" w:eastAsia="Arial" w:hAnsi="Arial" w:cs="Arial"/>
          <w:sz w:val="22"/>
          <w:szCs w:val="22"/>
        </w:rPr>
      </w:pPr>
    </w:p>
    <w:p w14:paraId="5471E17E" w14:textId="77777777" w:rsidR="0094535A" w:rsidRDefault="0094535A" w:rsidP="009540E6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7DBD38D4" w14:textId="77777777" w:rsidR="009336D5" w:rsidRDefault="009336D5" w:rsidP="009540E6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61207349" w14:textId="77777777" w:rsidR="00FF5D4F" w:rsidRDefault="00FF5D4F" w:rsidP="009540E6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013B8FA8" w14:textId="77777777" w:rsidR="00FF5D4F" w:rsidRDefault="00FF5D4F" w:rsidP="009540E6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795134C0" w14:textId="5D7C8F30" w:rsidR="009540E6" w:rsidRPr="004B3C75" w:rsidRDefault="54DD4998" w:rsidP="3EF50A74">
      <w:pPr>
        <w:spacing w:after="0" w:line="24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58A82C5" wp14:editId="5520310E">
            <wp:extent cx="4910375" cy="4572000"/>
            <wp:effectExtent l="0" t="0" r="0" b="0"/>
            <wp:docPr id="7109023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02380" name="Picture 7109023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93B3" w14:textId="62473B3F" w:rsidR="009540E6" w:rsidRPr="004B3C75" w:rsidRDefault="009540E6" w:rsidP="005F5FA6">
      <w:pPr>
        <w:spacing w:before="240" w:after="0" w:line="240" w:lineRule="auto"/>
        <w:rPr>
          <w:rFonts w:ascii="Arial" w:eastAsia="Aptos" w:hAnsi="Arial" w:cs="Arial"/>
          <w:sz w:val="22"/>
          <w:szCs w:val="22"/>
        </w:rPr>
      </w:pPr>
      <w:r w:rsidRPr="00994996">
        <w:rPr>
          <w:rFonts w:ascii="Arial" w:eastAsia="Arial" w:hAnsi="Arial" w:cs="Arial"/>
          <w:b/>
          <w:bCs/>
          <w:sz w:val="22"/>
          <w:szCs w:val="22"/>
        </w:rPr>
        <w:t>Figure S</w:t>
      </w:r>
      <w:r>
        <w:rPr>
          <w:rFonts w:ascii="Arial" w:eastAsia="Arial" w:hAnsi="Arial" w:cs="Arial"/>
          <w:b/>
          <w:bCs/>
          <w:sz w:val="22"/>
          <w:szCs w:val="22"/>
        </w:rPr>
        <w:t>6</w:t>
      </w:r>
      <w:r w:rsidRPr="00994996">
        <w:rPr>
          <w:rFonts w:ascii="Arial" w:eastAsia="Arial" w:hAnsi="Arial" w:cs="Arial"/>
          <w:b/>
          <w:bCs/>
          <w:sz w:val="22"/>
          <w:szCs w:val="22"/>
        </w:rPr>
        <w:t xml:space="preserve">. Confirmation of VHH(510M) folding and stability. </w:t>
      </w:r>
      <w:r w:rsidRPr="00994996">
        <w:rPr>
          <w:rFonts w:ascii="Arial" w:eastAsia="Arial" w:hAnsi="Arial" w:cs="Arial"/>
          <w:sz w:val="22"/>
          <w:szCs w:val="22"/>
        </w:rPr>
        <w:t>(</w:t>
      </w:r>
      <w:r w:rsidRPr="00994996">
        <w:rPr>
          <w:rFonts w:ascii="Arial" w:eastAsia="Arial" w:hAnsi="Arial" w:cs="Arial"/>
          <w:b/>
          <w:bCs/>
          <w:sz w:val="22"/>
          <w:szCs w:val="22"/>
        </w:rPr>
        <w:t>A</w:t>
      </w:r>
      <w:r w:rsidRPr="00994996">
        <w:rPr>
          <w:rFonts w:ascii="Arial" w:eastAsia="Arial" w:hAnsi="Arial" w:cs="Arial"/>
          <w:sz w:val="22"/>
          <w:szCs w:val="22"/>
        </w:rPr>
        <w:t>) Far-UV circular dichroism (CD) spectrum of purified VHH(510M) (left panel: blue), and VHH(50M) (right panel: red) showing a characteristic β-sheet minimum around 215 nm. (</w:t>
      </w:r>
      <w:r w:rsidRPr="00994996">
        <w:rPr>
          <w:rFonts w:ascii="Arial" w:eastAsia="Arial" w:hAnsi="Arial" w:cs="Arial"/>
          <w:b/>
          <w:bCs/>
          <w:sz w:val="22"/>
          <w:szCs w:val="22"/>
        </w:rPr>
        <w:t>B</w:t>
      </w:r>
      <w:r w:rsidRPr="00994996">
        <w:rPr>
          <w:rFonts w:ascii="Arial" w:eastAsia="Arial" w:hAnsi="Arial" w:cs="Arial"/>
          <w:sz w:val="22"/>
          <w:szCs w:val="22"/>
        </w:rPr>
        <w:t>) Representative thermal denaturation profile (10 °C to 95 °C), monitored by the change in ellipticity at 215 nm (θ</w:t>
      </w:r>
      <w:r w:rsidRPr="00994996">
        <w:rPr>
          <w:rFonts w:ascii="Arial" w:eastAsia="Arial" w:hAnsi="Arial" w:cs="Arial"/>
          <w:sz w:val="22"/>
          <w:szCs w:val="22"/>
          <w:vertAlign w:val="subscript"/>
        </w:rPr>
        <w:t>215</w:t>
      </w:r>
      <w:r w:rsidRPr="00994996">
        <w:rPr>
          <w:rFonts w:ascii="Arial" w:eastAsia="Arial" w:hAnsi="Arial" w:cs="Arial"/>
          <w:sz w:val="22"/>
          <w:szCs w:val="22"/>
        </w:rPr>
        <w:t xml:space="preserve">) for VHH(510M) (left panel: blue), and VHH(50M) (right panel: red). Both the VHHs remain stably folded up to approximately 55 °C, beyond which </w:t>
      </w:r>
      <w:r w:rsidR="00654DBE">
        <w:rPr>
          <w:rFonts w:ascii="Arial" w:eastAsia="Arial" w:hAnsi="Arial" w:cs="Arial"/>
          <w:sz w:val="22"/>
          <w:szCs w:val="22"/>
        </w:rPr>
        <w:t>they</w:t>
      </w:r>
      <w:r w:rsidRPr="00994996">
        <w:rPr>
          <w:rFonts w:ascii="Arial" w:eastAsia="Arial" w:hAnsi="Arial" w:cs="Arial"/>
          <w:sz w:val="22"/>
          <w:szCs w:val="22"/>
        </w:rPr>
        <w:t xml:space="preserve"> transition to an unfolded state. </w:t>
      </w:r>
    </w:p>
    <w:p w14:paraId="49611B5B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551E8B54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53D3E23A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0C3DB2F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7709421D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B460847" w14:textId="77777777" w:rsidR="00756D21" w:rsidRDefault="00756D21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596F173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63D19AE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6364D138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1A52E0B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1DE80104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6C5AF3CF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0837C223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778ED992" w14:textId="77777777" w:rsidR="00FF5D4F" w:rsidRDefault="00FF5D4F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</w:p>
    <w:p w14:paraId="10A35EB9" w14:textId="5E1F7315" w:rsidR="00D45091" w:rsidRDefault="00B4408A" w:rsidP="00D45091">
      <w:pPr>
        <w:spacing w:after="0" w:line="240" w:lineRule="auto"/>
        <w:jc w:val="center"/>
        <w:rPr>
          <w:rFonts w:ascii="Aptos" w:eastAsia="Aptos" w:hAnsi="Aptos" w:cs="Aptos"/>
          <w:color w:val="000000" w:themeColor="text1"/>
        </w:rPr>
      </w:pPr>
      <w:r w:rsidRPr="00B4408A">
        <w:rPr>
          <w:rFonts w:ascii="Aptos" w:eastAsia="Aptos" w:hAnsi="Aptos" w:cs="Aptos"/>
          <w:noProof/>
          <w:color w:val="000000" w:themeColor="text1"/>
          <w:lang w:eastAsia="en-US"/>
        </w:rPr>
        <w:drawing>
          <wp:inline distT="0" distB="0" distL="0" distR="0" wp14:anchorId="6AE4BF5E" wp14:editId="71A3C65D">
            <wp:extent cx="3405075" cy="4572000"/>
            <wp:effectExtent l="0" t="0" r="5080" b="0"/>
            <wp:docPr id="12" name="Picture 12" descr="O:\CAND\Diamond Research\Ankit Diamond LAB\Nanobody project\MS\FInal MS draft\Journal submission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AND\Diamond Research\Ankit Diamond LAB\Nanobody project\MS\FInal MS draft\Journal submission\Figure 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97DA" w14:textId="4DE2A674" w:rsidR="00D45091" w:rsidRDefault="00D45091" w:rsidP="005F5FA6">
      <w:pPr>
        <w:spacing w:before="240" w:after="0" w:line="240" w:lineRule="auto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Figure </w:t>
      </w:r>
      <w: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</w:t>
      </w:r>
      <w:r w:rsidR="009540E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7.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Comparison of seed-binding by wild-type (WT) and stabilized (M) anti-tau VHHs.</w:t>
      </w:r>
    </w:p>
    <w:p w14:paraId="484F6C53" w14:textId="77777777" w:rsidR="00D45091" w:rsidRDefault="00D45091" w:rsidP="00D45091">
      <w:pPr>
        <w:spacing w:after="0" w:line="240" w:lineRule="auto"/>
        <w:rPr>
          <w:rFonts w:ascii="Arial" w:eastAsia="Arial" w:hAnsi="Arial" w:cs="Arial"/>
          <w:color w:val="000000" w:themeColor="text1"/>
          <w:sz w:val="22"/>
          <w:szCs w:val="22"/>
        </w:rPr>
      </w:pP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-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C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) Immunoprecipitation was performed with purified wild-type VHHs (anti-tau VHH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50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 xml:space="preserve"> and VHH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510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) and their stabilized counterparts (anti-tau VHH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50M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 xml:space="preserve"> and VHH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(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510M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 xml:space="preserve">) using Amsphere™ A3 resin across different concentrations of lysate total protein. Bar graphs show the resulting FRET% from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v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2L tau biosensor cells following IP and elution from (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) AD brain lysate, (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>) CBD brain lysate, and (</w:t>
      </w:r>
      <w:r w:rsidRPr="6875378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C</w:t>
      </w:r>
      <w:r w:rsidRPr="6875378C">
        <w:rPr>
          <w:rFonts w:ascii="Arial" w:eastAsia="Arial" w:hAnsi="Arial" w:cs="Arial"/>
          <w:color w:val="000000" w:themeColor="text1"/>
          <w:sz w:val="22"/>
          <w:szCs w:val="22"/>
        </w:rPr>
        <w:t xml:space="preserve">) P301S mouse brain lysate. A non-specific (NS) VHH was included as a negative control. </w:t>
      </w:r>
    </w:p>
    <w:p w14:paraId="46993C2B" w14:textId="39B689AE" w:rsidR="00C63E5E" w:rsidRPr="004B3C75" w:rsidRDefault="00F52155" w:rsidP="00E169C9">
      <w:pPr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3AC432AD" w14:textId="00A73C50" w:rsidR="00C63E5E" w:rsidRPr="004B3C75" w:rsidRDefault="004A01E3" w:rsidP="001F624B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4A01E3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72510B78" wp14:editId="608C64B1">
            <wp:extent cx="4102640" cy="4114800"/>
            <wp:effectExtent l="0" t="0" r="0" b="0"/>
            <wp:docPr id="4" name="Picture 4" descr="O:\CAND\Diamond Research\Ankit Diamond LAB\Nanobody project\MS\FInal MS draft\Journal submission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AND\Diamond Research\Ankit Diamond LAB\Nanobody project\MS\FInal MS draft\Journal submission\Figure S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7444" w14:textId="7C478C96" w:rsidR="784CB40E" w:rsidRPr="004B3C75" w:rsidRDefault="784CB40E" w:rsidP="005F5FA6">
      <w:pPr>
        <w:spacing w:before="240" w:after="0" w:line="240" w:lineRule="auto"/>
        <w:rPr>
          <w:rFonts w:ascii="Arial" w:eastAsia="Aptos" w:hAnsi="Arial" w:cs="Arial"/>
          <w:sz w:val="22"/>
          <w:szCs w:val="22"/>
        </w:rPr>
      </w:pP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Figure </w:t>
      </w:r>
      <w:r w:rsidR="00D37D43" w:rsidRPr="004B3C75">
        <w:rPr>
          <w:rFonts w:ascii="Arial" w:eastAsia="Arial" w:hAnsi="Arial" w:cs="Arial"/>
          <w:b/>
          <w:bCs/>
          <w:sz w:val="22"/>
          <w:szCs w:val="22"/>
        </w:rPr>
        <w:t>S</w:t>
      </w:r>
      <w:r w:rsidR="00D37D43">
        <w:rPr>
          <w:rFonts w:ascii="Arial" w:eastAsia="Arial" w:hAnsi="Arial" w:cs="Arial"/>
          <w:b/>
          <w:bCs/>
          <w:sz w:val="22"/>
          <w:szCs w:val="22"/>
        </w:rPr>
        <w:t>8</w:t>
      </w:r>
      <w:r w:rsidRPr="004B3C75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9B6F9E">
        <w:rPr>
          <w:rFonts w:ascii="Arial" w:eastAsia="Arial" w:hAnsi="Arial" w:cs="Arial"/>
          <w:b/>
          <w:bCs/>
          <w:sz w:val="22"/>
          <w:szCs w:val="22"/>
        </w:rPr>
        <w:t>A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>ffinity measurements of VHH</w:t>
      </w:r>
      <w:r w:rsidR="00E660B5">
        <w:rPr>
          <w:rFonts w:ascii="Arial" w:eastAsia="Arial" w:hAnsi="Arial" w:cs="Arial"/>
          <w:b/>
          <w:bCs/>
          <w:sz w:val="22"/>
          <w:szCs w:val="22"/>
        </w:rPr>
        <w:t>(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>510M</w:t>
      </w:r>
      <w:r w:rsidR="00E660B5">
        <w:rPr>
          <w:rFonts w:ascii="Arial" w:eastAsia="Arial" w:hAnsi="Arial" w:cs="Arial"/>
          <w:b/>
          <w:bCs/>
          <w:sz w:val="22"/>
          <w:szCs w:val="22"/>
        </w:rPr>
        <w:t>)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 xml:space="preserve"> and VHH</w:t>
      </w:r>
      <w:r w:rsidR="00E660B5">
        <w:rPr>
          <w:rFonts w:ascii="Arial" w:eastAsia="Arial" w:hAnsi="Arial" w:cs="Arial"/>
          <w:b/>
          <w:bCs/>
          <w:sz w:val="22"/>
          <w:szCs w:val="22"/>
        </w:rPr>
        <w:t>(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>50M</w:t>
      </w:r>
      <w:r w:rsidR="00E660B5">
        <w:rPr>
          <w:rFonts w:ascii="Arial" w:eastAsia="Arial" w:hAnsi="Arial" w:cs="Arial"/>
          <w:b/>
          <w:bCs/>
          <w:sz w:val="22"/>
          <w:szCs w:val="22"/>
        </w:rPr>
        <w:t>)</w:t>
      </w:r>
      <w:r w:rsidR="00BA6C66">
        <w:rPr>
          <w:rFonts w:ascii="Arial" w:eastAsia="Arial" w:hAnsi="Arial" w:cs="Arial"/>
          <w:b/>
          <w:bCs/>
          <w:sz w:val="22"/>
          <w:szCs w:val="22"/>
        </w:rPr>
        <w:t xml:space="preserve"> against tau monomer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>.</w:t>
      </w:r>
      <w:r w:rsidR="000D04DB" w:rsidRPr="000D04DB">
        <w:rPr>
          <w:rFonts w:ascii="Arial" w:eastAsia="Arial" w:hAnsi="Arial" w:cs="Arial"/>
          <w:sz w:val="22"/>
          <w:szCs w:val="22"/>
        </w:rPr>
        <w:br/>
        <w:t>(</w:t>
      </w:r>
      <w:r w:rsidR="000D04DB" w:rsidRPr="000D04DB">
        <w:rPr>
          <w:rFonts w:ascii="Arial" w:eastAsia="Arial" w:hAnsi="Arial" w:cs="Arial"/>
          <w:b/>
          <w:bCs/>
          <w:sz w:val="22"/>
          <w:szCs w:val="22"/>
        </w:rPr>
        <w:t>A</w:t>
      </w:r>
      <w:r w:rsidR="000D04DB" w:rsidRPr="000D04DB">
        <w:rPr>
          <w:rFonts w:ascii="Arial" w:eastAsia="Arial" w:hAnsi="Arial" w:cs="Arial"/>
          <w:sz w:val="22"/>
          <w:szCs w:val="22"/>
        </w:rPr>
        <w:t xml:space="preserve">) </w:t>
      </w:r>
      <w:r w:rsidR="009B6F9E" w:rsidRPr="009B6F9E">
        <w:rPr>
          <w:rFonts w:ascii="Arial" w:eastAsia="Arial" w:hAnsi="Arial" w:cs="Arial"/>
          <w:sz w:val="22"/>
          <w:szCs w:val="22"/>
        </w:rPr>
        <w:t xml:space="preserve">On-yeast EC50 measurements for anti-tau VHH(510) (left) and VHH(50) (right) against Alexa-647–labeled 2N4R monomer. Here, the percentage of dual-positive yeast cells (i.e., cells displaying a given VHH on their surface and binding the </w:t>
      </w:r>
      <w:r w:rsidR="009B6F9E">
        <w:rPr>
          <w:rFonts w:ascii="Arial" w:eastAsia="Arial" w:hAnsi="Arial" w:cs="Arial"/>
          <w:sz w:val="22"/>
          <w:szCs w:val="22"/>
        </w:rPr>
        <w:t xml:space="preserve">fluorophore </w:t>
      </w:r>
      <w:r w:rsidR="009B6F9E" w:rsidRPr="009B6F9E">
        <w:rPr>
          <w:rFonts w:ascii="Arial" w:eastAsia="Arial" w:hAnsi="Arial" w:cs="Arial"/>
          <w:sz w:val="22"/>
          <w:szCs w:val="22"/>
        </w:rPr>
        <w:t>labeled tau) is plotted against increasing concentrations of fluorophore-labeled tau.</w:t>
      </w:r>
      <w:r w:rsidR="008E7053">
        <w:rPr>
          <w:rFonts w:ascii="Arial" w:eastAsia="Arial" w:hAnsi="Arial" w:cs="Arial"/>
          <w:sz w:val="22"/>
          <w:szCs w:val="22"/>
        </w:rPr>
        <w:t xml:space="preserve"> (</w:t>
      </w:r>
      <w:r w:rsidR="008E7053" w:rsidRPr="00E44F00">
        <w:rPr>
          <w:rFonts w:ascii="Arial" w:eastAsia="Arial" w:hAnsi="Arial" w:cs="Arial"/>
          <w:b/>
          <w:sz w:val="22"/>
          <w:szCs w:val="22"/>
        </w:rPr>
        <w:t>B</w:t>
      </w:r>
      <w:r w:rsidR="008E7053">
        <w:rPr>
          <w:rFonts w:ascii="Arial" w:eastAsia="Arial" w:hAnsi="Arial" w:cs="Arial"/>
          <w:sz w:val="22"/>
          <w:szCs w:val="22"/>
        </w:rPr>
        <w:t xml:space="preserve">) In-solution kinetics </w:t>
      </w:r>
      <w:r w:rsidR="000D04DB" w:rsidRPr="000D04DB">
        <w:rPr>
          <w:rFonts w:ascii="Arial" w:eastAsia="Arial" w:hAnsi="Arial" w:cs="Arial"/>
          <w:sz w:val="22"/>
          <w:szCs w:val="22"/>
        </w:rPr>
        <w:t>of VHH</w:t>
      </w:r>
      <w:r w:rsidR="00E660B5">
        <w:rPr>
          <w:rFonts w:ascii="Arial" w:eastAsia="Arial" w:hAnsi="Arial" w:cs="Arial"/>
          <w:sz w:val="22"/>
          <w:szCs w:val="22"/>
        </w:rPr>
        <w:t>(</w:t>
      </w:r>
      <w:r w:rsidR="000D04DB" w:rsidRPr="000D04DB">
        <w:rPr>
          <w:rFonts w:ascii="Arial" w:eastAsia="Arial" w:hAnsi="Arial" w:cs="Arial"/>
          <w:sz w:val="22"/>
          <w:szCs w:val="22"/>
        </w:rPr>
        <w:t>510M</w:t>
      </w:r>
      <w:r w:rsidR="00E660B5">
        <w:rPr>
          <w:rFonts w:ascii="Arial" w:eastAsia="Arial" w:hAnsi="Arial" w:cs="Arial"/>
          <w:sz w:val="22"/>
          <w:szCs w:val="22"/>
        </w:rPr>
        <w:t>)</w:t>
      </w:r>
      <w:r w:rsidR="000D04DB" w:rsidRPr="000D04DB">
        <w:rPr>
          <w:rFonts w:ascii="Arial" w:eastAsia="Arial" w:hAnsi="Arial" w:cs="Arial"/>
          <w:sz w:val="22"/>
          <w:szCs w:val="22"/>
        </w:rPr>
        <w:t xml:space="preserve"> to tau monomer measured using Flow-Induced Dispersion Analysis (FIDA). The hydrodynamic radius (R</w:t>
      </w:r>
      <w:r w:rsidR="000D04DB" w:rsidRPr="0044485B">
        <w:rPr>
          <w:rFonts w:ascii="Arial" w:eastAsia="Arial" w:hAnsi="Arial" w:cs="Arial"/>
          <w:sz w:val="22"/>
          <w:szCs w:val="22"/>
          <w:vertAlign w:val="subscript"/>
        </w:rPr>
        <w:t>h</w:t>
      </w:r>
      <w:r w:rsidR="000D04DB" w:rsidRPr="000D04DB">
        <w:rPr>
          <w:rFonts w:ascii="Arial" w:eastAsia="Arial" w:hAnsi="Arial" w:cs="Arial"/>
          <w:sz w:val="22"/>
          <w:szCs w:val="22"/>
        </w:rPr>
        <w:t>) of the VHH–tau complex is plotted against various tau concentrations, yielding a K</w:t>
      </w:r>
      <w:r w:rsidR="000D04DB" w:rsidRPr="000D04DB">
        <w:rPr>
          <w:rFonts w:ascii="Arial" w:eastAsia="Arial" w:hAnsi="Arial" w:cs="Arial"/>
          <w:sz w:val="22"/>
          <w:szCs w:val="22"/>
          <w:vertAlign w:val="subscript"/>
        </w:rPr>
        <w:t>D</w:t>
      </w:r>
      <w:r w:rsidR="000D04DB" w:rsidRPr="000D04DB">
        <w:rPr>
          <w:rFonts w:ascii="Arial" w:eastAsia="Arial" w:hAnsi="Arial" w:cs="Arial"/>
          <w:sz w:val="22"/>
          <w:szCs w:val="22"/>
        </w:rPr>
        <w:t xml:space="preserve"> of </w:t>
      </w:r>
      <w:r w:rsidR="00486CC1">
        <w:rPr>
          <w:rFonts w:ascii="Arial" w:eastAsia="Arial" w:hAnsi="Arial" w:cs="Arial"/>
          <w:sz w:val="22"/>
          <w:szCs w:val="22"/>
        </w:rPr>
        <w:t>&gt;</w:t>
      </w:r>
      <w:r w:rsidR="000D04DB" w:rsidRPr="000D04DB">
        <w:rPr>
          <w:rFonts w:ascii="Arial" w:eastAsia="Arial" w:hAnsi="Arial" w:cs="Arial"/>
          <w:sz w:val="22"/>
          <w:szCs w:val="22"/>
        </w:rPr>
        <w:t>4.2 µM upon fitting to a 1:1 binding model</w:t>
      </w:r>
      <w:r w:rsidR="00486CC1">
        <w:rPr>
          <w:rFonts w:ascii="Arial" w:eastAsia="Arial" w:hAnsi="Arial" w:cs="Arial"/>
          <w:sz w:val="22"/>
          <w:szCs w:val="22"/>
        </w:rPr>
        <w:t xml:space="preserve"> (</w:t>
      </w:r>
      <w:r w:rsidR="00486CC1" w:rsidRPr="008D0F01">
        <w:rPr>
          <w:rFonts w:ascii="Arial" w:eastAsia="Arial" w:hAnsi="Arial" w:cs="Arial"/>
          <w:sz w:val="22"/>
          <w:szCs w:val="22"/>
        </w:rPr>
        <w:t>Note:</w:t>
      </w:r>
      <w:r w:rsidR="00486CC1">
        <w:rPr>
          <w:rFonts w:ascii="Arial" w:eastAsia="Arial" w:hAnsi="Arial" w:cs="Arial"/>
          <w:sz w:val="22"/>
          <w:szCs w:val="22"/>
        </w:rPr>
        <w:t xml:space="preserve"> The post-transition baseline is not clear, it’s difficult to estimate accurate</w:t>
      </w:r>
      <w:r w:rsidR="00486CC1" w:rsidRPr="00486CC1">
        <w:rPr>
          <w:rFonts w:ascii="Arial" w:eastAsia="Arial" w:hAnsi="Arial" w:cs="Arial"/>
          <w:sz w:val="22"/>
          <w:szCs w:val="22"/>
        </w:rPr>
        <w:t xml:space="preserve"> </w:t>
      </w:r>
      <w:r w:rsidR="00486CC1" w:rsidRPr="000D04DB">
        <w:rPr>
          <w:rFonts w:ascii="Arial" w:eastAsia="Arial" w:hAnsi="Arial" w:cs="Arial"/>
          <w:sz w:val="22"/>
          <w:szCs w:val="22"/>
        </w:rPr>
        <w:t>K</w:t>
      </w:r>
      <w:r w:rsidR="00486CC1" w:rsidRPr="000D04DB">
        <w:rPr>
          <w:rFonts w:ascii="Arial" w:eastAsia="Arial" w:hAnsi="Arial" w:cs="Arial"/>
          <w:sz w:val="22"/>
          <w:szCs w:val="22"/>
          <w:vertAlign w:val="subscript"/>
        </w:rPr>
        <w:t>D</w:t>
      </w:r>
      <w:r w:rsidR="00486CC1" w:rsidRPr="00486CC1">
        <w:rPr>
          <w:rFonts w:ascii="Arial" w:eastAsia="Arial" w:hAnsi="Arial" w:cs="Arial"/>
          <w:sz w:val="22"/>
          <w:szCs w:val="22"/>
        </w:rPr>
        <w:t>)</w:t>
      </w:r>
      <w:r w:rsidR="000D04DB" w:rsidRPr="000D04DB">
        <w:rPr>
          <w:rFonts w:ascii="Arial" w:eastAsia="Arial" w:hAnsi="Arial" w:cs="Arial"/>
          <w:sz w:val="22"/>
          <w:szCs w:val="22"/>
        </w:rPr>
        <w:t>.</w:t>
      </w:r>
      <w:r w:rsidR="000D04DB">
        <w:rPr>
          <w:rFonts w:ascii="Arial" w:eastAsia="Arial" w:hAnsi="Arial" w:cs="Arial"/>
          <w:sz w:val="22"/>
          <w:szCs w:val="22"/>
        </w:rPr>
        <w:t xml:space="preserve"> </w:t>
      </w:r>
      <w:r w:rsidR="00820B00">
        <w:rPr>
          <w:rFonts w:ascii="Arial" w:eastAsia="Arial" w:hAnsi="Arial" w:cs="Arial"/>
          <w:sz w:val="22"/>
          <w:szCs w:val="22"/>
        </w:rPr>
        <w:t>A s</w:t>
      </w:r>
      <w:r w:rsidR="000D04DB" w:rsidRPr="005E7B0A">
        <w:rPr>
          <w:rFonts w:ascii="Arial" w:eastAsia="Arial" w:hAnsi="Arial" w:cs="Arial"/>
          <w:sz w:val="22"/>
          <w:szCs w:val="22"/>
        </w:rPr>
        <w:t>imilar analysis for VHH</w:t>
      </w:r>
      <w:r w:rsidR="00E660B5" w:rsidRPr="005E7B0A">
        <w:rPr>
          <w:rFonts w:ascii="Arial" w:eastAsia="Arial" w:hAnsi="Arial" w:cs="Arial"/>
          <w:sz w:val="22"/>
          <w:szCs w:val="22"/>
        </w:rPr>
        <w:t>(</w:t>
      </w:r>
      <w:r w:rsidR="000D04DB" w:rsidRPr="005E7B0A">
        <w:rPr>
          <w:rFonts w:ascii="Arial" w:eastAsia="Arial" w:hAnsi="Arial" w:cs="Arial"/>
          <w:sz w:val="22"/>
          <w:szCs w:val="22"/>
        </w:rPr>
        <w:t>50M</w:t>
      </w:r>
      <w:r w:rsidR="00E660B5" w:rsidRPr="005E7B0A">
        <w:rPr>
          <w:rFonts w:ascii="Arial" w:eastAsia="Arial" w:hAnsi="Arial" w:cs="Arial"/>
          <w:sz w:val="22"/>
          <w:szCs w:val="22"/>
        </w:rPr>
        <w:t>)</w:t>
      </w:r>
      <w:r w:rsidR="000D04DB" w:rsidRPr="005E7B0A">
        <w:rPr>
          <w:rFonts w:ascii="Arial" w:eastAsia="Arial" w:hAnsi="Arial" w:cs="Arial"/>
          <w:sz w:val="22"/>
          <w:szCs w:val="22"/>
        </w:rPr>
        <w:t xml:space="preserve"> yield</w:t>
      </w:r>
      <w:r w:rsidR="00820B00">
        <w:rPr>
          <w:rFonts w:ascii="Arial" w:eastAsia="Arial" w:hAnsi="Arial" w:cs="Arial"/>
          <w:sz w:val="22"/>
          <w:szCs w:val="22"/>
        </w:rPr>
        <w:t>ed</w:t>
      </w:r>
      <w:r w:rsidR="000D04DB" w:rsidRPr="005E7B0A">
        <w:rPr>
          <w:rFonts w:ascii="Arial" w:eastAsia="Arial" w:hAnsi="Arial" w:cs="Arial"/>
          <w:sz w:val="22"/>
          <w:szCs w:val="22"/>
        </w:rPr>
        <w:t xml:space="preserve"> a K</w:t>
      </w:r>
      <w:r w:rsidR="000D04DB" w:rsidRPr="005E7B0A">
        <w:rPr>
          <w:rFonts w:ascii="Arial" w:eastAsia="Arial" w:hAnsi="Arial" w:cs="Arial"/>
          <w:sz w:val="22"/>
          <w:szCs w:val="22"/>
          <w:vertAlign w:val="subscript"/>
        </w:rPr>
        <w:t>D</w:t>
      </w:r>
      <w:r w:rsidR="000D04DB" w:rsidRPr="005E7B0A">
        <w:rPr>
          <w:rFonts w:ascii="Arial" w:eastAsia="Arial" w:hAnsi="Arial" w:cs="Arial"/>
          <w:sz w:val="22"/>
          <w:szCs w:val="22"/>
        </w:rPr>
        <w:t xml:space="preserve"> of ~0.</w:t>
      </w:r>
      <w:r w:rsidR="005E7B0A" w:rsidRPr="005E7B0A">
        <w:rPr>
          <w:rFonts w:ascii="Arial" w:eastAsia="Arial" w:hAnsi="Arial" w:cs="Arial"/>
          <w:sz w:val="22"/>
          <w:szCs w:val="22"/>
        </w:rPr>
        <w:t>1</w:t>
      </w:r>
      <w:r w:rsidR="000D04DB" w:rsidRPr="005E7B0A">
        <w:rPr>
          <w:rFonts w:ascii="Arial" w:eastAsia="Arial" w:hAnsi="Arial" w:cs="Arial"/>
          <w:sz w:val="22"/>
          <w:szCs w:val="22"/>
        </w:rPr>
        <w:t xml:space="preserve"> µM. </w:t>
      </w:r>
    </w:p>
    <w:p w14:paraId="20DFCCBB" w14:textId="676795A5" w:rsidR="00C63E5E" w:rsidRPr="004B3C75" w:rsidRDefault="00334BC6" w:rsidP="000D04D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4B3C75">
        <w:rPr>
          <w:rFonts w:ascii="Arial" w:hAnsi="Arial" w:cs="Arial"/>
          <w:sz w:val="22"/>
          <w:szCs w:val="22"/>
        </w:rPr>
        <w:br w:type="page"/>
      </w:r>
    </w:p>
    <w:p w14:paraId="4D841F8B" w14:textId="04A12B7F" w:rsidR="000D70F3" w:rsidRDefault="009032FC" w:rsidP="000D70F3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9032FC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31FB6DF0" wp14:editId="7281DD54">
            <wp:extent cx="5943600" cy="2550676"/>
            <wp:effectExtent l="0" t="0" r="0" b="2540"/>
            <wp:docPr id="5" name="Picture 5" descr="O:\CAND\Diamond Research\Ankit Diamond LAB\Nanobody project\MS\FInal MS draft\Journal submission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AND\Diamond Research\Ankit Diamond LAB\Nanobody project\MS\FInal MS draft\Journal submission\Figure S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039E" w14:textId="0ED76DAC" w:rsidR="000D70F3" w:rsidRDefault="000D70F3" w:rsidP="005F5FA6">
      <w:pPr>
        <w:spacing w:before="240" w:after="0" w:line="240" w:lineRule="auto"/>
        <w:rPr>
          <w:rFonts w:ascii="Arial" w:eastAsia="Aptos" w:hAnsi="Arial" w:cs="Arial"/>
          <w:sz w:val="22"/>
          <w:szCs w:val="22"/>
        </w:rPr>
      </w:pPr>
      <w:r w:rsidRPr="006E7026">
        <w:rPr>
          <w:rFonts w:ascii="Arial" w:eastAsia="Arial" w:hAnsi="Arial" w:cs="Arial"/>
          <w:b/>
          <w:bCs/>
          <w:sz w:val="22"/>
          <w:szCs w:val="22"/>
        </w:rPr>
        <w:t xml:space="preserve">Figure </w:t>
      </w:r>
      <w:r w:rsidR="00D37D43" w:rsidRPr="006E7026">
        <w:rPr>
          <w:rFonts w:ascii="Arial" w:eastAsia="Arial" w:hAnsi="Arial" w:cs="Arial"/>
          <w:b/>
          <w:bCs/>
          <w:sz w:val="22"/>
          <w:szCs w:val="22"/>
        </w:rPr>
        <w:t>S</w:t>
      </w:r>
      <w:r w:rsidR="00D37D43">
        <w:rPr>
          <w:rFonts w:ascii="Arial" w:eastAsia="Arial" w:hAnsi="Arial" w:cs="Arial"/>
          <w:b/>
          <w:bCs/>
          <w:sz w:val="22"/>
          <w:szCs w:val="22"/>
        </w:rPr>
        <w:t>9</w:t>
      </w:r>
      <w:r w:rsidRPr="006E7026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663F7C" w:rsidRPr="006E7026">
        <w:rPr>
          <w:rFonts w:ascii="Arial" w:eastAsia="Arial" w:hAnsi="Arial" w:cs="Arial"/>
          <w:b/>
          <w:bCs/>
          <w:sz w:val="22"/>
          <w:szCs w:val="22"/>
        </w:rPr>
        <w:t>Immunofluorescen</w:t>
      </w:r>
      <w:r w:rsidR="00663F7C">
        <w:rPr>
          <w:rFonts w:ascii="Arial" w:eastAsia="Arial" w:hAnsi="Arial" w:cs="Arial"/>
          <w:b/>
          <w:bCs/>
          <w:sz w:val="22"/>
          <w:szCs w:val="22"/>
        </w:rPr>
        <w:t>t</w:t>
      </w:r>
      <w:r w:rsidR="00663F7C" w:rsidRPr="006E7026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6E7026">
        <w:rPr>
          <w:rFonts w:ascii="Arial" w:eastAsia="Arial" w:hAnsi="Arial" w:cs="Arial"/>
          <w:b/>
          <w:bCs/>
          <w:sz w:val="22"/>
          <w:szCs w:val="22"/>
        </w:rPr>
        <w:t>staining</w:t>
      </w:r>
      <w:r w:rsidRPr="006E7026">
        <w:rPr>
          <w:rFonts w:ascii="Arial" w:eastAsia="Aptos" w:hAnsi="Arial" w:cs="Arial"/>
          <w:b/>
          <w:sz w:val="22"/>
          <w:szCs w:val="22"/>
        </w:rPr>
        <w:t xml:space="preserve"> of </w:t>
      </w:r>
      <w:r>
        <w:rPr>
          <w:rFonts w:ascii="Arial" w:eastAsia="Aptos" w:hAnsi="Arial" w:cs="Arial"/>
          <w:b/>
          <w:sz w:val="22"/>
          <w:szCs w:val="22"/>
        </w:rPr>
        <w:t xml:space="preserve">WT and </w:t>
      </w:r>
      <w:r w:rsidRPr="006E7026">
        <w:rPr>
          <w:rFonts w:ascii="Arial" w:eastAsia="Aptos" w:hAnsi="Arial" w:cs="Arial"/>
          <w:b/>
          <w:sz w:val="22"/>
          <w:szCs w:val="22"/>
        </w:rPr>
        <w:t xml:space="preserve">P301S mouse </w:t>
      </w:r>
      <w:r w:rsidRPr="006E7026">
        <w:rPr>
          <w:rFonts w:ascii="Arial" w:eastAsia="Arial" w:hAnsi="Arial" w:cs="Arial"/>
          <w:b/>
          <w:bCs/>
          <w:sz w:val="22"/>
          <w:szCs w:val="22"/>
        </w:rPr>
        <w:t>brain sections</w:t>
      </w:r>
      <w:r w:rsidRPr="006E7026">
        <w:rPr>
          <w:rFonts w:ascii="Arial" w:eastAsia="Aptos" w:hAnsi="Arial" w:cs="Arial"/>
          <w:b/>
          <w:sz w:val="22"/>
          <w:szCs w:val="22"/>
        </w:rPr>
        <w:t xml:space="preserve"> with VHH(510M).</w:t>
      </w:r>
      <w:r>
        <w:rPr>
          <w:rFonts w:ascii="Arial" w:eastAsia="Aptos" w:hAnsi="Arial" w:cs="Arial"/>
          <w:b/>
          <w:sz w:val="22"/>
          <w:szCs w:val="22"/>
        </w:rPr>
        <w:t xml:space="preserve"> </w:t>
      </w:r>
      <w:r w:rsidRPr="00034197">
        <w:rPr>
          <w:rFonts w:ascii="Arial" w:eastAsia="Aptos" w:hAnsi="Arial" w:cs="Arial"/>
          <w:sz w:val="22"/>
          <w:szCs w:val="22"/>
        </w:rPr>
        <w:t>Representative brain sections from WT (A) and P301S (B) mice at 12 months of age, stained with anti-tau VHH(510M) (red) and phospho-tau antibody AT8 (green). The boxed regions (1 and 2) are shown in the zoomed-in images to the right. The anti-tau VHH(510M) antibody labels inclusions in the P301S tauopathy mouse model, while no staining is observed in the WT mouse</w:t>
      </w:r>
      <w:r w:rsidR="003A298A">
        <w:rPr>
          <w:rFonts w:ascii="Arial" w:eastAsia="Aptos" w:hAnsi="Arial" w:cs="Arial"/>
          <w:sz w:val="22"/>
          <w:szCs w:val="22"/>
        </w:rPr>
        <w:t xml:space="preserve"> brain</w:t>
      </w:r>
      <w:r w:rsidRPr="00034197">
        <w:rPr>
          <w:rFonts w:ascii="Arial" w:eastAsia="Aptos" w:hAnsi="Arial" w:cs="Arial"/>
          <w:sz w:val="22"/>
          <w:szCs w:val="22"/>
        </w:rPr>
        <w:t>.</w:t>
      </w:r>
    </w:p>
    <w:p w14:paraId="071A4173" w14:textId="154D8AFB" w:rsidR="000D70F3" w:rsidRDefault="000D70F3" w:rsidP="000D70F3">
      <w:pPr>
        <w:spacing w:after="0" w:line="240" w:lineRule="auto"/>
        <w:rPr>
          <w:rFonts w:ascii="Arial" w:eastAsia="Aptos" w:hAnsi="Arial" w:cs="Arial"/>
          <w:sz w:val="22"/>
          <w:szCs w:val="22"/>
        </w:rPr>
      </w:pPr>
    </w:p>
    <w:p w14:paraId="5AD98D7B" w14:textId="42499D62" w:rsidR="000D70F3" w:rsidRDefault="000D70F3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D278F5F" w14:textId="11B3F007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F0BFF14" w14:textId="4A45877E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86BD5D2" w14:textId="0BF6CC75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60E5EF3" w14:textId="405D5DD4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8E567C7" w14:textId="73CB2E5B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BE5CEE" w14:textId="51BE9216" w:rsidR="00040297" w:rsidRDefault="00040297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6F73A2D" w14:textId="1611CEBF" w:rsidR="00D60DFA" w:rsidRDefault="00D60DFA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44352784" w14:textId="77777777" w:rsidR="00D60DFA" w:rsidRPr="004B3C75" w:rsidRDefault="00D60DFA" w:rsidP="000D70F3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78D2055" w14:textId="41251E06" w:rsidR="00B551A6" w:rsidRDefault="00FA04C6" w:rsidP="00AB0F51">
      <w:pPr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FA04C6">
        <w:rPr>
          <w:rFonts w:ascii="Arial" w:eastAsia="Arial" w:hAnsi="Arial" w:cs="Arial"/>
          <w:b/>
          <w:bCs/>
          <w:noProof/>
          <w:sz w:val="22"/>
          <w:szCs w:val="22"/>
          <w:lang w:eastAsia="en-US"/>
        </w:rPr>
        <w:lastRenderedPageBreak/>
        <w:drawing>
          <wp:inline distT="0" distB="0" distL="0" distR="0" wp14:anchorId="0C17CE3A" wp14:editId="7F4C9249">
            <wp:extent cx="5943600" cy="4432764"/>
            <wp:effectExtent l="0" t="0" r="0" b="6350"/>
            <wp:docPr id="6" name="Picture 6" descr="O:\CAND\Diamond Research\Ankit Diamond LAB\Nanobody project\MS\FInal MS draft\Journal submission\Figure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AND\Diamond Research\Ankit Diamond LAB\Nanobody project\MS\FInal MS draft\Journal submission\Figure S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1179" w14:textId="7E4FBBFD" w:rsidR="005C3DF5" w:rsidRDefault="190A7B3C" w:rsidP="001F624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E7026">
        <w:rPr>
          <w:rFonts w:ascii="Arial" w:eastAsia="Arial" w:hAnsi="Arial" w:cs="Arial"/>
          <w:b/>
          <w:bCs/>
          <w:sz w:val="22"/>
          <w:szCs w:val="22"/>
        </w:rPr>
        <w:t xml:space="preserve">Figure </w:t>
      </w:r>
      <w:r w:rsidR="00D37D43" w:rsidRPr="006E7026">
        <w:rPr>
          <w:rFonts w:ascii="Arial" w:eastAsia="Arial" w:hAnsi="Arial" w:cs="Arial"/>
          <w:b/>
          <w:bCs/>
          <w:sz w:val="22"/>
          <w:szCs w:val="22"/>
        </w:rPr>
        <w:t>S</w:t>
      </w:r>
      <w:r w:rsidR="00D37D43">
        <w:rPr>
          <w:rFonts w:ascii="Arial" w:eastAsia="Arial" w:hAnsi="Arial" w:cs="Arial"/>
          <w:b/>
          <w:bCs/>
          <w:sz w:val="22"/>
          <w:szCs w:val="22"/>
        </w:rPr>
        <w:t>10</w:t>
      </w:r>
      <w:r w:rsidRPr="006E7026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AD739B" w:rsidRPr="006E7026">
        <w:rPr>
          <w:rFonts w:ascii="Arial" w:eastAsia="Arial" w:hAnsi="Arial" w:cs="Arial"/>
          <w:b/>
          <w:bCs/>
          <w:sz w:val="22"/>
          <w:szCs w:val="22"/>
        </w:rPr>
        <w:t>Immunofluorescent staining</w:t>
      </w:r>
      <w:r w:rsidR="00AD739B" w:rsidRPr="006E7026">
        <w:rPr>
          <w:rFonts w:ascii="Arial" w:eastAsia="Aptos" w:hAnsi="Arial" w:cs="Arial"/>
          <w:b/>
          <w:sz w:val="22"/>
          <w:szCs w:val="22"/>
        </w:rPr>
        <w:t xml:space="preserve"> of P301S mouse </w:t>
      </w:r>
      <w:r w:rsidR="00AD739B" w:rsidRPr="006E7026">
        <w:rPr>
          <w:rFonts w:ascii="Arial" w:eastAsia="Arial" w:hAnsi="Arial" w:cs="Arial"/>
          <w:b/>
          <w:bCs/>
          <w:sz w:val="22"/>
          <w:szCs w:val="22"/>
        </w:rPr>
        <w:t>brain sections</w:t>
      </w:r>
      <w:r w:rsidR="00AD739B" w:rsidRPr="006E7026">
        <w:rPr>
          <w:rFonts w:ascii="Arial" w:eastAsia="Aptos" w:hAnsi="Arial" w:cs="Arial"/>
          <w:b/>
          <w:sz w:val="22"/>
          <w:szCs w:val="22"/>
        </w:rPr>
        <w:t xml:space="preserve"> with VHH</w:t>
      </w:r>
      <w:r w:rsidR="00E660B5" w:rsidRPr="006E7026">
        <w:rPr>
          <w:rFonts w:ascii="Arial" w:eastAsia="Aptos" w:hAnsi="Arial" w:cs="Arial"/>
          <w:b/>
          <w:sz w:val="22"/>
          <w:szCs w:val="22"/>
        </w:rPr>
        <w:t>(</w:t>
      </w:r>
      <w:r w:rsidR="00AD739B" w:rsidRPr="006E7026">
        <w:rPr>
          <w:rFonts w:ascii="Arial" w:eastAsia="Aptos" w:hAnsi="Arial" w:cs="Arial"/>
          <w:b/>
          <w:sz w:val="22"/>
          <w:szCs w:val="22"/>
        </w:rPr>
        <w:t>510M</w:t>
      </w:r>
      <w:r w:rsidR="00E660B5" w:rsidRPr="006E7026">
        <w:rPr>
          <w:rFonts w:ascii="Arial" w:eastAsia="Aptos" w:hAnsi="Arial" w:cs="Arial"/>
          <w:b/>
          <w:sz w:val="22"/>
          <w:szCs w:val="22"/>
        </w:rPr>
        <w:t>)</w:t>
      </w:r>
      <w:r w:rsidR="00AD739B" w:rsidRPr="006E7026">
        <w:rPr>
          <w:rFonts w:ascii="Arial" w:eastAsia="Aptos" w:hAnsi="Arial" w:cs="Arial"/>
          <w:b/>
          <w:sz w:val="22"/>
          <w:szCs w:val="22"/>
        </w:rPr>
        <w:t>.</w:t>
      </w:r>
      <w:r w:rsidR="00370A06" w:rsidRPr="006E7026">
        <w:rPr>
          <w:rFonts w:ascii="Arial" w:eastAsia="Aptos" w:hAnsi="Arial" w:cs="Arial"/>
          <w:sz w:val="22"/>
          <w:szCs w:val="22"/>
        </w:rPr>
        <w:br/>
        <w:t xml:space="preserve">Representative </w:t>
      </w:r>
      <w:r w:rsidR="00104775" w:rsidRPr="006E7026">
        <w:rPr>
          <w:rFonts w:ascii="Arial" w:eastAsia="Aptos" w:hAnsi="Arial" w:cs="Arial"/>
          <w:sz w:val="22"/>
          <w:szCs w:val="22"/>
        </w:rPr>
        <w:t xml:space="preserve">brain </w:t>
      </w:r>
      <w:r w:rsidR="00370A06" w:rsidRPr="006E7026">
        <w:rPr>
          <w:rFonts w:ascii="Arial" w:eastAsia="Aptos" w:hAnsi="Arial" w:cs="Arial"/>
          <w:sz w:val="22"/>
          <w:szCs w:val="22"/>
        </w:rPr>
        <w:t>sections from P301S tauopathy mice at 3</w:t>
      </w:r>
      <w:r w:rsidR="005D5302">
        <w:rPr>
          <w:rFonts w:ascii="Arial" w:eastAsia="Aptos" w:hAnsi="Arial" w:cs="Arial"/>
          <w:sz w:val="22"/>
          <w:szCs w:val="22"/>
        </w:rPr>
        <w:t xml:space="preserve"> </w:t>
      </w:r>
      <w:r w:rsidR="005D5302" w:rsidRPr="006E7026">
        <w:rPr>
          <w:rFonts w:ascii="Arial" w:eastAsia="Aptos" w:hAnsi="Arial" w:cs="Arial"/>
          <w:sz w:val="22"/>
          <w:szCs w:val="22"/>
        </w:rPr>
        <w:t>(A)</w:t>
      </w:r>
      <w:r w:rsidR="00370A06" w:rsidRPr="006E7026">
        <w:rPr>
          <w:rFonts w:ascii="Arial" w:eastAsia="Aptos" w:hAnsi="Arial" w:cs="Arial"/>
          <w:sz w:val="22"/>
          <w:szCs w:val="22"/>
        </w:rPr>
        <w:t>, 6</w:t>
      </w:r>
      <w:r w:rsidR="005D5302">
        <w:rPr>
          <w:rFonts w:ascii="Arial" w:eastAsia="Aptos" w:hAnsi="Arial" w:cs="Arial"/>
          <w:sz w:val="22"/>
          <w:szCs w:val="22"/>
        </w:rPr>
        <w:t xml:space="preserve"> </w:t>
      </w:r>
      <w:r w:rsidR="005D5302" w:rsidRPr="006E7026">
        <w:rPr>
          <w:rFonts w:ascii="Arial" w:eastAsia="Aptos" w:hAnsi="Arial" w:cs="Arial"/>
          <w:sz w:val="22"/>
          <w:szCs w:val="22"/>
        </w:rPr>
        <w:t>(B)</w:t>
      </w:r>
      <w:r w:rsidR="00370A06" w:rsidRPr="006E7026">
        <w:rPr>
          <w:rFonts w:ascii="Arial" w:eastAsia="Aptos" w:hAnsi="Arial" w:cs="Arial"/>
          <w:sz w:val="22"/>
          <w:szCs w:val="22"/>
        </w:rPr>
        <w:t>, 9</w:t>
      </w:r>
      <w:r w:rsidR="005D5302">
        <w:rPr>
          <w:rFonts w:ascii="Arial" w:eastAsia="Aptos" w:hAnsi="Arial" w:cs="Arial"/>
          <w:sz w:val="22"/>
          <w:szCs w:val="22"/>
        </w:rPr>
        <w:t xml:space="preserve"> </w:t>
      </w:r>
      <w:r w:rsidR="005D5302" w:rsidRPr="006E7026">
        <w:rPr>
          <w:rFonts w:ascii="Arial" w:eastAsia="Aptos" w:hAnsi="Arial" w:cs="Arial"/>
          <w:sz w:val="22"/>
          <w:szCs w:val="22"/>
        </w:rPr>
        <w:t>(C)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, and 12 months </w:t>
      </w:r>
      <w:r w:rsidR="005D5302" w:rsidRPr="006E7026">
        <w:rPr>
          <w:rFonts w:ascii="Arial" w:eastAsia="Aptos" w:hAnsi="Arial" w:cs="Arial"/>
          <w:sz w:val="22"/>
          <w:szCs w:val="22"/>
        </w:rPr>
        <w:t>(D)</w:t>
      </w:r>
      <w:r w:rsidR="005D5302">
        <w:rPr>
          <w:rFonts w:ascii="Arial" w:eastAsia="Aptos" w:hAnsi="Arial" w:cs="Arial"/>
          <w:sz w:val="22"/>
          <w:szCs w:val="22"/>
        </w:rPr>
        <w:t xml:space="preserve"> </w:t>
      </w:r>
      <w:r w:rsidR="00370A06" w:rsidRPr="006E7026">
        <w:rPr>
          <w:rFonts w:ascii="Arial" w:eastAsia="Aptos" w:hAnsi="Arial" w:cs="Arial"/>
          <w:sz w:val="22"/>
          <w:szCs w:val="22"/>
        </w:rPr>
        <w:t>of age stained with anti-tau VHH</w:t>
      </w:r>
      <w:r w:rsidR="00E660B5" w:rsidRPr="006E7026">
        <w:rPr>
          <w:rFonts w:ascii="Arial" w:eastAsia="Aptos" w:hAnsi="Arial" w:cs="Arial"/>
          <w:sz w:val="22"/>
          <w:szCs w:val="22"/>
        </w:rPr>
        <w:t>(</w:t>
      </w:r>
      <w:r w:rsidR="00370A06" w:rsidRPr="006E7026">
        <w:rPr>
          <w:rFonts w:ascii="Arial" w:eastAsia="Aptos" w:hAnsi="Arial" w:cs="Arial"/>
          <w:sz w:val="22"/>
          <w:szCs w:val="22"/>
        </w:rPr>
        <w:t>510M</w:t>
      </w:r>
      <w:r w:rsidR="00E660B5" w:rsidRPr="006E7026">
        <w:rPr>
          <w:rFonts w:ascii="Arial" w:eastAsia="Aptos" w:hAnsi="Arial" w:cs="Arial"/>
          <w:sz w:val="22"/>
          <w:szCs w:val="22"/>
        </w:rPr>
        <w:t>)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 (red)</w:t>
      </w:r>
      <w:r w:rsidR="006E7026" w:rsidRPr="006E7026">
        <w:rPr>
          <w:rFonts w:ascii="Arial" w:eastAsia="Aptos" w:hAnsi="Arial" w:cs="Arial"/>
          <w:sz w:val="22"/>
          <w:szCs w:val="22"/>
        </w:rPr>
        <w:t xml:space="preserve"> and phospho-tau antibody AT8 (green)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. The white arrows denote inclusions </w:t>
      </w:r>
      <w:r w:rsidR="00B45EAA">
        <w:rPr>
          <w:rFonts w:ascii="Arial" w:eastAsia="Aptos" w:hAnsi="Arial" w:cs="Arial"/>
          <w:sz w:val="22"/>
          <w:szCs w:val="22"/>
        </w:rPr>
        <w:t>bound</w:t>
      </w:r>
      <w:r w:rsidR="00B45EAA" w:rsidRPr="006E7026">
        <w:rPr>
          <w:rFonts w:ascii="Arial" w:eastAsia="Aptos" w:hAnsi="Arial" w:cs="Arial"/>
          <w:sz w:val="22"/>
          <w:szCs w:val="22"/>
        </w:rPr>
        <w:t xml:space="preserve"> </w:t>
      </w:r>
      <w:r w:rsidR="00370A06" w:rsidRPr="006E7026">
        <w:rPr>
          <w:rFonts w:ascii="Arial" w:eastAsia="Aptos" w:hAnsi="Arial" w:cs="Arial"/>
          <w:sz w:val="22"/>
          <w:szCs w:val="22"/>
        </w:rPr>
        <w:t>by VHH</w:t>
      </w:r>
      <w:r w:rsidR="00E660B5" w:rsidRPr="006E7026">
        <w:rPr>
          <w:rFonts w:ascii="Arial" w:eastAsia="Aptos" w:hAnsi="Arial" w:cs="Arial"/>
          <w:sz w:val="22"/>
          <w:szCs w:val="22"/>
        </w:rPr>
        <w:t>(</w:t>
      </w:r>
      <w:r w:rsidR="00370A06" w:rsidRPr="006E7026">
        <w:rPr>
          <w:rFonts w:ascii="Arial" w:eastAsia="Aptos" w:hAnsi="Arial" w:cs="Arial"/>
          <w:sz w:val="22"/>
          <w:szCs w:val="22"/>
        </w:rPr>
        <w:t>510M</w:t>
      </w:r>
      <w:r w:rsidR="00E660B5" w:rsidRPr="006E7026">
        <w:rPr>
          <w:rFonts w:ascii="Arial" w:eastAsia="Aptos" w:hAnsi="Arial" w:cs="Arial"/>
          <w:sz w:val="22"/>
          <w:szCs w:val="22"/>
        </w:rPr>
        <w:t>)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 </w:t>
      </w:r>
      <w:r w:rsidR="00B45EAA">
        <w:rPr>
          <w:rFonts w:ascii="Arial" w:eastAsia="Aptos" w:hAnsi="Arial" w:cs="Arial"/>
          <w:sz w:val="22"/>
          <w:szCs w:val="22"/>
        </w:rPr>
        <w:t>but not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 </w:t>
      </w:r>
      <w:r w:rsidR="002422C1">
        <w:rPr>
          <w:rFonts w:ascii="Arial" w:eastAsia="Aptos" w:hAnsi="Arial" w:cs="Arial"/>
          <w:sz w:val="22"/>
          <w:szCs w:val="22"/>
        </w:rPr>
        <w:t xml:space="preserve">by </w:t>
      </w:r>
      <w:r w:rsidR="00370A06" w:rsidRPr="006E7026">
        <w:rPr>
          <w:rFonts w:ascii="Arial" w:eastAsia="Aptos" w:hAnsi="Arial" w:cs="Arial"/>
          <w:sz w:val="22"/>
          <w:szCs w:val="22"/>
        </w:rPr>
        <w:t>AT8, suggesting that VHH</w:t>
      </w:r>
      <w:r w:rsidR="00E660B5" w:rsidRPr="006E7026">
        <w:rPr>
          <w:rFonts w:ascii="Arial" w:eastAsia="Aptos" w:hAnsi="Arial" w:cs="Arial"/>
          <w:sz w:val="22"/>
          <w:szCs w:val="22"/>
        </w:rPr>
        <w:t>(</w:t>
      </w:r>
      <w:r w:rsidR="00370A06" w:rsidRPr="006E7026">
        <w:rPr>
          <w:rFonts w:ascii="Arial" w:eastAsia="Aptos" w:hAnsi="Arial" w:cs="Arial"/>
          <w:sz w:val="22"/>
          <w:szCs w:val="22"/>
        </w:rPr>
        <w:t>510M</w:t>
      </w:r>
      <w:r w:rsidR="00E660B5" w:rsidRPr="006E7026">
        <w:rPr>
          <w:rFonts w:ascii="Arial" w:eastAsia="Aptos" w:hAnsi="Arial" w:cs="Arial"/>
          <w:sz w:val="22"/>
          <w:szCs w:val="22"/>
        </w:rPr>
        <w:t>)</w:t>
      </w:r>
      <w:r w:rsidR="00370A06" w:rsidRPr="006E7026">
        <w:rPr>
          <w:rFonts w:ascii="Arial" w:eastAsia="Aptos" w:hAnsi="Arial" w:cs="Arial"/>
          <w:sz w:val="22"/>
          <w:szCs w:val="22"/>
        </w:rPr>
        <w:t xml:space="preserve"> detects additional tau aggregates beyond phosphorylated species. </w:t>
      </w:r>
      <w:r w:rsidR="003E5111">
        <w:rPr>
          <w:rFonts w:ascii="Arial" w:eastAsia="Aptos" w:hAnsi="Arial" w:cs="Arial"/>
          <w:sz w:val="22"/>
          <w:szCs w:val="22"/>
        </w:rPr>
        <w:t xml:space="preserve">See </w:t>
      </w:r>
      <w:r w:rsidR="00370A06" w:rsidRPr="006E7026">
        <w:rPr>
          <w:rFonts w:ascii="Arial" w:eastAsia="Aptos" w:hAnsi="Arial" w:cs="Arial"/>
          <w:b/>
          <w:bCs/>
          <w:sz w:val="22"/>
          <w:szCs w:val="22"/>
        </w:rPr>
        <w:t>Figure </w:t>
      </w:r>
      <w:r w:rsidR="00E928F4">
        <w:rPr>
          <w:rFonts w:ascii="Arial" w:eastAsia="Aptos" w:hAnsi="Arial" w:cs="Arial"/>
          <w:b/>
          <w:bCs/>
          <w:sz w:val="22"/>
          <w:szCs w:val="22"/>
        </w:rPr>
        <w:t>6</w:t>
      </w:r>
      <w:r w:rsidR="003E5111">
        <w:rPr>
          <w:rFonts w:ascii="Arial" w:eastAsia="Aptos" w:hAnsi="Arial" w:cs="Arial"/>
          <w:sz w:val="22"/>
          <w:szCs w:val="22"/>
        </w:rPr>
        <w:t xml:space="preserve"> for more images.</w:t>
      </w:r>
    </w:p>
    <w:p w14:paraId="6FFC6B7C" w14:textId="41B46F74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42249546" w14:textId="107F79FF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577DDC5" w14:textId="62836F88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75AB19C" w14:textId="1D5C9B85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4C6FBBC" w14:textId="60B41A89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86ADF4B" w14:textId="3705452B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3B6573" w14:textId="61AFDD05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2BEE667" w14:textId="6099D23C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8233951" w14:textId="4A5A9305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FC7024F" w14:textId="60B03BDB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3F5325F" w14:textId="509A6357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4DE1F1F9" w14:textId="700CB07A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1DB1C0D" w14:textId="3DCFEF92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D268D80" w14:textId="7B0F630E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CF3E2D5" w14:textId="323FBB98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20C8C89" w14:textId="46784733" w:rsidR="005C3DF5" w:rsidRDefault="005C3DF5" w:rsidP="001F624B">
      <w:pPr>
        <w:spacing w:after="0" w:line="240" w:lineRule="auto"/>
        <w:rPr>
          <w:rFonts w:ascii="Arial" w:hAnsi="Arial" w:cs="Arial"/>
          <w:sz w:val="22"/>
          <w:szCs w:val="22"/>
        </w:rPr>
      </w:pPr>
    </w:p>
    <w:sectPr w:rsidR="005C3DF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0C395" w14:textId="77777777" w:rsidR="007C712B" w:rsidRDefault="007C712B" w:rsidP="007C712B">
      <w:pPr>
        <w:spacing w:after="0" w:line="240" w:lineRule="auto"/>
      </w:pPr>
      <w:r>
        <w:separator/>
      </w:r>
    </w:p>
  </w:endnote>
  <w:endnote w:type="continuationSeparator" w:id="0">
    <w:p w14:paraId="131A5D68" w14:textId="77777777" w:rsidR="007C712B" w:rsidRDefault="007C712B" w:rsidP="007C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panose1 w:val="00000000000000000000"/>
    <w:charset w:val="00"/>
    <w:family w:val="roman"/>
    <w:notTrueType/>
    <w:pitch w:val="default"/>
    <w:embedRegular r:id="rId1" w:fontKey="{0507659A-B986-47B9-BFC9-7E9A14B37304}"/>
    <w:embedBold r:id="rId2" w:fontKey="{F414B1E7-43DA-4A0C-83CF-E5774F9C02EB}"/>
    <w:embedItalic r:id="rId3" w:fontKey="{39CEF95A-4897-4491-ACA0-821430076EED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  <w:embedRegular r:id="rId4" w:fontKey="{6D166FA1-7238-46C1-87B5-693D81FC1B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C722B4-A908-4A72-84A4-158C2365A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990203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6D062888" w14:textId="767E89DE" w:rsidR="007C712B" w:rsidRPr="007C712B" w:rsidRDefault="007C712B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7C712B">
          <w:rPr>
            <w:rFonts w:ascii="Arial" w:hAnsi="Arial" w:cs="Arial"/>
            <w:sz w:val="22"/>
            <w:szCs w:val="22"/>
          </w:rPr>
          <w:fldChar w:fldCharType="begin"/>
        </w:r>
        <w:r w:rsidRPr="007C712B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7C712B">
          <w:rPr>
            <w:rFonts w:ascii="Arial" w:hAnsi="Arial" w:cs="Arial"/>
            <w:sz w:val="22"/>
            <w:szCs w:val="22"/>
          </w:rPr>
          <w:fldChar w:fldCharType="separate"/>
        </w:r>
        <w:r w:rsidR="00335D0A">
          <w:rPr>
            <w:rFonts w:ascii="Arial" w:hAnsi="Arial" w:cs="Arial"/>
            <w:noProof/>
            <w:sz w:val="22"/>
            <w:szCs w:val="22"/>
          </w:rPr>
          <w:t>3</w:t>
        </w:r>
        <w:r w:rsidRPr="007C712B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0D570C4F" w14:textId="77777777" w:rsidR="007C712B" w:rsidRDefault="007C71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73CB1" w14:textId="77777777" w:rsidR="007C712B" w:rsidRDefault="007C712B" w:rsidP="007C712B">
      <w:pPr>
        <w:spacing w:after="0" w:line="240" w:lineRule="auto"/>
      </w:pPr>
      <w:r>
        <w:separator/>
      </w:r>
    </w:p>
  </w:footnote>
  <w:footnote w:type="continuationSeparator" w:id="0">
    <w:p w14:paraId="3087E321" w14:textId="77777777" w:rsidR="007C712B" w:rsidRDefault="007C712B" w:rsidP="007C7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QyMzQ1MzYyMTazMLFU0lEKTi0uzszPAykwsqgFALRC8GgtAAAA"/>
  </w:docVars>
  <w:rsids>
    <w:rsidRoot w:val="249E16C6"/>
    <w:rsid w:val="00011C83"/>
    <w:rsid w:val="0001354F"/>
    <w:rsid w:val="00014C69"/>
    <w:rsid w:val="00030F89"/>
    <w:rsid w:val="000316A1"/>
    <w:rsid w:val="00034197"/>
    <w:rsid w:val="00040297"/>
    <w:rsid w:val="00045CFA"/>
    <w:rsid w:val="0005212F"/>
    <w:rsid w:val="000576B4"/>
    <w:rsid w:val="00065EBD"/>
    <w:rsid w:val="00067810"/>
    <w:rsid w:val="00073C0C"/>
    <w:rsid w:val="000752AA"/>
    <w:rsid w:val="00075F45"/>
    <w:rsid w:val="0008057A"/>
    <w:rsid w:val="0009567C"/>
    <w:rsid w:val="000962C9"/>
    <w:rsid w:val="0009795D"/>
    <w:rsid w:val="000B7330"/>
    <w:rsid w:val="000D04DB"/>
    <w:rsid w:val="000D70F3"/>
    <w:rsid w:val="00104775"/>
    <w:rsid w:val="00121A9D"/>
    <w:rsid w:val="00131E18"/>
    <w:rsid w:val="00133BF9"/>
    <w:rsid w:val="00145230"/>
    <w:rsid w:val="001505A3"/>
    <w:rsid w:val="0016151F"/>
    <w:rsid w:val="0016432A"/>
    <w:rsid w:val="00170D78"/>
    <w:rsid w:val="00184D37"/>
    <w:rsid w:val="001C5F53"/>
    <w:rsid w:val="001F15F4"/>
    <w:rsid w:val="001F624B"/>
    <w:rsid w:val="0020722A"/>
    <w:rsid w:val="002422C1"/>
    <w:rsid w:val="002502F5"/>
    <w:rsid w:val="002A2E48"/>
    <w:rsid w:val="002D51F6"/>
    <w:rsid w:val="002E431C"/>
    <w:rsid w:val="002F112B"/>
    <w:rsid w:val="0031018B"/>
    <w:rsid w:val="00331CE8"/>
    <w:rsid w:val="00334BC6"/>
    <w:rsid w:val="00335D0A"/>
    <w:rsid w:val="00355715"/>
    <w:rsid w:val="00363E3F"/>
    <w:rsid w:val="00370A06"/>
    <w:rsid w:val="00373067"/>
    <w:rsid w:val="00385B93"/>
    <w:rsid w:val="003A298A"/>
    <w:rsid w:val="003A6869"/>
    <w:rsid w:val="003B607A"/>
    <w:rsid w:val="003D1BF1"/>
    <w:rsid w:val="003D3156"/>
    <w:rsid w:val="003E0EE2"/>
    <w:rsid w:val="003E3C92"/>
    <w:rsid w:val="003E5111"/>
    <w:rsid w:val="00406DE0"/>
    <w:rsid w:val="004204B0"/>
    <w:rsid w:val="0044485B"/>
    <w:rsid w:val="004458B4"/>
    <w:rsid w:val="00446F0B"/>
    <w:rsid w:val="00450239"/>
    <w:rsid w:val="0046204D"/>
    <w:rsid w:val="004674F8"/>
    <w:rsid w:val="0047566F"/>
    <w:rsid w:val="004820C2"/>
    <w:rsid w:val="00486CC1"/>
    <w:rsid w:val="004A01E3"/>
    <w:rsid w:val="004B3C75"/>
    <w:rsid w:val="004C5192"/>
    <w:rsid w:val="004E07E8"/>
    <w:rsid w:val="00503A1D"/>
    <w:rsid w:val="005151C3"/>
    <w:rsid w:val="00515553"/>
    <w:rsid w:val="00526529"/>
    <w:rsid w:val="00556741"/>
    <w:rsid w:val="00556981"/>
    <w:rsid w:val="005605A0"/>
    <w:rsid w:val="00565509"/>
    <w:rsid w:val="005A4AE8"/>
    <w:rsid w:val="005B5A6B"/>
    <w:rsid w:val="005C3DF5"/>
    <w:rsid w:val="005D5302"/>
    <w:rsid w:val="005E7B0A"/>
    <w:rsid w:val="005F5FA6"/>
    <w:rsid w:val="00622FD5"/>
    <w:rsid w:val="006303DF"/>
    <w:rsid w:val="00654DBE"/>
    <w:rsid w:val="00662F9B"/>
    <w:rsid w:val="00663F7C"/>
    <w:rsid w:val="00667CBC"/>
    <w:rsid w:val="00684AA8"/>
    <w:rsid w:val="006D6DC1"/>
    <w:rsid w:val="006E41D5"/>
    <w:rsid w:val="006E5EDE"/>
    <w:rsid w:val="006E7026"/>
    <w:rsid w:val="006F46CD"/>
    <w:rsid w:val="0071781A"/>
    <w:rsid w:val="0073740B"/>
    <w:rsid w:val="00750641"/>
    <w:rsid w:val="00756D21"/>
    <w:rsid w:val="00797DB1"/>
    <w:rsid w:val="007A0CFA"/>
    <w:rsid w:val="007A2369"/>
    <w:rsid w:val="007B7664"/>
    <w:rsid w:val="007C712B"/>
    <w:rsid w:val="007D0713"/>
    <w:rsid w:val="007D2FAE"/>
    <w:rsid w:val="007E0319"/>
    <w:rsid w:val="007E337C"/>
    <w:rsid w:val="007F0FD3"/>
    <w:rsid w:val="007F2204"/>
    <w:rsid w:val="007F2D04"/>
    <w:rsid w:val="00811BFB"/>
    <w:rsid w:val="00813EDA"/>
    <w:rsid w:val="00820B00"/>
    <w:rsid w:val="00824235"/>
    <w:rsid w:val="00850654"/>
    <w:rsid w:val="008600DC"/>
    <w:rsid w:val="00883149"/>
    <w:rsid w:val="00886628"/>
    <w:rsid w:val="00892FAF"/>
    <w:rsid w:val="008B75A0"/>
    <w:rsid w:val="008D0F01"/>
    <w:rsid w:val="008E7053"/>
    <w:rsid w:val="009032FC"/>
    <w:rsid w:val="009120E0"/>
    <w:rsid w:val="009336D5"/>
    <w:rsid w:val="0093745E"/>
    <w:rsid w:val="0094535A"/>
    <w:rsid w:val="00946998"/>
    <w:rsid w:val="00947765"/>
    <w:rsid w:val="00947F2F"/>
    <w:rsid w:val="00952BD0"/>
    <w:rsid w:val="009540E6"/>
    <w:rsid w:val="009811FA"/>
    <w:rsid w:val="00981656"/>
    <w:rsid w:val="0098590B"/>
    <w:rsid w:val="00994996"/>
    <w:rsid w:val="009A3C1A"/>
    <w:rsid w:val="009B3648"/>
    <w:rsid w:val="009B6F9E"/>
    <w:rsid w:val="009C58BE"/>
    <w:rsid w:val="009C5C75"/>
    <w:rsid w:val="009D7EA2"/>
    <w:rsid w:val="009E2441"/>
    <w:rsid w:val="009E5E31"/>
    <w:rsid w:val="009F7174"/>
    <w:rsid w:val="00A21F9B"/>
    <w:rsid w:val="00A2796A"/>
    <w:rsid w:val="00A27CB5"/>
    <w:rsid w:val="00A31CF5"/>
    <w:rsid w:val="00A322D6"/>
    <w:rsid w:val="00A42CC5"/>
    <w:rsid w:val="00A4546A"/>
    <w:rsid w:val="00A460E9"/>
    <w:rsid w:val="00A7349D"/>
    <w:rsid w:val="00AB0F51"/>
    <w:rsid w:val="00AB3865"/>
    <w:rsid w:val="00AB45D5"/>
    <w:rsid w:val="00AC606C"/>
    <w:rsid w:val="00AD181B"/>
    <w:rsid w:val="00AD739B"/>
    <w:rsid w:val="00AE2B4A"/>
    <w:rsid w:val="00AF63CE"/>
    <w:rsid w:val="00B02E13"/>
    <w:rsid w:val="00B06716"/>
    <w:rsid w:val="00B13816"/>
    <w:rsid w:val="00B254C6"/>
    <w:rsid w:val="00B4408A"/>
    <w:rsid w:val="00B45EAA"/>
    <w:rsid w:val="00B52B97"/>
    <w:rsid w:val="00B551A6"/>
    <w:rsid w:val="00B60C10"/>
    <w:rsid w:val="00B62C35"/>
    <w:rsid w:val="00B92A8F"/>
    <w:rsid w:val="00B94F0F"/>
    <w:rsid w:val="00BA021E"/>
    <w:rsid w:val="00BA16FE"/>
    <w:rsid w:val="00BA551E"/>
    <w:rsid w:val="00BA6C66"/>
    <w:rsid w:val="00BB1830"/>
    <w:rsid w:val="00BC08AA"/>
    <w:rsid w:val="00BC1A6C"/>
    <w:rsid w:val="00BC3FB4"/>
    <w:rsid w:val="00BC776A"/>
    <w:rsid w:val="00BD1BBB"/>
    <w:rsid w:val="00C300B6"/>
    <w:rsid w:val="00C404FB"/>
    <w:rsid w:val="00C63E5E"/>
    <w:rsid w:val="00C809D7"/>
    <w:rsid w:val="00C91618"/>
    <w:rsid w:val="00C94D14"/>
    <w:rsid w:val="00CA08CB"/>
    <w:rsid w:val="00D0078D"/>
    <w:rsid w:val="00D0714C"/>
    <w:rsid w:val="00D124EC"/>
    <w:rsid w:val="00D20AA8"/>
    <w:rsid w:val="00D37D43"/>
    <w:rsid w:val="00D45091"/>
    <w:rsid w:val="00D5178E"/>
    <w:rsid w:val="00D60DFA"/>
    <w:rsid w:val="00D7449F"/>
    <w:rsid w:val="00D76D07"/>
    <w:rsid w:val="00D818CF"/>
    <w:rsid w:val="00D901B0"/>
    <w:rsid w:val="00DB4CA7"/>
    <w:rsid w:val="00DC1BF6"/>
    <w:rsid w:val="00DE3A75"/>
    <w:rsid w:val="00DF1CC4"/>
    <w:rsid w:val="00E02E74"/>
    <w:rsid w:val="00E169C9"/>
    <w:rsid w:val="00E33944"/>
    <w:rsid w:val="00E44F00"/>
    <w:rsid w:val="00E660B5"/>
    <w:rsid w:val="00E74522"/>
    <w:rsid w:val="00E761F4"/>
    <w:rsid w:val="00E82D7D"/>
    <w:rsid w:val="00E85F57"/>
    <w:rsid w:val="00E86339"/>
    <w:rsid w:val="00E86CB9"/>
    <w:rsid w:val="00E928F4"/>
    <w:rsid w:val="00E93070"/>
    <w:rsid w:val="00EB4C6B"/>
    <w:rsid w:val="00ED0F3D"/>
    <w:rsid w:val="00EE43B5"/>
    <w:rsid w:val="00F33478"/>
    <w:rsid w:val="00F438E0"/>
    <w:rsid w:val="00F47BEA"/>
    <w:rsid w:val="00F52155"/>
    <w:rsid w:val="00F52F87"/>
    <w:rsid w:val="00F5369B"/>
    <w:rsid w:val="00F54249"/>
    <w:rsid w:val="00F619B5"/>
    <w:rsid w:val="00F61BFB"/>
    <w:rsid w:val="00F7572F"/>
    <w:rsid w:val="00F970C2"/>
    <w:rsid w:val="00FA04C6"/>
    <w:rsid w:val="00FA21D1"/>
    <w:rsid w:val="00FA64C9"/>
    <w:rsid w:val="00FF5D4F"/>
    <w:rsid w:val="00FF5FAD"/>
    <w:rsid w:val="00FF6752"/>
    <w:rsid w:val="0161BA65"/>
    <w:rsid w:val="01B29164"/>
    <w:rsid w:val="028163CF"/>
    <w:rsid w:val="034FBBFB"/>
    <w:rsid w:val="03C785BB"/>
    <w:rsid w:val="0636A454"/>
    <w:rsid w:val="073E31CA"/>
    <w:rsid w:val="07509C87"/>
    <w:rsid w:val="0805F6AC"/>
    <w:rsid w:val="08305C42"/>
    <w:rsid w:val="0843597C"/>
    <w:rsid w:val="09372297"/>
    <w:rsid w:val="0A0EF52B"/>
    <w:rsid w:val="0B3DBF80"/>
    <w:rsid w:val="0B55D59B"/>
    <w:rsid w:val="0C6C9EA1"/>
    <w:rsid w:val="0C75FA64"/>
    <w:rsid w:val="0C9509DF"/>
    <w:rsid w:val="0F2677B7"/>
    <w:rsid w:val="0F592D25"/>
    <w:rsid w:val="115D095F"/>
    <w:rsid w:val="125BF33D"/>
    <w:rsid w:val="1358AC6C"/>
    <w:rsid w:val="13678116"/>
    <w:rsid w:val="155ECE52"/>
    <w:rsid w:val="15E8BE36"/>
    <w:rsid w:val="1620301E"/>
    <w:rsid w:val="183A7E70"/>
    <w:rsid w:val="184A1AEA"/>
    <w:rsid w:val="186A661B"/>
    <w:rsid w:val="18A5A466"/>
    <w:rsid w:val="190A7B3C"/>
    <w:rsid w:val="199BAC42"/>
    <w:rsid w:val="1BC01DC8"/>
    <w:rsid w:val="1E6A0DB2"/>
    <w:rsid w:val="1FC93634"/>
    <w:rsid w:val="20CAF944"/>
    <w:rsid w:val="21B4939C"/>
    <w:rsid w:val="21C097BD"/>
    <w:rsid w:val="22285EEE"/>
    <w:rsid w:val="227E0E9D"/>
    <w:rsid w:val="236CA0DF"/>
    <w:rsid w:val="23AE11DF"/>
    <w:rsid w:val="2456D3CD"/>
    <w:rsid w:val="249E16C6"/>
    <w:rsid w:val="24C58EC6"/>
    <w:rsid w:val="25565595"/>
    <w:rsid w:val="25584AD0"/>
    <w:rsid w:val="26249A2C"/>
    <w:rsid w:val="2682501A"/>
    <w:rsid w:val="269961F0"/>
    <w:rsid w:val="28466201"/>
    <w:rsid w:val="2AF72692"/>
    <w:rsid w:val="2B1A82AC"/>
    <w:rsid w:val="2B8B52BC"/>
    <w:rsid w:val="2C77C874"/>
    <w:rsid w:val="2C795D4A"/>
    <w:rsid w:val="2CB550A9"/>
    <w:rsid w:val="2DBB307D"/>
    <w:rsid w:val="2DF8C569"/>
    <w:rsid w:val="2FC8D83C"/>
    <w:rsid w:val="30016128"/>
    <w:rsid w:val="303E456B"/>
    <w:rsid w:val="304B5E8A"/>
    <w:rsid w:val="304ED616"/>
    <w:rsid w:val="322A0A87"/>
    <w:rsid w:val="33783902"/>
    <w:rsid w:val="34415E71"/>
    <w:rsid w:val="35700DBF"/>
    <w:rsid w:val="3647FB6D"/>
    <w:rsid w:val="36C15E80"/>
    <w:rsid w:val="374234FA"/>
    <w:rsid w:val="38B16C16"/>
    <w:rsid w:val="39B27DF1"/>
    <w:rsid w:val="39E3E755"/>
    <w:rsid w:val="3A1EC765"/>
    <w:rsid w:val="3A4C9CC6"/>
    <w:rsid w:val="3A8C90F9"/>
    <w:rsid w:val="3BCB6B5F"/>
    <w:rsid w:val="3BD95D46"/>
    <w:rsid w:val="3C43B6E3"/>
    <w:rsid w:val="3CA5E351"/>
    <w:rsid w:val="3CFF7241"/>
    <w:rsid w:val="3DED61B8"/>
    <w:rsid w:val="3E848E3D"/>
    <w:rsid w:val="3EF50A74"/>
    <w:rsid w:val="40EEA512"/>
    <w:rsid w:val="4328391A"/>
    <w:rsid w:val="435B3F09"/>
    <w:rsid w:val="43B53A7E"/>
    <w:rsid w:val="455EC013"/>
    <w:rsid w:val="456A89C8"/>
    <w:rsid w:val="46A3B0A9"/>
    <w:rsid w:val="479EC146"/>
    <w:rsid w:val="47F29829"/>
    <w:rsid w:val="48180244"/>
    <w:rsid w:val="4A10B8B1"/>
    <w:rsid w:val="4A85ED0B"/>
    <w:rsid w:val="4BBA2AB7"/>
    <w:rsid w:val="4CB91304"/>
    <w:rsid w:val="4D4E29F1"/>
    <w:rsid w:val="4DA77AA5"/>
    <w:rsid w:val="4E2671D0"/>
    <w:rsid w:val="4E830344"/>
    <w:rsid w:val="4E9A88F7"/>
    <w:rsid w:val="4EFDC11A"/>
    <w:rsid w:val="4F6F4DED"/>
    <w:rsid w:val="529FFC2E"/>
    <w:rsid w:val="534F2600"/>
    <w:rsid w:val="5391D0CB"/>
    <w:rsid w:val="54A33272"/>
    <w:rsid w:val="54DD4998"/>
    <w:rsid w:val="56B934FD"/>
    <w:rsid w:val="56DE764E"/>
    <w:rsid w:val="5782FBED"/>
    <w:rsid w:val="57F4DD92"/>
    <w:rsid w:val="581BC078"/>
    <w:rsid w:val="59F6CCC4"/>
    <w:rsid w:val="5A2028D0"/>
    <w:rsid w:val="5AB8C989"/>
    <w:rsid w:val="5B38BBF7"/>
    <w:rsid w:val="5B46A6AD"/>
    <w:rsid w:val="5D1F0F4E"/>
    <w:rsid w:val="5D2C7382"/>
    <w:rsid w:val="5FECA6ED"/>
    <w:rsid w:val="60192A4D"/>
    <w:rsid w:val="6073660D"/>
    <w:rsid w:val="60DD5F71"/>
    <w:rsid w:val="613C96C7"/>
    <w:rsid w:val="618A4ADE"/>
    <w:rsid w:val="61A569A1"/>
    <w:rsid w:val="61DFF6F4"/>
    <w:rsid w:val="623F9DD0"/>
    <w:rsid w:val="624AC46B"/>
    <w:rsid w:val="62559848"/>
    <w:rsid w:val="627F7687"/>
    <w:rsid w:val="6310DE87"/>
    <w:rsid w:val="635428DE"/>
    <w:rsid w:val="662B6808"/>
    <w:rsid w:val="663F0FE5"/>
    <w:rsid w:val="6656FC1E"/>
    <w:rsid w:val="66FDCB60"/>
    <w:rsid w:val="6711F95A"/>
    <w:rsid w:val="675B5A6C"/>
    <w:rsid w:val="68C8F750"/>
    <w:rsid w:val="69137B62"/>
    <w:rsid w:val="6A5ACB22"/>
    <w:rsid w:val="6C7D49B3"/>
    <w:rsid w:val="6CC4B76C"/>
    <w:rsid w:val="6CC7B8C9"/>
    <w:rsid w:val="6CDD0300"/>
    <w:rsid w:val="6CF0D303"/>
    <w:rsid w:val="6CF4B539"/>
    <w:rsid w:val="6DBA7D38"/>
    <w:rsid w:val="6DC5CCDB"/>
    <w:rsid w:val="6E0B42E7"/>
    <w:rsid w:val="6EF42F93"/>
    <w:rsid w:val="70A709CA"/>
    <w:rsid w:val="70BD43CB"/>
    <w:rsid w:val="7132BE29"/>
    <w:rsid w:val="713DDD9A"/>
    <w:rsid w:val="71A991DD"/>
    <w:rsid w:val="72233DF9"/>
    <w:rsid w:val="725DA561"/>
    <w:rsid w:val="728397F0"/>
    <w:rsid w:val="73F4EACE"/>
    <w:rsid w:val="74DA8521"/>
    <w:rsid w:val="76244DEB"/>
    <w:rsid w:val="76820C3A"/>
    <w:rsid w:val="76E1A9F7"/>
    <w:rsid w:val="784CB40E"/>
    <w:rsid w:val="7874C654"/>
    <w:rsid w:val="78EE710A"/>
    <w:rsid w:val="793E3332"/>
    <w:rsid w:val="7982FC0C"/>
    <w:rsid w:val="79AE42CB"/>
    <w:rsid w:val="7AD9FE99"/>
    <w:rsid w:val="7AE6C82E"/>
    <w:rsid w:val="7B7D6853"/>
    <w:rsid w:val="7C238121"/>
    <w:rsid w:val="7C7353C5"/>
    <w:rsid w:val="7D46065D"/>
    <w:rsid w:val="7D56B7A7"/>
    <w:rsid w:val="7E102DF1"/>
    <w:rsid w:val="7E8B9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16C6"/>
  <w15:chartTrackingRefBased/>
  <w15:docId w15:val="{6F92565D-9B0E-4E17-9241-AD296D5C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C5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5F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5F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F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F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E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2A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7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12B"/>
  </w:style>
  <w:style w:type="paragraph" w:styleId="Footer">
    <w:name w:val="footer"/>
    <w:basedOn w:val="Normal"/>
    <w:link w:val="FooterChar"/>
    <w:uiPriority w:val="99"/>
    <w:unhideWhenUsed/>
    <w:rsid w:val="007C7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083EC-07C6-481E-971D-A243C56D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966</Words>
  <Characters>5511</Characters>
  <Application>Microsoft Office Word</Application>
  <DocSecurity>0</DocSecurity>
  <Lines>45</Lines>
  <Paragraphs>12</Paragraphs>
  <ScaleCrop>false</ScaleCrop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Ankit Gupta</dc:creator>
  <cp:keywords/>
  <dc:description/>
  <cp:lastModifiedBy>Ankit Gupta</cp:lastModifiedBy>
  <cp:revision>24</cp:revision>
  <dcterms:created xsi:type="dcterms:W3CDTF">2025-08-21T16:34:00Z</dcterms:created>
  <dcterms:modified xsi:type="dcterms:W3CDTF">2025-12-03T22:15:00Z</dcterms:modified>
</cp:coreProperties>
</file>