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B5050" w14:textId="3B64C196" w:rsidR="00C22800" w:rsidRDefault="00C22800" w:rsidP="00C22800">
      <w:pPr>
        <w:spacing w:line="276" w:lineRule="auto"/>
        <w:jc w:val="center"/>
        <w:rPr>
          <w:b/>
          <w:bCs/>
          <w:sz w:val="40"/>
          <w:szCs w:val="40"/>
        </w:rPr>
      </w:pPr>
      <w:r w:rsidRPr="00C22800">
        <w:rPr>
          <w:b/>
          <w:bCs/>
          <w:i/>
          <w:iCs/>
          <w:sz w:val="40"/>
          <w:szCs w:val="40"/>
        </w:rPr>
        <w:t>Supplementa</w:t>
      </w:r>
      <w:r>
        <w:rPr>
          <w:b/>
          <w:bCs/>
          <w:i/>
          <w:iCs/>
          <w:sz w:val="40"/>
          <w:szCs w:val="40"/>
        </w:rPr>
        <w:t>ry</w:t>
      </w:r>
      <w:r w:rsidRPr="00C22800">
        <w:rPr>
          <w:b/>
          <w:bCs/>
          <w:i/>
          <w:iCs/>
          <w:sz w:val="40"/>
          <w:szCs w:val="40"/>
        </w:rPr>
        <w:t xml:space="preserve"> Information fo</w:t>
      </w:r>
      <w:r>
        <w:rPr>
          <w:b/>
          <w:bCs/>
          <w:i/>
          <w:iCs/>
          <w:sz w:val="40"/>
          <w:szCs w:val="40"/>
        </w:rPr>
        <w:t>r:</w:t>
      </w:r>
      <w:r>
        <w:rPr>
          <w:b/>
          <w:bCs/>
          <w:sz w:val="40"/>
          <w:szCs w:val="40"/>
        </w:rPr>
        <w:t xml:space="preserve"> </w:t>
      </w:r>
    </w:p>
    <w:p w14:paraId="3AE565B2" w14:textId="77777777" w:rsidR="00C22800" w:rsidRDefault="00C22800" w:rsidP="00C22800">
      <w:pPr>
        <w:spacing w:line="276" w:lineRule="auto"/>
        <w:jc w:val="center"/>
        <w:rPr>
          <w:b/>
          <w:bCs/>
          <w:sz w:val="40"/>
          <w:szCs w:val="40"/>
        </w:rPr>
      </w:pPr>
    </w:p>
    <w:p w14:paraId="154C3A93" w14:textId="243BBBAB" w:rsidR="00C22800" w:rsidRDefault="00C22800" w:rsidP="00C22800">
      <w:pPr>
        <w:spacing w:line="276" w:lineRule="auto"/>
        <w:jc w:val="center"/>
        <w:rPr>
          <w:b/>
          <w:bCs/>
          <w:sz w:val="40"/>
          <w:szCs w:val="40"/>
        </w:rPr>
      </w:pPr>
      <w:r w:rsidRPr="00AE3FBE">
        <w:rPr>
          <w:b/>
          <w:bCs/>
          <w:sz w:val="40"/>
          <w:szCs w:val="40"/>
        </w:rPr>
        <w:t>Equilibrium Climate Sensitivity dependence on changing climate, geography, and ocean heat transport</w:t>
      </w:r>
    </w:p>
    <w:p w14:paraId="4A18CC87" w14:textId="77777777" w:rsidR="00C22800" w:rsidRDefault="00C22800" w:rsidP="00C22800">
      <w:pPr>
        <w:spacing w:line="276" w:lineRule="auto"/>
        <w:jc w:val="center"/>
        <w:rPr>
          <w:b/>
          <w:bCs/>
          <w:sz w:val="40"/>
          <w:szCs w:val="40"/>
        </w:rPr>
      </w:pPr>
    </w:p>
    <w:p w14:paraId="689DEFCE" w14:textId="598B4694" w:rsidR="00C22800" w:rsidRPr="00C22800" w:rsidRDefault="00C22800" w:rsidP="00C22800">
      <w:pPr>
        <w:spacing w:line="276" w:lineRule="auto"/>
        <w:jc w:val="center"/>
        <w:rPr>
          <w:b/>
          <w:bCs/>
          <w:i/>
          <w:iCs/>
          <w:sz w:val="40"/>
          <w:szCs w:val="40"/>
        </w:rPr>
      </w:pPr>
      <w:r w:rsidRPr="00C22800">
        <w:rPr>
          <w:b/>
          <w:bCs/>
          <w:i/>
          <w:iCs/>
          <w:sz w:val="40"/>
          <w:szCs w:val="40"/>
        </w:rPr>
        <w:t>in Climate Dynamics</w:t>
      </w:r>
    </w:p>
    <w:p w14:paraId="697B287A" w14:textId="14016A00" w:rsidR="00BA06EA" w:rsidRDefault="00BA06EA"/>
    <w:p w14:paraId="1A659D8F" w14:textId="77777777" w:rsidR="00C22800" w:rsidRPr="00AE3FBE" w:rsidRDefault="00C22800" w:rsidP="00C22800">
      <w:pPr>
        <w:spacing w:line="276" w:lineRule="auto"/>
        <w:rPr>
          <w:sz w:val="32"/>
          <w:szCs w:val="32"/>
        </w:rPr>
      </w:pPr>
      <w:r w:rsidRPr="00AE3FBE">
        <w:rPr>
          <w:sz w:val="32"/>
          <w:szCs w:val="32"/>
        </w:rPr>
        <w:t>Julia Campbell</w:t>
      </w:r>
      <w:r w:rsidRPr="00AE3FBE">
        <w:rPr>
          <w:sz w:val="32"/>
          <w:szCs w:val="32"/>
          <w:vertAlign w:val="superscript"/>
        </w:rPr>
        <w:t>1</w:t>
      </w:r>
      <w:r w:rsidRPr="00AE3FBE">
        <w:rPr>
          <w:sz w:val="32"/>
          <w:szCs w:val="32"/>
        </w:rPr>
        <w:t xml:space="preserve"> &amp; Christopher J. Poulsen</w:t>
      </w:r>
      <w:r w:rsidRPr="00AE3FBE">
        <w:rPr>
          <w:sz w:val="32"/>
          <w:szCs w:val="32"/>
          <w:vertAlign w:val="superscript"/>
        </w:rPr>
        <w:t>2</w:t>
      </w:r>
    </w:p>
    <w:p w14:paraId="475A35D0" w14:textId="77777777" w:rsidR="00C22800" w:rsidRDefault="00C22800" w:rsidP="00C22800">
      <w:pPr>
        <w:spacing w:line="276" w:lineRule="auto"/>
      </w:pPr>
    </w:p>
    <w:p w14:paraId="6ACF559C" w14:textId="77777777" w:rsidR="00C22800" w:rsidRPr="00AE3FBE" w:rsidRDefault="00C22800" w:rsidP="00C22800">
      <w:pPr>
        <w:spacing w:line="276" w:lineRule="auto"/>
      </w:pPr>
      <w:r w:rsidRPr="00AE3FBE">
        <w:rPr>
          <w:vertAlign w:val="superscript"/>
        </w:rPr>
        <w:t>1</w:t>
      </w:r>
      <w:r w:rsidRPr="00AE3FBE">
        <w:t>University of Michigan, (Earth and Environmental Sciences), Ann Arbor, (MI), USA</w:t>
      </w:r>
    </w:p>
    <w:p w14:paraId="2F1434D7" w14:textId="77777777" w:rsidR="00C22800" w:rsidRPr="00AE3FBE" w:rsidRDefault="00C22800" w:rsidP="00C22800">
      <w:pPr>
        <w:spacing w:line="276" w:lineRule="auto"/>
      </w:pPr>
      <w:r w:rsidRPr="00AE3FBE">
        <w:rPr>
          <w:vertAlign w:val="superscript"/>
        </w:rPr>
        <w:t>2</w:t>
      </w:r>
      <w:r w:rsidRPr="00AE3FBE">
        <w:t>University of Oregon, (Earth Sciences), Eugene, (OR), USA</w:t>
      </w:r>
    </w:p>
    <w:p w14:paraId="353BD6A0" w14:textId="77777777" w:rsidR="00C22800" w:rsidRDefault="00C22800" w:rsidP="00C22800">
      <w:pPr>
        <w:spacing w:line="276" w:lineRule="auto"/>
        <w:rPr>
          <w:sz w:val="20"/>
          <w:szCs w:val="20"/>
        </w:rPr>
      </w:pPr>
    </w:p>
    <w:p w14:paraId="53A58CA5" w14:textId="77777777" w:rsidR="00C22800" w:rsidRPr="00AE3FBE" w:rsidRDefault="00C22800" w:rsidP="00C22800">
      <w:pPr>
        <w:spacing w:line="276" w:lineRule="auto"/>
        <w:rPr>
          <w:sz w:val="20"/>
          <w:szCs w:val="20"/>
        </w:rPr>
      </w:pPr>
      <w:r w:rsidRPr="00AE3FBE">
        <w:rPr>
          <w:sz w:val="20"/>
          <w:szCs w:val="20"/>
        </w:rPr>
        <w:t>Corresponding author: Julia Campbell (</w:t>
      </w:r>
      <w:r w:rsidRPr="00D1519D">
        <w:rPr>
          <w:sz w:val="20"/>
          <w:szCs w:val="20"/>
        </w:rPr>
        <w:t>juliacam@umich.edu</w:t>
      </w:r>
      <w:r w:rsidRPr="00AE3FBE">
        <w:rPr>
          <w:sz w:val="20"/>
          <w:szCs w:val="20"/>
        </w:rPr>
        <w:t>)</w:t>
      </w:r>
    </w:p>
    <w:p w14:paraId="6CA4E199" w14:textId="77777777" w:rsidR="00C22800" w:rsidRDefault="00C22800">
      <w:pPr>
        <w:rPr>
          <w:sz w:val="20"/>
          <w:szCs w:val="20"/>
        </w:rPr>
      </w:pPr>
    </w:p>
    <w:p w14:paraId="31D83FB3" w14:textId="77777777" w:rsidR="00C22800" w:rsidRDefault="00C22800">
      <w:pPr>
        <w:rPr>
          <w:sz w:val="20"/>
          <w:szCs w:val="20"/>
        </w:rPr>
      </w:pPr>
    </w:p>
    <w:p w14:paraId="25EAAF24" w14:textId="77777777" w:rsidR="00C22800" w:rsidRDefault="00C22800">
      <w:pPr>
        <w:rPr>
          <w:sz w:val="20"/>
          <w:szCs w:val="20"/>
        </w:rPr>
      </w:pPr>
    </w:p>
    <w:p w14:paraId="3E7561D0" w14:textId="77777777" w:rsidR="00C22800" w:rsidRDefault="00C22800">
      <w:pPr>
        <w:rPr>
          <w:sz w:val="20"/>
          <w:szCs w:val="20"/>
        </w:rPr>
      </w:pPr>
    </w:p>
    <w:p w14:paraId="13426ABE" w14:textId="77777777" w:rsidR="00C22800" w:rsidRDefault="00C22800">
      <w:pPr>
        <w:rPr>
          <w:sz w:val="20"/>
          <w:szCs w:val="20"/>
        </w:rPr>
      </w:pPr>
    </w:p>
    <w:p w14:paraId="52F01714" w14:textId="77777777" w:rsidR="00C22800" w:rsidRDefault="00C22800">
      <w:pPr>
        <w:rPr>
          <w:sz w:val="20"/>
          <w:szCs w:val="20"/>
        </w:rPr>
      </w:pPr>
    </w:p>
    <w:p w14:paraId="510A528D" w14:textId="77777777" w:rsidR="00C22800" w:rsidRDefault="00C22800">
      <w:pPr>
        <w:rPr>
          <w:sz w:val="20"/>
          <w:szCs w:val="20"/>
        </w:rPr>
      </w:pPr>
    </w:p>
    <w:p w14:paraId="7044FD5C" w14:textId="77777777" w:rsidR="00C22800" w:rsidRDefault="00C22800">
      <w:pPr>
        <w:rPr>
          <w:sz w:val="20"/>
          <w:szCs w:val="20"/>
        </w:rPr>
      </w:pPr>
    </w:p>
    <w:p w14:paraId="4439866D" w14:textId="77777777" w:rsidR="00C22800" w:rsidRDefault="00C22800">
      <w:pPr>
        <w:rPr>
          <w:sz w:val="20"/>
          <w:szCs w:val="20"/>
        </w:rPr>
      </w:pPr>
    </w:p>
    <w:p w14:paraId="4C5408A9" w14:textId="77777777" w:rsidR="00C22800" w:rsidRDefault="00C22800">
      <w:pPr>
        <w:rPr>
          <w:sz w:val="20"/>
          <w:szCs w:val="20"/>
        </w:rPr>
      </w:pPr>
    </w:p>
    <w:p w14:paraId="14C91659" w14:textId="77777777" w:rsidR="00C22800" w:rsidRDefault="00C22800">
      <w:pPr>
        <w:rPr>
          <w:sz w:val="20"/>
          <w:szCs w:val="20"/>
        </w:rPr>
      </w:pPr>
    </w:p>
    <w:p w14:paraId="03C0CEBC" w14:textId="77777777" w:rsidR="00C22800" w:rsidRDefault="00C22800">
      <w:pPr>
        <w:rPr>
          <w:sz w:val="20"/>
          <w:szCs w:val="20"/>
        </w:rPr>
      </w:pPr>
    </w:p>
    <w:p w14:paraId="07198427" w14:textId="77777777" w:rsidR="00C22800" w:rsidRDefault="00C22800">
      <w:pPr>
        <w:rPr>
          <w:sz w:val="20"/>
          <w:szCs w:val="20"/>
        </w:rPr>
      </w:pPr>
    </w:p>
    <w:p w14:paraId="18532763" w14:textId="77777777" w:rsidR="00C22800" w:rsidRDefault="00C22800">
      <w:pPr>
        <w:rPr>
          <w:sz w:val="20"/>
          <w:szCs w:val="20"/>
        </w:rPr>
      </w:pPr>
    </w:p>
    <w:p w14:paraId="23ED3DAB" w14:textId="77777777" w:rsidR="00C22800" w:rsidRDefault="00C22800">
      <w:pPr>
        <w:rPr>
          <w:sz w:val="20"/>
          <w:szCs w:val="20"/>
        </w:rPr>
      </w:pPr>
    </w:p>
    <w:p w14:paraId="09D4A70C" w14:textId="77777777" w:rsidR="00C22800" w:rsidRDefault="00C22800">
      <w:pPr>
        <w:rPr>
          <w:sz w:val="20"/>
          <w:szCs w:val="20"/>
        </w:rPr>
      </w:pPr>
    </w:p>
    <w:p w14:paraId="15B8BF7B" w14:textId="77777777" w:rsidR="00C22800" w:rsidRDefault="00C22800">
      <w:pPr>
        <w:rPr>
          <w:sz w:val="20"/>
          <w:szCs w:val="20"/>
        </w:rPr>
      </w:pPr>
    </w:p>
    <w:p w14:paraId="0C679A91" w14:textId="77777777" w:rsidR="00C22800" w:rsidRDefault="00C22800">
      <w:pPr>
        <w:rPr>
          <w:sz w:val="20"/>
          <w:szCs w:val="20"/>
        </w:rPr>
      </w:pPr>
    </w:p>
    <w:p w14:paraId="30B3A3B5" w14:textId="77777777" w:rsidR="00C22800" w:rsidRDefault="00C22800">
      <w:pPr>
        <w:rPr>
          <w:sz w:val="20"/>
          <w:szCs w:val="20"/>
        </w:rPr>
      </w:pPr>
    </w:p>
    <w:p w14:paraId="5DFEAB8C" w14:textId="77777777" w:rsidR="00C22800" w:rsidRDefault="00C22800">
      <w:pPr>
        <w:rPr>
          <w:sz w:val="20"/>
          <w:szCs w:val="20"/>
        </w:rPr>
      </w:pPr>
    </w:p>
    <w:p w14:paraId="669AB7F8" w14:textId="77777777" w:rsidR="00C22800" w:rsidRDefault="00C22800">
      <w:pPr>
        <w:rPr>
          <w:sz w:val="20"/>
          <w:szCs w:val="20"/>
        </w:rPr>
      </w:pPr>
    </w:p>
    <w:p w14:paraId="3A7F2734" w14:textId="77777777" w:rsidR="00C22800" w:rsidRDefault="00C22800">
      <w:pPr>
        <w:rPr>
          <w:sz w:val="20"/>
          <w:szCs w:val="20"/>
        </w:rPr>
      </w:pPr>
    </w:p>
    <w:p w14:paraId="6822904B" w14:textId="77777777" w:rsidR="00C22800" w:rsidRDefault="00C22800">
      <w:pPr>
        <w:rPr>
          <w:sz w:val="20"/>
          <w:szCs w:val="20"/>
        </w:rPr>
      </w:pPr>
    </w:p>
    <w:p w14:paraId="41C99955" w14:textId="77777777" w:rsidR="00C22800" w:rsidRDefault="00C22800">
      <w:pPr>
        <w:rPr>
          <w:sz w:val="20"/>
          <w:szCs w:val="20"/>
        </w:rPr>
      </w:pPr>
    </w:p>
    <w:p w14:paraId="6213193E" w14:textId="77777777" w:rsidR="00C22800" w:rsidRDefault="00C22800">
      <w:pPr>
        <w:rPr>
          <w:sz w:val="20"/>
          <w:szCs w:val="20"/>
        </w:rPr>
      </w:pPr>
    </w:p>
    <w:p w14:paraId="7D2AF3DE" w14:textId="77777777" w:rsidR="00C22800" w:rsidRDefault="00C22800">
      <w:pPr>
        <w:rPr>
          <w:sz w:val="20"/>
          <w:szCs w:val="20"/>
        </w:rPr>
      </w:pPr>
    </w:p>
    <w:p w14:paraId="2148468D" w14:textId="77777777" w:rsidR="00C22800" w:rsidRDefault="00C22800">
      <w:pPr>
        <w:rPr>
          <w:sz w:val="20"/>
          <w:szCs w:val="20"/>
        </w:rPr>
      </w:pPr>
    </w:p>
    <w:p w14:paraId="3339DFFE" w14:textId="77777777" w:rsidR="00C22800" w:rsidRDefault="00C22800">
      <w:pPr>
        <w:rPr>
          <w:sz w:val="20"/>
          <w:szCs w:val="20"/>
        </w:rPr>
      </w:pPr>
    </w:p>
    <w:p w14:paraId="5EBB3F11" w14:textId="77777777" w:rsidR="00C22800" w:rsidRDefault="00C22800">
      <w:pPr>
        <w:rPr>
          <w:sz w:val="20"/>
          <w:szCs w:val="20"/>
        </w:rPr>
      </w:pPr>
    </w:p>
    <w:p w14:paraId="68AAFC3D" w14:textId="77777777" w:rsidR="00C22800" w:rsidRDefault="00C22800">
      <w:pPr>
        <w:rPr>
          <w:sz w:val="20"/>
          <w:szCs w:val="20"/>
        </w:rPr>
      </w:pPr>
    </w:p>
    <w:p w14:paraId="29201917" w14:textId="77777777" w:rsidR="00C22800" w:rsidRDefault="00C22800">
      <w:pPr>
        <w:rPr>
          <w:sz w:val="20"/>
          <w:szCs w:val="20"/>
        </w:rPr>
      </w:pPr>
    </w:p>
    <w:p w14:paraId="40BD4349" w14:textId="77777777" w:rsidR="00C22800" w:rsidRPr="00412AEC" w:rsidRDefault="00C22800" w:rsidP="00C22800">
      <w:pPr>
        <w:pStyle w:val="NormalWeb"/>
        <w:spacing w:before="0" w:beforeAutospacing="0" w:after="0" w:afterAutospacing="0" w:line="360" w:lineRule="auto"/>
      </w:pPr>
    </w:p>
    <w:p w14:paraId="37CB1932" w14:textId="77777777" w:rsidR="00C22800" w:rsidRDefault="00C22800" w:rsidP="00C22800">
      <w:pPr>
        <w:spacing w:line="360" w:lineRule="auto"/>
      </w:pPr>
      <w:r>
        <w:rPr>
          <w:noProof/>
          <w:color w:val="000000"/>
          <w:sz w:val="16"/>
          <w:szCs w:val="16"/>
          <w:bdr w:val="none" w:sz="0" w:space="0" w:color="auto" w:frame="1"/>
        </w:rPr>
        <w:drawing>
          <wp:inline distT="0" distB="0" distL="0" distR="0" wp14:anchorId="6D026647" wp14:editId="777A6737">
            <wp:extent cx="4565850" cy="4284921"/>
            <wp:effectExtent l="0" t="0" r="0" b="0"/>
            <wp:docPr id="1322826043" name="Picture 86" descr="A black background with colorful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826043" name="Picture 86" descr="A black background with colorful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1189" cy="43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253D5" w14:textId="76F7C960" w:rsidR="00C22800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S1</w:t>
      </w:r>
      <w:r w:rsidRPr="000E58E6">
        <w:rPr>
          <w:sz w:val="20"/>
          <w:szCs w:val="20"/>
        </w:rPr>
        <w:t xml:space="preserve"> </w:t>
      </w:r>
      <w:r w:rsidRPr="000E58E6">
        <w:rPr>
          <w:color w:val="000000"/>
          <w:sz w:val="20"/>
          <w:szCs w:val="20"/>
        </w:rPr>
        <w:t xml:space="preserve">The lapse rate for each climate simulation. The hotter simulations exhibit higher global mean temperatures at each pressure level until ~100 </w:t>
      </w:r>
      <w:proofErr w:type="spellStart"/>
      <w:r w:rsidRPr="000E58E6">
        <w:rPr>
          <w:color w:val="000000"/>
          <w:sz w:val="20"/>
          <w:szCs w:val="20"/>
        </w:rPr>
        <w:t>hPa</w:t>
      </w:r>
      <w:proofErr w:type="spellEnd"/>
      <w:r w:rsidRPr="000E58E6">
        <w:rPr>
          <w:color w:val="000000"/>
          <w:sz w:val="20"/>
          <w:szCs w:val="20"/>
        </w:rPr>
        <w:t xml:space="preserve"> and have an increased tropopause height. The atmospheric pressure from the simulations is a hybrid level at the midpoint</w:t>
      </w:r>
    </w:p>
    <w:p w14:paraId="59A6BC7D" w14:textId="77777777" w:rsidR="00C22800" w:rsidRPr="000E58E6" w:rsidRDefault="00C22800" w:rsidP="00C22800">
      <w:pPr>
        <w:rPr>
          <w:sz w:val="20"/>
          <w:szCs w:val="20"/>
        </w:rPr>
      </w:pPr>
    </w:p>
    <w:p w14:paraId="6C99E465" w14:textId="77777777" w:rsidR="00C22800" w:rsidRDefault="00C22800" w:rsidP="00C22800">
      <w:pPr>
        <w:pStyle w:val="NormalWeb"/>
        <w:spacing w:before="0" w:beforeAutospacing="0" w:after="0" w:afterAutospacing="0" w:line="360" w:lineRule="auto"/>
      </w:pPr>
      <w:r>
        <w:rPr>
          <w:i/>
          <w:iCs/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69510ACC" wp14:editId="3E810A71">
            <wp:extent cx="5728970" cy="1418703"/>
            <wp:effectExtent l="0" t="0" r="0" b="0"/>
            <wp:docPr id="1405731753" name="Picture 87" descr="A blue rectangular object with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731753" name="Picture 87" descr="A blue rectangular object with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872" cy="1420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BE07D" w14:textId="6B211CAD" w:rsidR="00C22800" w:rsidRDefault="00C22800" w:rsidP="00C22800">
      <w:pPr>
        <w:pStyle w:val="NormalWeb"/>
        <w:spacing w:before="0" w:beforeAutospacing="0" w:after="0" w:afterAutospacing="0"/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</w:t>
      </w:r>
      <w:r w:rsidRPr="00C22800">
        <w:rPr>
          <w:b/>
          <w:bCs/>
          <w:sz w:val="20"/>
          <w:szCs w:val="20"/>
        </w:rPr>
        <w:t>2</w:t>
      </w:r>
      <w:r w:rsidRPr="000E58E6">
        <w:rPr>
          <w:sz w:val="20"/>
          <w:szCs w:val="20"/>
        </w:rPr>
        <w:t xml:space="preserve"> </w:t>
      </w:r>
      <w:r w:rsidRPr="000E58E6">
        <w:rPr>
          <w:color w:val="000000"/>
          <w:sz w:val="20"/>
          <w:szCs w:val="20"/>
        </w:rPr>
        <w:t>The change in snow covered land with doubled CO</w:t>
      </w:r>
      <w:r w:rsidRPr="000E58E6">
        <w:rPr>
          <w:color w:val="000000"/>
          <w:sz w:val="20"/>
          <w:szCs w:val="20"/>
          <w:vertAlign w:val="subscript"/>
        </w:rPr>
        <w:t>2</w:t>
      </w:r>
      <w:r w:rsidRPr="000E58E6">
        <w:rPr>
          <w:color w:val="000000"/>
          <w:sz w:val="20"/>
          <w:szCs w:val="20"/>
        </w:rPr>
        <w:t xml:space="preserve"> for each simulation. The top end of the bar represents the percent of snow-covered land with original CO</w:t>
      </w:r>
      <w:r w:rsidRPr="000E58E6">
        <w:rPr>
          <w:color w:val="000000"/>
          <w:sz w:val="20"/>
          <w:szCs w:val="20"/>
          <w:vertAlign w:val="subscript"/>
        </w:rPr>
        <w:t>2</w:t>
      </w:r>
      <w:r w:rsidRPr="000E58E6">
        <w:rPr>
          <w:color w:val="000000"/>
          <w:sz w:val="20"/>
          <w:szCs w:val="20"/>
        </w:rPr>
        <w:t>, and the bottom end of the bar represents the percent of snow</w:t>
      </w:r>
      <w:r w:rsidR="00A37614">
        <w:rPr>
          <w:color w:val="000000"/>
          <w:sz w:val="20"/>
          <w:szCs w:val="20"/>
        </w:rPr>
        <w:t xml:space="preserve"> </w:t>
      </w:r>
      <w:r w:rsidRPr="000E58E6">
        <w:rPr>
          <w:color w:val="000000"/>
          <w:sz w:val="20"/>
          <w:szCs w:val="20"/>
        </w:rPr>
        <w:t>covered land with doubled CO</w:t>
      </w:r>
      <w:r w:rsidRPr="000E58E6">
        <w:rPr>
          <w:color w:val="000000"/>
          <w:sz w:val="20"/>
          <w:szCs w:val="20"/>
          <w:vertAlign w:val="subscript"/>
        </w:rPr>
        <w:t>2</w:t>
      </w:r>
      <w:r w:rsidRPr="000E58E6">
        <w:rPr>
          <w:color w:val="000000"/>
          <w:sz w:val="20"/>
          <w:szCs w:val="20"/>
        </w:rPr>
        <w:t>. The value in the middle of each bar represents the difference in percent of snow</w:t>
      </w:r>
      <w:r w:rsidR="00A37614">
        <w:rPr>
          <w:color w:val="000000"/>
          <w:sz w:val="20"/>
          <w:szCs w:val="20"/>
        </w:rPr>
        <w:t xml:space="preserve"> </w:t>
      </w:r>
      <w:r w:rsidRPr="000E58E6">
        <w:rPr>
          <w:color w:val="000000"/>
          <w:sz w:val="20"/>
          <w:szCs w:val="20"/>
        </w:rPr>
        <w:t>covered land with doubled CO</w:t>
      </w:r>
      <w:r w:rsidRPr="000E58E6">
        <w:rPr>
          <w:color w:val="000000"/>
          <w:sz w:val="20"/>
          <w:szCs w:val="20"/>
          <w:vertAlign w:val="subscript"/>
        </w:rPr>
        <w:t>2</w:t>
      </w:r>
    </w:p>
    <w:p w14:paraId="1C400789" w14:textId="77777777" w:rsidR="00C22800" w:rsidRDefault="00C22800" w:rsidP="00C22800">
      <w:pPr>
        <w:pStyle w:val="NormalWeb"/>
        <w:spacing w:before="0" w:beforeAutospacing="0" w:after="0" w:afterAutospacing="0"/>
        <w:rPr>
          <w:color w:val="000000"/>
          <w:sz w:val="20"/>
          <w:szCs w:val="20"/>
        </w:rPr>
      </w:pPr>
    </w:p>
    <w:p w14:paraId="5F6DCA5D" w14:textId="77777777" w:rsidR="00C22800" w:rsidRPr="000E58E6" w:rsidRDefault="00C22800" w:rsidP="00C22800">
      <w:pPr>
        <w:pStyle w:val="NormalWeb"/>
        <w:spacing w:before="0" w:beforeAutospacing="0" w:after="0" w:afterAutospacing="0"/>
        <w:rPr>
          <w:sz w:val="20"/>
          <w:szCs w:val="20"/>
        </w:rPr>
      </w:pPr>
    </w:p>
    <w:p w14:paraId="11F94973" w14:textId="77777777" w:rsidR="00C22800" w:rsidRDefault="00C22800" w:rsidP="00C22800">
      <w:r>
        <w:rPr>
          <w:i/>
          <w:iCs/>
          <w:noProof/>
          <w:color w:val="000000"/>
          <w:sz w:val="22"/>
          <w:szCs w:val="22"/>
          <w:bdr w:val="none" w:sz="0" w:space="0" w:color="auto" w:frame="1"/>
        </w:rPr>
        <w:lastRenderedPageBreak/>
        <w:drawing>
          <wp:inline distT="0" distB="0" distL="0" distR="0" wp14:anchorId="674C0FE7" wp14:editId="1F55ED65">
            <wp:extent cx="5728970" cy="2596399"/>
            <wp:effectExtent l="0" t="0" r="0" b="0"/>
            <wp:docPr id="1799524252" name="Picture 88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524252" name="Picture 88" descr="A map of the wor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7321" cy="2604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837754" w14:textId="77777777" w:rsidR="00C22800" w:rsidRDefault="00C22800" w:rsidP="00C22800"/>
    <w:p w14:paraId="05858DFD" w14:textId="143ECCE0" w:rsidR="00C22800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S3</w:t>
      </w:r>
      <w:r w:rsidRPr="000E58E6">
        <w:rPr>
          <w:sz w:val="20"/>
          <w:szCs w:val="20"/>
        </w:rPr>
        <w:t xml:space="preserve"> </w:t>
      </w:r>
      <w:r w:rsidRPr="000E58E6">
        <w:rPr>
          <w:color w:val="000000"/>
          <w:sz w:val="20"/>
          <w:szCs w:val="20"/>
        </w:rPr>
        <w:t>The change in mean annual surface temperature with doubled CO</w:t>
      </w:r>
      <w:r w:rsidRPr="000E58E6">
        <w:rPr>
          <w:color w:val="000000"/>
          <w:sz w:val="20"/>
          <w:szCs w:val="20"/>
          <w:vertAlign w:val="subscript"/>
        </w:rPr>
        <w:t>2</w:t>
      </w:r>
      <w:r w:rsidRPr="000E58E6">
        <w:rPr>
          <w:color w:val="000000"/>
          <w:sz w:val="20"/>
          <w:szCs w:val="20"/>
        </w:rPr>
        <w:t xml:space="preserve"> of the stronger OHT simulation minus the weaker OHT simulation. The stronger OHT simulation experiences a greater increase in surface temperature than the weaker OHT simulation globally. The ECS is 6.66°C and 5.77°C for the stronger and weaker OHT simulations, respectively</w:t>
      </w:r>
    </w:p>
    <w:p w14:paraId="6FA4C66C" w14:textId="77777777" w:rsidR="00C22800" w:rsidRDefault="00C22800" w:rsidP="00C22800">
      <w:pPr>
        <w:rPr>
          <w:color w:val="000000"/>
          <w:sz w:val="20"/>
          <w:szCs w:val="20"/>
        </w:rPr>
      </w:pPr>
    </w:p>
    <w:p w14:paraId="1F5D212F" w14:textId="77777777" w:rsidR="00C22800" w:rsidRDefault="00C22800" w:rsidP="00C22800">
      <w:pPr>
        <w:rPr>
          <w:color w:val="000000"/>
          <w:sz w:val="20"/>
          <w:szCs w:val="20"/>
        </w:rPr>
      </w:pPr>
    </w:p>
    <w:p w14:paraId="52CEDCF8" w14:textId="77777777" w:rsidR="00C22800" w:rsidRDefault="00C22800" w:rsidP="00C22800">
      <w:pPr>
        <w:rPr>
          <w:color w:val="000000"/>
          <w:sz w:val="20"/>
          <w:szCs w:val="20"/>
        </w:rPr>
      </w:pPr>
    </w:p>
    <w:p w14:paraId="64FFE837" w14:textId="77777777" w:rsidR="00C22800" w:rsidRDefault="00C22800" w:rsidP="00C22800">
      <w:pPr>
        <w:rPr>
          <w:color w:val="000000"/>
          <w:sz w:val="20"/>
          <w:szCs w:val="20"/>
        </w:rPr>
      </w:pPr>
    </w:p>
    <w:p w14:paraId="487C62D1" w14:textId="77777777" w:rsidR="00C22800" w:rsidRDefault="00C22800" w:rsidP="00C22800">
      <w:pPr>
        <w:rPr>
          <w:sz w:val="20"/>
          <w:szCs w:val="20"/>
        </w:rPr>
      </w:pPr>
      <w:r>
        <w:rPr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7E749140" wp14:editId="6B11A78E">
            <wp:extent cx="5727700" cy="1396941"/>
            <wp:effectExtent l="0" t="0" r="0" b="0"/>
            <wp:docPr id="1982050431" name="Picture 89" descr="A blue rectangle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050431" name="Picture 89" descr="A blue rectangles with numbe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070" cy="1414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E7C7C9" w14:textId="77777777" w:rsidR="00C22800" w:rsidRDefault="00C22800" w:rsidP="00C22800">
      <w:pPr>
        <w:rPr>
          <w:sz w:val="20"/>
          <w:szCs w:val="20"/>
        </w:rPr>
      </w:pPr>
      <w:r>
        <w:rPr>
          <w:noProof/>
          <w:color w:val="000000"/>
          <w:sz w:val="22"/>
          <w:szCs w:val="22"/>
          <w:bdr w:val="none" w:sz="0" w:space="0" w:color="auto" w:frame="1"/>
        </w:rPr>
        <w:drawing>
          <wp:inline distT="0" distB="0" distL="0" distR="0" wp14:anchorId="54A06444" wp14:editId="7FA4A9C3">
            <wp:extent cx="5728175" cy="1401445"/>
            <wp:effectExtent l="0" t="0" r="0" b="0"/>
            <wp:docPr id="717392004" name="Picture 90" descr="A rectangular object with numbers and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92004" name="Picture 90" descr="A rectangular object with numbers and a black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795" cy="1410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E85E62" w14:textId="77777777" w:rsidR="00C22800" w:rsidRDefault="00C22800" w:rsidP="00C22800">
      <w:pPr>
        <w:rPr>
          <w:sz w:val="20"/>
          <w:szCs w:val="20"/>
        </w:rPr>
      </w:pPr>
    </w:p>
    <w:p w14:paraId="4179B2D0" w14:textId="018AEC5D" w:rsidR="00C22800" w:rsidRPr="0042427F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</w:t>
      </w:r>
      <w:r w:rsidRPr="00C22800">
        <w:rPr>
          <w:b/>
          <w:bCs/>
          <w:sz w:val="20"/>
          <w:szCs w:val="20"/>
        </w:rPr>
        <w:t>4</w:t>
      </w:r>
      <w:r w:rsidRPr="0042427F">
        <w:rPr>
          <w:sz w:val="20"/>
          <w:szCs w:val="20"/>
        </w:rPr>
        <w:t xml:space="preserve"> </w:t>
      </w:r>
      <w:r w:rsidRPr="0042427F">
        <w:rPr>
          <w:color w:val="000000"/>
          <w:sz w:val="20"/>
          <w:szCs w:val="20"/>
        </w:rPr>
        <w:t>The change in global shortwave cloud forcing with doubled CO</w:t>
      </w:r>
      <w:r w:rsidRPr="0042427F">
        <w:rPr>
          <w:color w:val="000000"/>
          <w:sz w:val="20"/>
          <w:szCs w:val="20"/>
          <w:vertAlign w:val="subscript"/>
        </w:rPr>
        <w:t>2</w:t>
      </w:r>
      <w:r w:rsidRPr="0042427F">
        <w:rPr>
          <w:color w:val="000000"/>
          <w:sz w:val="20"/>
          <w:szCs w:val="20"/>
        </w:rPr>
        <w:t xml:space="preserve"> and global longwave cloud forcing with doubled CO</w:t>
      </w:r>
      <w:r w:rsidRPr="0042427F">
        <w:rPr>
          <w:color w:val="000000"/>
          <w:sz w:val="20"/>
          <w:szCs w:val="20"/>
          <w:vertAlign w:val="subscript"/>
        </w:rPr>
        <w:t>2</w:t>
      </w:r>
      <w:r w:rsidRPr="0042427F">
        <w:rPr>
          <w:color w:val="000000"/>
          <w:sz w:val="20"/>
          <w:szCs w:val="20"/>
        </w:rPr>
        <w:t>. Both forcings are reduced with doubled CO</w:t>
      </w:r>
      <w:r w:rsidRPr="0042427F">
        <w:rPr>
          <w:color w:val="000000"/>
          <w:sz w:val="20"/>
          <w:szCs w:val="20"/>
          <w:vertAlign w:val="subscript"/>
        </w:rPr>
        <w:t>2</w:t>
      </w:r>
      <w:r w:rsidRPr="0042427F">
        <w:rPr>
          <w:color w:val="000000"/>
          <w:sz w:val="20"/>
          <w:szCs w:val="20"/>
        </w:rPr>
        <w:t xml:space="preserve"> but SWCF is a negative forcing and LWCF is a positive forcing, so for </w:t>
      </w:r>
      <w:r w:rsidR="00A37614">
        <w:rPr>
          <w:color w:val="000000"/>
          <w:sz w:val="20"/>
          <w:szCs w:val="20"/>
        </w:rPr>
        <w:t xml:space="preserve">SWCF </w:t>
      </w:r>
      <w:r w:rsidRPr="0042427F">
        <w:rPr>
          <w:color w:val="000000"/>
          <w:sz w:val="20"/>
          <w:szCs w:val="20"/>
        </w:rPr>
        <w:t>the bottom edge of the bar represents the global SWCF with original CO</w:t>
      </w:r>
      <w:r w:rsidRPr="0042427F">
        <w:rPr>
          <w:color w:val="000000"/>
          <w:sz w:val="20"/>
          <w:szCs w:val="20"/>
          <w:vertAlign w:val="subscript"/>
        </w:rPr>
        <w:t>2</w:t>
      </w:r>
      <w:r w:rsidRPr="0042427F">
        <w:rPr>
          <w:color w:val="000000"/>
          <w:sz w:val="20"/>
          <w:szCs w:val="20"/>
        </w:rPr>
        <w:t xml:space="preserve">, and for </w:t>
      </w:r>
      <w:r w:rsidR="00A37614">
        <w:rPr>
          <w:color w:val="000000"/>
          <w:sz w:val="20"/>
          <w:szCs w:val="20"/>
        </w:rPr>
        <w:t>LWCF</w:t>
      </w:r>
      <w:r w:rsidRPr="0042427F">
        <w:rPr>
          <w:color w:val="000000"/>
          <w:sz w:val="20"/>
          <w:szCs w:val="20"/>
        </w:rPr>
        <w:t xml:space="preserve"> the top edge of the bar represents the global LWCF with original CO</w:t>
      </w:r>
      <w:r w:rsidRPr="0042427F">
        <w:rPr>
          <w:color w:val="000000"/>
          <w:sz w:val="20"/>
          <w:szCs w:val="20"/>
          <w:vertAlign w:val="subscript"/>
        </w:rPr>
        <w:t>2</w:t>
      </w:r>
      <w:r w:rsidRPr="0042427F">
        <w:rPr>
          <w:color w:val="000000"/>
          <w:sz w:val="20"/>
          <w:szCs w:val="20"/>
        </w:rPr>
        <w:t>. The value in the middle of each bar represents the difference in SWCF and LWCF with doubled CO</w:t>
      </w:r>
      <w:r w:rsidRPr="0042427F">
        <w:rPr>
          <w:color w:val="000000"/>
          <w:sz w:val="20"/>
          <w:szCs w:val="20"/>
          <w:vertAlign w:val="subscript"/>
        </w:rPr>
        <w:t>2</w:t>
      </w:r>
    </w:p>
    <w:p w14:paraId="74CDADE6" w14:textId="77777777" w:rsidR="00C22800" w:rsidRPr="0042427F" w:rsidRDefault="00C22800" w:rsidP="00C22800">
      <w:pPr>
        <w:rPr>
          <w:color w:val="000000"/>
          <w:sz w:val="20"/>
          <w:szCs w:val="20"/>
        </w:rPr>
      </w:pPr>
    </w:p>
    <w:p w14:paraId="119556AE" w14:textId="77777777" w:rsidR="00C22800" w:rsidRPr="0042427F" w:rsidRDefault="00C22800" w:rsidP="00C22800">
      <w:pPr>
        <w:rPr>
          <w:sz w:val="20"/>
          <w:szCs w:val="20"/>
        </w:rPr>
      </w:pPr>
      <w:r>
        <w:rPr>
          <w:i/>
          <w:iCs/>
          <w:noProof/>
          <w:color w:val="000000"/>
          <w:sz w:val="20"/>
          <w:szCs w:val="20"/>
          <w:bdr w:val="none" w:sz="0" w:space="0" w:color="auto" w:frame="1"/>
        </w:rPr>
        <w:lastRenderedPageBreak/>
        <w:drawing>
          <wp:inline distT="0" distB="0" distL="0" distR="0" wp14:anchorId="56AD616F" wp14:editId="54C0B320">
            <wp:extent cx="5727700" cy="2787358"/>
            <wp:effectExtent l="0" t="0" r="0" b="0"/>
            <wp:docPr id="1985976327" name="Picture 91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976327" name="Picture 91" descr="A map of the wor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105" cy="2793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B0A15" w14:textId="77777777" w:rsidR="00C22800" w:rsidRPr="0042427F" w:rsidRDefault="00C22800" w:rsidP="00C22800">
      <w:pPr>
        <w:rPr>
          <w:sz w:val="20"/>
          <w:szCs w:val="20"/>
        </w:rPr>
      </w:pPr>
    </w:p>
    <w:p w14:paraId="732E9C4C" w14:textId="026DA231" w:rsidR="00C22800" w:rsidRPr="0042427F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</w:t>
      </w:r>
      <w:r w:rsidRPr="00C22800">
        <w:rPr>
          <w:b/>
          <w:bCs/>
          <w:sz w:val="20"/>
          <w:szCs w:val="20"/>
        </w:rPr>
        <w:t>5</w:t>
      </w:r>
      <w:r w:rsidRPr="0042427F">
        <w:rPr>
          <w:sz w:val="20"/>
          <w:szCs w:val="20"/>
        </w:rPr>
        <w:t xml:space="preserve"> </w:t>
      </w:r>
      <w:r w:rsidRPr="0042427F">
        <w:rPr>
          <w:color w:val="000000"/>
          <w:sz w:val="20"/>
          <w:szCs w:val="20"/>
        </w:rPr>
        <w:t>Outgoing longwave radiation percent difference (CRET6xSOM12x - CRET6xSOM6x) in order to emphasize lowered albedo in Antarctica. As there is no land ice, and very little sea ice, the lowered albedo is likely caused by a reduction in snow cover and lower, reflective cloud cover</w:t>
      </w:r>
    </w:p>
    <w:p w14:paraId="5E2EF330" w14:textId="77777777" w:rsidR="00C22800" w:rsidRPr="0042427F" w:rsidRDefault="00C22800" w:rsidP="00C22800">
      <w:pPr>
        <w:rPr>
          <w:color w:val="000000"/>
          <w:sz w:val="20"/>
          <w:szCs w:val="20"/>
        </w:rPr>
      </w:pPr>
    </w:p>
    <w:p w14:paraId="4A3461B6" w14:textId="77777777" w:rsidR="00C22800" w:rsidRPr="0042427F" w:rsidRDefault="00C22800" w:rsidP="00C22800">
      <w:pPr>
        <w:rPr>
          <w:sz w:val="20"/>
          <w:szCs w:val="20"/>
        </w:rPr>
      </w:pPr>
      <w:r>
        <w:rPr>
          <w:i/>
          <w:iCs/>
          <w:noProof/>
          <w:color w:val="000000"/>
          <w:sz w:val="20"/>
          <w:szCs w:val="20"/>
          <w:bdr w:val="none" w:sz="0" w:space="0" w:color="auto" w:frame="1"/>
        </w:rPr>
        <w:drawing>
          <wp:inline distT="0" distB="0" distL="0" distR="0" wp14:anchorId="4359AD25" wp14:editId="26D1AC03">
            <wp:extent cx="5727700" cy="2787358"/>
            <wp:effectExtent l="0" t="0" r="0" b="0"/>
            <wp:docPr id="1378776459" name="Picture 92" descr="A map of the worl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776459" name="Picture 92" descr="A map of the worl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431" cy="279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564D3" w14:textId="77777777" w:rsidR="00C22800" w:rsidRPr="0042427F" w:rsidRDefault="00C22800" w:rsidP="00C22800">
      <w:pPr>
        <w:rPr>
          <w:sz w:val="20"/>
          <w:szCs w:val="20"/>
        </w:rPr>
      </w:pPr>
    </w:p>
    <w:p w14:paraId="3C49C719" w14:textId="358400B5" w:rsidR="00C22800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</w:t>
      </w:r>
      <w:r w:rsidRPr="00C22800">
        <w:rPr>
          <w:b/>
          <w:bCs/>
          <w:sz w:val="20"/>
          <w:szCs w:val="20"/>
        </w:rPr>
        <w:t>6</w:t>
      </w:r>
      <w:r w:rsidRPr="0042427F">
        <w:rPr>
          <w:sz w:val="20"/>
          <w:szCs w:val="20"/>
        </w:rPr>
        <w:t xml:space="preserve"> </w:t>
      </w:r>
      <w:r w:rsidRPr="0042427F">
        <w:rPr>
          <w:color w:val="000000"/>
          <w:sz w:val="20"/>
          <w:szCs w:val="20"/>
        </w:rPr>
        <w:t>Precipitation difference (CRET6xSOM12x - CRET6xSOM6x) to show a southern shift in the ITCZ, not apparent in other time slices, resulting in lower monsoonal activity in southeast Asia, which may indicate lower cloud cover and enhanced warming</w:t>
      </w:r>
    </w:p>
    <w:p w14:paraId="7567D8C1" w14:textId="77777777" w:rsidR="00C22800" w:rsidRDefault="00C22800" w:rsidP="00C22800">
      <w:pPr>
        <w:rPr>
          <w:color w:val="000000"/>
          <w:sz w:val="20"/>
          <w:szCs w:val="20"/>
        </w:rPr>
      </w:pPr>
    </w:p>
    <w:p w14:paraId="2BF359AD" w14:textId="77777777" w:rsidR="00C22800" w:rsidRDefault="00C22800" w:rsidP="00C22800">
      <w:pPr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lastRenderedPageBreak/>
        <w:drawing>
          <wp:inline distT="0" distB="0" distL="0" distR="0" wp14:anchorId="54FA40EC" wp14:editId="1F9980A4">
            <wp:extent cx="4540102" cy="4314079"/>
            <wp:effectExtent l="0" t="0" r="0" b="0"/>
            <wp:docPr id="1420956159" name="Picture 1" descr="A graph of a graph with colored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956159" name="Picture 1" descr="A graph of a graph with colored dot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64617" cy="433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C41B8A" w14:textId="77777777" w:rsidR="00C22800" w:rsidRDefault="00C22800" w:rsidP="00C22800">
      <w:pPr>
        <w:rPr>
          <w:sz w:val="20"/>
          <w:szCs w:val="20"/>
        </w:rPr>
      </w:pPr>
    </w:p>
    <w:p w14:paraId="4B6140DE" w14:textId="4EF4238F" w:rsidR="00C22800" w:rsidRDefault="00C22800" w:rsidP="00C22800">
      <w:pPr>
        <w:rPr>
          <w:color w:val="000000"/>
          <w:sz w:val="20"/>
          <w:szCs w:val="20"/>
        </w:rPr>
      </w:pPr>
      <w:r w:rsidRPr="00C22800">
        <w:rPr>
          <w:b/>
          <w:bCs/>
          <w:sz w:val="20"/>
          <w:szCs w:val="20"/>
        </w:rPr>
        <w:t>Fig</w:t>
      </w:r>
      <w:r w:rsidRPr="00C22800">
        <w:rPr>
          <w:b/>
          <w:bCs/>
          <w:sz w:val="20"/>
          <w:szCs w:val="20"/>
        </w:rPr>
        <w:t>.</w:t>
      </w:r>
      <w:r w:rsidRPr="00C22800">
        <w:rPr>
          <w:b/>
          <w:bCs/>
          <w:sz w:val="20"/>
          <w:szCs w:val="20"/>
        </w:rPr>
        <w:t xml:space="preserve"> S</w:t>
      </w:r>
      <w:r w:rsidRPr="00C22800">
        <w:rPr>
          <w:b/>
          <w:bCs/>
          <w:sz w:val="20"/>
          <w:szCs w:val="20"/>
        </w:rPr>
        <w:t>7</w:t>
      </w:r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The relationship between ECS and initial GMST for each climate state</w:t>
      </w:r>
    </w:p>
    <w:p w14:paraId="28181822" w14:textId="77777777" w:rsidR="00C22800" w:rsidRPr="00C22800" w:rsidRDefault="00C22800">
      <w:pPr>
        <w:rPr>
          <w:sz w:val="20"/>
          <w:szCs w:val="20"/>
        </w:rPr>
      </w:pPr>
    </w:p>
    <w:sectPr w:rsidR="00C22800" w:rsidRPr="00C22800" w:rsidSect="00C2280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800"/>
    <w:rsid w:val="006406B0"/>
    <w:rsid w:val="008C5B1E"/>
    <w:rsid w:val="00913F74"/>
    <w:rsid w:val="009B51AE"/>
    <w:rsid w:val="00A37614"/>
    <w:rsid w:val="00A4379C"/>
    <w:rsid w:val="00BA06EA"/>
    <w:rsid w:val="00C22800"/>
    <w:rsid w:val="00D21E02"/>
    <w:rsid w:val="00EC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36D00B"/>
  <w15:chartTrackingRefBased/>
  <w15:docId w15:val="{C81187A2-CD08-6F46-9708-7ADC08BE6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80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280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280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280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280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280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280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280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280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280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28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28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28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28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28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28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28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28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28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280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28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280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28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280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28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280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28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28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28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280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22800"/>
    <w:pPr>
      <w:spacing w:before="100" w:beforeAutospacing="1" w:after="100" w:afterAutospacing="1"/>
    </w:pPr>
  </w:style>
  <w:style w:type="character" w:styleId="LineNumber">
    <w:name w:val="line number"/>
    <w:basedOn w:val="DefaultParagraphFont"/>
    <w:uiPriority w:val="99"/>
    <w:semiHidden/>
    <w:unhideWhenUsed/>
    <w:rsid w:val="00C228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380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Campbell, Julia</dc:creator>
  <cp:keywords/>
  <dc:description/>
  <cp:lastModifiedBy>Campbell, Julia</cp:lastModifiedBy>
  <cp:revision>2</cp:revision>
  <dcterms:created xsi:type="dcterms:W3CDTF">2025-12-03T20:52:00Z</dcterms:created>
  <dcterms:modified xsi:type="dcterms:W3CDTF">2025-12-03T21:02:00Z</dcterms:modified>
</cp:coreProperties>
</file>