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62581C" w14:textId="77777777" w:rsidR="00275543" w:rsidRPr="007632AE" w:rsidRDefault="00275543" w:rsidP="00275543">
      <w:pPr>
        <w:keepNext/>
        <w:spacing w:line="48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Extended data f</w:t>
      </w:r>
      <w:r w:rsidRPr="007632AE">
        <w:rPr>
          <w:rFonts w:ascii="Arial" w:hAnsi="Arial" w:cs="Arial"/>
          <w:b/>
          <w:bCs/>
          <w:sz w:val="24"/>
          <w:szCs w:val="24"/>
        </w:rPr>
        <w:t>igures</w:t>
      </w:r>
    </w:p>
    <w:p w14:paraId="61DADA20" w14:textId="77777777" w:rsidR="00275543" w:rsidRDefault="00275543" w:rsidP="00275543">
      <w:pPr>
        <w:spacing w:line="48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4626483C" wp14:editId="45ADF320">
            <wp:extent cx="6662057" cy="3786679"/>
            <wp:effectExtent l="0" t="0" r="5715" b="4445"/>
            <wp:docPr id="139887698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154" cy="37895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EEE10F" w14:textId="77777777" w:rsidR="00275543" w:rsidRDefault="00275543" w:rsidP="00275543">
      <w:pPr>
        <w:spacing w:line="48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1E3CB15A" w14:textId="77777777" w:rsidR="00275543" w:rsidRPr="009F24EC" w:rsidRDefault="00275543" w:rsidP="00275543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Extended data f</w:t>
      </w:r>
      <w:r w:rsidRPr="007632AE">
        <w:rPr>
          <w:rFonts w:ascii="Arial" w:hAnsi="Arial" w:cs="Arial"/>
          <w:b/>
          <w:bCs/>
          <w:sz w:val="24"/>
          <w:szCs w:val="24"/>
        </w:rPr>
        <w:t xml:space="preserve">igure 1. Human serum albumin (HSA)-based nanoparticles for targeted drug delivery. </w:t>
      </w:r>
      <w:r w:rsidRPr="007632AE">
        <w:rPr>
          <w:rFonts w:ascii="Arial" w:hAnsi="Arial" w:cs="Arial"/>
          <w:sz w:val="24"/>
          <w:szCs w:val="24"/>
        </w:rPr>
        <w:t xml:space="preserve">Albumin nanoparticle (ANP) were synthesized </w:t>
      </w:r>
      <w:r w:rsidRPr="007632AE">
        <w:rPr>
          <w:rFonts w:ascii="Arial" w:hAnsi="Arial" w:cs="Arial"/>
          <w:b/>
          <w:sz w:val="24"/>
          <w:szCs w:val="24"/>
        </w:rPr>
        <w:t>(</w:t>
      </w:r>
      <w:r>
        <w:rPr>
          <w:rFonts w:ascii="Arial" w:hAnsi="Arial" w:cs="Arial"/>
          <w:b/>
          <w:sz w:val="24"/>
          <w:szCs w:val="24"/>
        </w:rPr>
        <w:t>a</w:t>
      </w:r>
      <w:r w:rsidRPr="007632AE">
        <w:rPr>
          <w:rFonts w:ascii="Arial" w:hAnsi="Arial" w:cs="Arial"/>
          <w:b/>
          <w:sz w:val="24"/>
          <w:szCs w:val="24"/>
        </w:rPr>
        <w:t>)</w:t>
      </w:r>
      <w:r w:rsidRPr="007632AE">
        <w:rPr>
          <w:rFonts w:ascii="Arial" w:hAnsi="Arial" w:cs="Arial"/>
          <w:sz w:val="24"/>
          <w:szCs w:val="24"/>
        </w:rPr>
        <w:t xml:space="preserve"> using a solvent desolvation technique by controlled addition of ethanol to albumin solutions (i). </w:t>
      </w:r>
      <w:r>
        <w:rPr>
          <w:rFonts w:ascii="Arial" w:hAnsi="Arial" w:cs="Arial"/>
          <w:sz w:val="24"/>
          <w:szCs w:val="24"/>
        </w:rPr>
        <w:t xml:space="preserve"> </w:t>
      </w:r>
      <w:r w:rsidRPr="007632AE">
        <w:rPr>
          <w:rFonts w:ascii="Arial" w:hAnsi="Arial" w:cs="Arial"/>
          <w:sz w:val="24"/>
          <w:szCs w:val="24"/>
        </w:rPr>
        <w:t>Piceatannol ANP (PANP) were synthesized by incubating albumin solutions with piceatannol prior to desolvation (ii), and dye functionalized ANP/PANP were formed by addition of dye prior to desolva</w:t>
      </w:r>
      <w:r>
        <w:rPr>
          <w:rFonts w:ascii="Arial" w:hAnsi="Arial" w:cs="Arial"/>
          <w:sz w:val="24"/>
          <w:szCs w:val="24"/>
        </w:rPr>
        <w:t>t</w:t>
      </w:r>
      <w:r w:rsidRPr="007632AE">
        <w:rPr>
          <w:rFonts w:ascii="Arial" w:hAnsi="Arial" w:cs="Arial"/>
          <w:sz w:val="24"/>
          <w:szCs w:val="24"/>
        </w:rPr>
        <w:t xml:space="preserve">ion (iii). </w:t>
      </w:r>
      <w:r>
        <w:rPr>
          <w:rFonts w:ascii="Arial" w:hAnsi="Arial" w:cs="Arial"/>
          <w:sz w:val="24"/>
          <w:szCs w:val="24"/>
        </w:rPr>
        <w:t xml:space="preserve"> </w:t>
      </w:r>
      <w:r w:rsidRPr="00361F7B">
        <w:rPr>
          <w:rFonts w:ascii="Arial" w:hAnsi="Arial" w:cs="Arial"/>
          <w:b/>
          <w:bCs/>
          <w:sz w:val="24"/>
          <w:szCs w:val="24"/>
        </w:rPr>
        <w:t>(</w:t>
      </w:r>
      <w:r>
        <w:rPr>
          <w:rFonts w:ascii="Arial" w:hAnsi="Arial" w:cs="Arial"/>
          <w:b/>
          <w:bCs/>
          <w:sz w:val="24"/>
          <w:szCs w:val="24"/>
        </w:rPr>
        <w:t>b</w:t>
      </w:r>
      <w:r w:rsidRPr="00361F7B">
        <w:rPr>
          <w:rFonts w:ascii="Arial" w:hAnsi="Arial" w:cs="Arial"/>
          <w:b/>
          <w:bCs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</w:t>
      </w:r>
      <w:r w:rsidRPr="007632AE">
        <w:rPr>
          <w:rFonts w:ascii="Arial" w:hAnsi="Arial" w:cs="Arial"/>
          <w:sz w:val="24"/>
          <w:szCs w:val="24"/>
        </w:rPr>
        <w:t>Piceatannol was loaded into ANP with encapsulation efficiency of 4.5-5% as measured by LC-MS/MS. ANP size, polydispersity, zeta potential and encapsulation efficiency were found to remain constant as reaction volume was scaled up from 4.5mL to 3 liters.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196C8651" w14:textId="77777777" w:rsidR="00275543" w:rsidRDefault="00275543" w:rsidP="00275543">
      <w:pPr>
        <w:spacing w:line="48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36982E0" w14:textId="77777777" w:rsidR="00275543" w:rsidRDefault="00275543" w:rsidP="00275543">
      <w:pPr>
        <w:spacing w:line="48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1CEC715" w14:textId="77777777" w:rsidR="00275543" w:rsidRPr="007632AE" w:rsidRDefault="00275543" w:rsidP="00275543">
      <w:pPr>
        <w:spacing w:line="480" w:lineRule="auto"/>
        <w:jc w:val="both"/>
        <w:rPr>
          <w:rFonts w:ascii="Arial" w:eastAsia="Calibri" w:hAnsi="Arial" w:cs="Arial"/>
          <w:bCs/>
          <w:color w:val="010202"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3D54EE7D" wp14:editId="2F83CE10">
            <wp:extent cx="6828155" cy="3298190"/>
            <wp:effectExtent l="0" t="0" r="0" b="0"/>
            <wp:docPr id="1787171599" name="Picture 13" descr="A close-up of a white and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7171599" name="Picture 13" descr="A close-up of a white and black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8155" cy="3298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sz w:val="24"/>
          <w:szCs w:val="24"/>
        </w:rPr>
        <w:t>Extended data f</w:t>
      </w:r>
      <w:r w:rsidRPr="007632AE">
        <w:rPr>
          <w:rFonts w:ascii="Arial" w:hAnsi="Arial" w:cs="Arial"/>
          <w:b/>
          <w:bCs/>
          <w:sz w:val="24"/>
          <w:szCs w:val="24"/>
        </w:rPr>
        <w:t xml:space="preserve">igure </w:t>
      </w:r>
      <w:r>
        <w:rPr>
          <w:rFonts w:ascii="Arial" w:hAnsi="Arial" w:cs="Arial"/>
          <w:b/>
          <w:bCs/>
          <w:sz w:val="24"/>
          <w:szCs w:val="24"/>
        </w:rPr>
        <w:t>2</w:t>
      </w:r>
      <w:r w:rsidRPr="007632AE">
        <w:rPr>
          <w:rFonts w:ascii="Arial" w:hAnsi="Arial" w:cs="Arial"/>
          <w:b/>
          <w:bCs/>
          <w:sz w:val="24"/>
          <w:szCs w:val="24"/>
        </w:rPr>
        <w:t xml:space="preserve">. </w:t>
      </w:r>
      <w:r w:rsidRPr="007F1969">
        <w:rPr>
          <w:rFonts w:ascii="Arial" w:hAnsi="Arial" w:cs="Arial"/>
          <w:b/>
          <w:bCs/>
          <w:color w:val="010202"/>
          <w:sz w:val="24"/>
          <w:szCs w:val="24"/>
        </w:rPr>
        <w:t>TUNEL staining</w:t>
      </w:r>
      <w:r w:rsidRPr="007632AE">
        <w:rPr>
          <w:rFonts w:ascii="Arial" w:hAnsi="Arial" w:cs="Arial"/>
          <w:color w:val="010202"/>
          <w:sz w:val="24"/>
          <w:szCs w:val="24"/>
        </w:rPr>
        <w:t xml:space="preserve">. Cardiomyocyte death was </w:t>
      </w:r>
      <w:r>
        <w:rPr>
          <w:rFonts w:ascii="Arial" w:hAnsi="Arial" w:cs="Arial"/>
          <w:color w:val="010202"/>
          <w:sz w:val="24"/>
          <w:szCs w:val="24"/>
        </w:rPr>
        <w:t>markedly</w:t>
      </w:r>
      <w:r w:rsidRPr="007632AE">
        <w:rPr>
          <w:rFonts w:ascii="Arial" w:hAnsi="Arial" w:cs="Arial"/>
          <w:color w:val="010202"/>
          <w:sz w:val="24"/>
          <w:szCs w:val="24"/>
        </w:rPr>
        <w:t xml:space="preserve"> reduced by PANP treatment</w:t>
      </w:r>
      <w:r>
        <w:rPr>
          <w:rFonts w:ascii="Arial" w:hAnsi="Arial" w:cs="Arial"/>
          <w:color w:val="010202"/>
          <w:sz w:val="24"/>
          <w:szCs w:val="24"/>
        </w:rPr>
        <w:t xml:space="preserve"> post IR</w:t>
      </w:r>
      <w:r w:rsidRPr="007632AE">
        <w:rPr>
          <w:rFonts w:ascii="Arial" w:hAnsi="Arial" w:cs="Arial"/>
          <w:color w:val="010202"/>
          <w:sz w:val="24"/>
          <w:szCs w:val="24"/>
        </w:rPr>
        <w:t>.</w:t>
      </w:r>
      <w:r w:rsidRPr="0094361F">
        <w:rPr>
          <w:rFonts w:ascii="Arial" w:hAnsi="Arial" w:cs="Arial"/>
          <w:color w:val="010202"/>
          <w:sz w:val="24"/>
          <w:szCs w:val="24"/>
        </w:rPr>
        <w:t xml:space="preserve"> </w:t>
      </w:r>
      <w:r>
        <w:rPr>
          <w:rFonts w:ascii="Arial" w:hAnsi="Arial" w:cs="Arial"/>
          <w:color w:val="010202"/>
          <w:sz w:val="24"/>
          <w:szCs w:val="24"/>
        </w:rPr>
        <w:t xml:space="preserve"> Histological sections of heart from control, or mice subjected to MIR treated with ANP or PANP were processed for TUNEL staining. </w:t>
      </w:r>
      <w:r w:rsidRPr="00043DA4">
        <w:rPr>
          <w:rFonts w:ascii="Arial" w:hAnsi="Arial" w:cs="Arial"/>
          <w:b/>
          <w:bCs/>
          <w:color w:val="010202"/>
          <w:sz w:val="24"/>
          <w:szCs w:val="24"/>
        </w:rPr>
        <w:t>(</w:t>
      </w:r>
      <w:r>
        <w:rPr>
          <w:rFonts w:ascii="Arial" w:hAnsi="Arial" w:cs="Arial"/>
          <w:b/>
          <w:bCs/>
          <w:color w:val="010202"/>
          <w:sz w:val="24"/>
          <w:szCs w:val="24"/>
        </w:rPr>
        <w:t>a</w:t>
      </w:r>
      <w:r w:rsidRPr="00043DA4">
        <w:rPr>
          <w:rFonts w:ascii="Arial" w:hAnsi="Arial" w:cs="Arial"/>
          <w:b/>
          <w:bCs/>
          <w:color w:val="010202"/>
          <w:sz w:val="24"/>
          <w:szCs w:val="24"/>
        </w:rPr>
        <w:t xml:space="preserve">) </w:t>
      </w:r>
      <w:r>
        <w:rPr>
          <w:rFonts w:ascii="Arial" w:hAnsi="Arial" w:cs="Arial"/>
          <w:color w:val="010202"/>
          <w:sz w:val="24"/>
          <w:szCs w:val="24"/>
        </w:rPr>
        <w:t xml:space="preserve">Representative microscopy images. </w:t>
      </w:r>
      <w:r w:rsidRPr="00043DA4">
        <w:rPr>
          <w:rFonts w:ascii="Arial" w:hAnsi="Arial" w:cs="Arial"/>
          <w:b/>
          <w:bCs/>
          <w:color w:val="010202"/>
          <w:sz w:val="24"/>
          <w:szCs w:val="24"/>
        </w:rPr>
        <w:t>(</w:t>
      </w:r>
      <w:r>
        <w:rPr>
          <w:rFonts w:ascii="Arial" w:hAnsi="Arial" w:cs="Arial"/>
          <w:b/>
          <w:bCs/>
          <w:color w:val="010202"/>
          <w:sz w:val="24"/>
          <w:szCs w:val="24"/>
        </w:rPr>
        <w:t>b</w:t>
      </w:r>
      <w:r w:rsidRPr="00043DA4">
        <w:rPr>
          <w:rFonts w:ascii="Arial" w:hAnsi="Arial" w:cs="Arial"/>
          <w:b/>
          <w:bCs/>
          <w:color w:val="010202"/>
          <w:sz w:val="24"/>
          <w:szCs w:val="24"/>
        </w:rPr>
        <w:t>)</w:t>
      </w:r>
      <w:r>
        <w:rPr>
          <w:rFonts w:ascii="Arial" w:hAnsi="Arial" w:cs="Arial"/>
          <w:color w:val="010202"/>
          <w:sz w:val="24"/>
          <w:szCs w:val="24"/>
        </w:rPr>
        <w:t xml:space="preserve"> Quantification of TUNEL positive cell percentage in each field of view by using </w:t>
      </w:r>
      <w:r w:rsidRPr="001F720E">
        <w:rPr>
          <w:rFonts w:ascii="Arial" w:hAnsi="Arial" w:cs="Arial"/>
          <w:sz w:val="24"/>
          <w:szCs w:val="24"/>
        </w:rPr>
        <w:t xml:space="preserve">Aperio Image Scope system (Leica). </w:t>
      </w:r>
      <w:r>
        <w:rPr>
          <w:rFonts w:ascii="Arial" w:hAnsi="Arial" w:cs="Arial"/>
          <w:sz w:val="24"/>
          <w:szCs w:val="24"/>
        </w:rPr>
        <w:t>**</w:t>
      </w:r>
      <w:r w:rsidRPr="001F720E">
        <w:rPr>
          <w:rFonts w:ascii="Arial" w:hAnsi="Arial" w:cs="Arial"/>
          <w:color w:val="010202"/>
          <w:sz w:val="24"/>
          <w:szCs w:val="24"/>
        </w:rPr>
        <w:t>*p&lt;</w:t>
      </w:r>
      <w:r w:rsidRPr="007632AE">
        <w:rPr>
          <w:rFonts w:ascii="Arial" w:hAnsi="Arial" w:cs="Arial"/>
          <w:color w:val="010202"/>
          <w:sz w:val="24"/>
          <w:szCs w:val="24"/>
        </w:rPr>
        <w:t xml:space="preserve"> 0.0</w:t>
      </w:r>
      <w:r>
        <w:rPr>
          <w:rFonts w:ascii="Arial" w:hAnsi="Arial" w:cs="Arial"/>
          <w:color w:val="010202"/>
          <w:sz w:val="24"/>
          <w:szCs w:val="24"/>
        </w:rPr>
        <w:t xml:space="preserve">005; </w:t>
      </w:r>
      <w:r w:rsidRPr="007632AE">
        <w:rPr>
          <w:rFonts w:ascii="Arial" w:hAnsi="Arial" w:cs="Arial"/>
          <w:color w:val="010202"/>
          <w:sz w:val="24"/>
          <w:szCs w:val="24"/>
        </w:rPr>
        <w:t>**</w:t>
      </w:r>
      <w:r>
        <w:rPr>
          <w:rFonts w:ascii="Arial" w:hAnsi="Arial" w:cs="Arial"/>
          <w:color w:val="010202"/>
          <w:sz w:val="24"/>
          <w:szCs w:val="24"/>
        </w:rPr>
        <w:t>**</w:t>
      </w:r>
      <w:r w:rsidRPr="007632AE">
        <w:rPr>
          <w:rFonts w:ascii="Arial" w:hAnsi="Arial" w:cs="Arial"/>
          <w:color w:val="010202"/>
          <w:sz w:val="24"/>
          <w:szCs w:val="24"/>
        </w:rPr>
        <w:t>p&lt; 0.0</w:t>
      </w:r>
      <w:r>
        <w:rPr>
          <w:rFonts w:ascii="Arial" w:hAnsi="Arial" w:cs="Arial"/>
          <w:color w:val="010202"/>
          <w:sz w:val="24"/>
          <w:szCs w:val="24"/>
        </w:rPr>
        <w:t xml:space="preserve">0005 </w:t>
      </w:r>
      <w:r w:rsidRPr="007632AE">
        <w:rPr>
          <w:rFonts w:ascii="Arial" w:hAnsi="Arial" w:cs="Arial"/>
          <w:color w:val="010202"/>
          <w:sz w:val="24"/>
          <w:szCs w:val="24"/>
        </w:rPr>
        <w:t>(</w:t>
      </w:r>
      <w:r>
        <w:rPr>
          <w:rFonts w:ascii="Arial" w:hAnsi="Arial" w:cs="Arial"/>
          <w:color w:val="010202"/>
          <w:sz w:val="24"/>
          <w:szCs w:val="24"/>
        </w:rPr>
        <w:t>One-way Anova</w:t>
      </w:r>
      <w:r w:rsidRPr="00CB1851">
        <w:rPr>
          <w:rFonts w:ascii="Arial" w:hAnsi="Arial" w:cs="Arial"/>
          <w:color w:val="010202"/>
          <w:sz w:val="24"/>
          <w:szCs w:val="24"/>
        </w:rPr>
        <w:t xml:space="preserve"> </w:t>
      </w:r>
      <w:r>
        <w:rPr>
          <w:rFonts w:ascii="Arial" w:hAnsi="Arial" w:cs="Arial"/>
          <w:color w:val="010202"/>
          <w:sz w:val="24"/>
          <w:szCs w:val="24"/>
        </w:rPr>
        <w:t>followed by Tukey’s multiple comparison test in GraphPad Prism</w:t>
      </w:r>
      <w:r w:rsidRPr="007632AE">
        <w:rPr>
          <w:rFonts w:ascii="Arial" w:hAnsi="Arial" w:cs="Arial"/>
          <w:color w:val="010202"/>
          <w:sz w:val="24"/>
          <w:szCs w:val="24"/>
        </w:rPr>
        <w:t xml:space="preserve">). </w:t>
      </w:r>
      <w:r>
        <w:rPr>
          <w:rFonts w:ascii="Arial" w:hAnsi="Arial" w:cs="Arial"/>
          <w:color w:val="010202"/>
          <w:sz w:val="24"/>
          <w:szCs w:val="24"/>
        </w:rPr>
        <w:t xml:space="preserve"> </w:t>
      </w:r>
      <w:r w:rsidRPr="007632AE">
        <w:rPr>
          <w:rFonts w:ascii="Arial" w:hAnsi="Arial" w:cs="Arial"/>
          <w:color w:val="010202"/>
          <w:sz w:val="24"/>
          <w:szCs w:val="24"/>
        </w:rPr>
        <w:t xml:space="preserve">Representative data </w:t>
      </w:r>
      <w:r>
        <w:rPr>
          <w:rFonts w:ascii="Arial" w:hAnsi="Arial" w:cs="Arial"/>
          <w:color w:val="010202"/>
          <w:sz w:val="24"/>
          <w:szCs w:val="24"/>
        </w:rPr>
        <w:t>shows different fields of view from 3 independent experiments</w:t>
      </w:r>
      <w:r w:rsidRPr="007632AE">
        <w:rPr>
          <w:rFonts w:ascii="Arial" w:hAnsi="Arial" w:cs="Arial"/>
          <w:color w:val="010202"/>
          <w:sz w:val="24"/>
          <w:szCs w:val="24"/>
        </w:rPr>
        <w:t>.</w:t>
      </w:r>
    </w:p>
    <w:p w14:paraId="64B84645" w14:textId="77777777" w:rsidR="00275543" w:rsidRDefault="00275543" w:rsidP="00275543">
      <w:pPr>
        <w:spacing w:line="480" w:lineRule="auto"/>
        <w:jc w:val="both"/>
        <w:rPr>
          <w:rFonts w:ascii="Arial" w:hAnsi="Arial" w:cs="Arial"/>
          <w:color w:val="010202"/>
          <w:sz w:val="24"/>
          <w:szCs w:val="24"/>
        </w:rPr>
      </w:pPr>
    </w:p>
    <w:p w14:paraId="0C6CB683" w14:textId="77777777" w:rsidR="00275543" w:rsidRDefault="00275543" w:rsidP="00275543">
      <w:pPr>
        <w:spacing w:line="480" w:lineRule="auto"/>
        <w:jc w:val="both"/>
        <w:rPr>
          <w:rFonts w:ascii="Arial" w:hAnsi="Arial" w:cs="Arial"/>
          <w:color w:val="010202"/>
          <w:sz w:val="24"/>
          <w:szCs w:val="24"/>
        </w:rPr>
      </w:pPr>
    </w:p>
    <w:p w14:paraId="41A27337" w14:textId="77777777" w:rsidR="00275543" w:rsidRDefault="00275543" w:rsidP="00275543">
      <w:pPr>
        <w:spacing w:line="480" w:lineRule="auto"/>
        <w:jc w:val="both"/>
        <w:rPr>
          <w:rFonts w:ascii="Arial" w:hAnsi="Arial" w:cs="Arial"/>
          <w:color w:val="010202"/>
          <w:sz w:val="24"/>
          <w:szCs w:val="24"/>
        </w:rPr>
      </w:pPr>
    </w:p>
    <w:p w14:paraId="102AE498" w14:textId="77777777" w:rsidR="00275543" w:rsidRDefault="00275543" w:rsidP="00275543">
      <w:pPr>
        <w:spacing w:line="480" w:lineRule="auto"/>
        <w:jc w:val="both"/>
        <w:rPr>
          <w:rFonts w:ascii="Arial" w:hAnsi="Arial" w:cs="Arial"/>
          <w:color w:val="010202"/>
          <w:sz w:val="24"/>
          <w:szCs w:val="24"/>
        </w:rPr>
      </w:pPr>
    </w:p>
    <w:p w14:paraId="58904600" w14:textId="77777777" w:rsidR="00275543" w:rsidRDefault="00275543" w:rsidP="00275543">
      <w:pPr>
        <w:spacing w:line="48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114C3C5C" wp14:editId="34B44766">
            <wp:extent cx="6276700" cy="4954633"/>
            <wp:effectExtent l="0" t="0" r="0" b="0"/>
            <wp:docPr id="1501554493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4062" cy="49683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DA6357" w14:textId="77777777" w:rsidR="00275543" w:rsidRDefault="00275543" w:rsidP="00275543">
      <w:pPr>
        <w:spacing w:line="48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221C551" w14:textId="77777777" w:rsidR="00275543" w:rsidRDefault="00275543" w:rsidP="00275543">
      <w:pPr>
        <w:spacing w:line="480" w:lineRule="auto"/>
        <w:jc w:val="both"/>
        <w:rPr>
          <w:rFonts w:ascii="Arial" w:hAnsi="Arial" w:cs="Arial"/>
          <w:color w:val="010202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Extended data f</w:t>
      </w:r>
      <w:r w:rsidRPr="007632AE">
        <w:rPr>
          <w:rFonts w:ascii="Arial" w:hAnsi="Arial" w:cs="Arial"/>
          <w:b/>
          <w:bCs/>
          <w:sz w:val="24"/>
          <w:szCs w:val="24"/>
        </w:rPr>
        <w:t xml:space="preserve">igure </w:t>
      </w:r>
      <w:r>
        <w:rPr>
          <w:rFonts w:ascii="Arial" w:hAnsi="Arial" w:cs="Arial"/>
          <w:b/>
          <w:bCs/>
          <w:sz w:val="24"/>
          <w:szCs w:val="24"/>
        </w:rPr>
        <w:t>3</w:t>
      </w:r>
      <w:r w:rsidRPr="007632AE">
        <w:rPr>
          <w:rFonts w:ascii="Arial" w:hAnsi="Arial" w:cs="Arial"/>
          <w:b/>
          <w:bCs/>
          <w:sz w:val="24"/>
          <w:szCs w:val="24"/>
        </w:rPr>
        <w:t>.</w:t>
      </w:r>
      <w:r>
        <w:rPr>
          <w:rFonts w:ascii="Arial" w:hAnsi="Arial" w:cs="Arial"/>
          <w:b/>
          <w:bCs/>
          <w:sz w:val="24"/>
          <w:szCs w:val="24"/>
        </w:rPr>
        <w:t xml:space="preserve"> PANP treatment post IR </w:t>
      </w:r>
      <w:r>
        <w:rPr>
          <w:rFonts w:ascii="Arial" w:eastAsia="Calibri" w:hAnsi="Arial" w:cs="Arial"/>
          <w:b/>
          <w:color w:val="010202"/>
          <w:sz w:val="24"/>
          <w:szCs w:val="24"/>
        </w:rPr>
        <w:t>reduces</w:t>
      </w:r>
      <w:r w:rsidRPr="003D0137">
        <w:rPr>
          <w:rFonts w:ascii="Arial" w:eastAsia="Calibri" w:hAnsi="Arial" w:cs="Arial"/>
          <w:b/>
          <w:color w:val="010202"/>
          <w:sz w:val="24"/>
          <w:szCs w:val="24"/>
        </w:rPr>
        <w:t xml:space="preserve"> cardiac </w:t>
      </w:r>
      <w:r w:rsidRPr="007A1032">
        <w:rPr>
          <w:rFonts w:ascii="Arial" w:eastAsia="Calibri" w:hAnsi="Arial" w:cs="Arial"/>
          <w:b/>
          <w:bCs/>
          <w:color w:val="010202"/>
          <w:sz w:val="24"/>
          <w:szCs w:val="24"/>
        </w:rPr>
        <w:t>myofiber disorganization</w:t>
      </w:r>
      <w:r w:rsidRPr="003D0137">
        <w:rPr>
          <w:rFonts w:ascii="Arial" w:eastAsia="Calibri" w:hAnsi="Arial" w:cs="Arial"/>
          <w:b/>
          <w:color w:val="010202"/>
          <w:sz w:val="24"/>
          <w:szCs w:val="24"/>
        </w:rPr>
        <w:t>.</w:t>
      </w:r>
      <w:r w:rsidRPr="003D0137">
        <w:rPr>
          <w:rFonts w:ascii="Arial" w:eastAsia="Calibri" w:hAnsi="Arial" w:cs="Arial"/>
          <w:bCs/>
          <w:color w:val="010202"/>
          <w:sz w:val="24"/>
          <w:szCs w:val="24"/>
        </w:rPr>
        <w:t xml:space="preserve"> </w:t>
      </w:r>
      <w:r>
        <w:rPr>
          <w:rFonts w:ascii="Arial" w:hAnsi="Arial" w:cs="Arial"/>
          <w:color w:val="010202"/>
          <w:sz w:val="24"/>
          <w:szCs w:val="24"/>
        </w:rPr>
        <w:t xml:space="preserve">Histological sections of heart from control or mice subjected to IR treated with ANP or PANP were stained </w:t>
      </w:r>
      <w:bookmarkStart w:id="0" w:name="OLE_LINK1"/>
      <w:r>
        <w:rPr>
          <w:rFonts w:ascii="Arial" w:hAnsi="Arial" w:cs="Arial"/>
          <w:color w:val="010202"/>
          <w:sz w:val="24"/>
          <w:szCs w:val="24"/>
        </w:rPr>
        <w:t>for Hematoxylin and Eosin</w:t>
      </w:r>
      <w:bookmarkEnd w:id="0"/>
      <w:r>
        <w:rPr>
          <w:rFonts w:ascii="Arial" w:hAnsi="Arial" w:cs="Arial"/>
          <w:color w:val="010202"/>
          <w:sz w:val="24"/>
          <w:szCs w:val="24"/>
        </w:rPr>
        <w:t xml:space="preserve">. </w:t>
      </w:r>
      <w:r w:rsidRPr="00744C0B">
        <w:rPr>
          <w:rFonts w:ascii="Arial" w:hAnsi="Arial" w:cs="Arial"/>
          <w:b/>
          <w:bCs/>
          <w:color w:val="010202"/>
          <w:sz w:val="24"/>
          <w:szCs w:val="24"/>
        </w:rPr>
        <w:t>(</w:t>
      </w:r>
      <w:r>
        <w:rPr>
          <w:rFonts w:ascii="Arial" w:hAnsi="Arial" w:cs="Arial"/>
          <w:b/>
          <w:bCs/>
          <w:color w:val="010202"/>
          <w:sz w:val="24"/>
          <w:szCs w:val="24"/>
        </w:rPr>
        <w:t>a</w:t>
      </w:r>
      <w:r w:rsidRPr="00744C0B">
        <w:rPr>
          <w:rFonts w:ascii="Arial" w:hAnsi="Arial" w:cs="Arial"/>
          <w:b/>
          <w:bCs/>
          <w:color w:val="010202"/>
          <w:sz w:val="24"/>
          <w:szCs w:val="24"/>
        </w:rPr>
        <w:t>)</w:t>
      </w:r>
      <w:r>
        <w:rPr>
          <w:rFonts w:ascii="Arial" w:hAnsi="Arial" w:cs="Arial"/>
          <w:color w:val="010202"/>
          <w:sz w:val="24"/>
          <w:szCs w:val="24"/>
        </w:rPr>
        <w:t xml:space="preserve"> </w:t>
      </w:r>
      <w:r w:rsidRPr="003D0137">
        <w:rPr>
          <w:rFonts w:ascii="Arial" w:eastAsia="Calibri" w:hAnsi="Arial" w:cs="Arial"/>
          <w:bCs/>
          <w:color w:val="010202"/>
          <w:sz w:val="24"/>
          <w:szCs w:val="24"/>
        </w:rPr>
        <w:t>Representative images of mid-myocardial</w:t>
      </w:r>
      <w:r>
        <w:rPr>
          <w:rFonts w:ascii="Arial" w:eastAsia="Calibri" w:hAnsi="Arial" w:cs="Arial"/>
          <w:bCs/>
          <w:color w:val="010202"/>
          <w:sz w:val="24"/>
          <w:szCs w:val="24"/>
        </w:rPr>
        <w:t xml:space="preserve"> and apex </w:t>
      </w:r>
      <w:r w:rsidRPr="003D0137">
        <w:rPr>
          <w:rFonts w:ascii="Arial" w:eastAsia="Calibri" w:hAnsi="Arial" w:cs="Arial"/>
          <w:bCs/>
          <w:color w:val="010202"/>
          <w:sz w:val="24"/>
          <w:szCs w:val="24"/>
        </w:rPr>
        <w:t>sections (scale bar represents</w:t>
      </w:r>
      <w:r>
        <w:rPr>
          <w:rFonts w:ascii="Arial" w:eastAsia="Calibri" w:hAnsi="Arial" w:cs="Arial"/>
          <w:bCs/>
          <w:color w:val="010202"/>
          <w:sz w:val="24"/>
          <w:szCs w:val="24"/>
        </w:rPr>
        <w:t xml:space="preserve"> 60µm</w:t>
      </w:r>
      <w:r w:rsidRPr="003D0137">
        <w:rPr>
          <w:rFonts w:ascii="Arial" w:eastAsia="Calibri" w:hAnsi="Arial" w:cs="Arial"/>
          <w:bCs/>
          <w:color w:val="010202"/>
          <w:sz w:val="24"/>
          <w:szCs w:val="24"/>
        </w:rPr>
        <w:t>).</w:t>
      </w:r>
      <w:r>
        <w:rPr>
          <w:rFonts w:ascii="Arial" w:eastAsia="Calibri" w:hAnsi="Arial" w:cs="Arial"/>
          <w:bCs/>
          <w:color w:val="010202"/>
          <w:sz w:val="24"/>
          <w:szCs w:val="24"/>
        </w:rPr>
        <w:t xml:space="preserve"> </w:t>
      </w:r>
      <w:r w:rsidRPr="00744C0B">
        <w:rPr>
          <w:rFonts w:ascii="Arial" w:hAnsi="Arial" w:cs="Arial"/>
          <w:b/>
          <w:bCs/>
          <w:color w:val="010202"/>
          <w:sz w:val="24"/>
          <w:szCs w:val="24"/>
        </w:rPr>
        <w:t>(</w:t>
      </w:r>
      <w:r>
        <w:rPr>
          <w:rFonts w:ascii="Arial" w:hAnsi="Arial" w:cs="Arial"/>
          <w:b/>
          <w:bCs/>
          <w:color w:val="010202"/>
          <w:sz w:val="24"/>
          <w:szCs w:val="24"/>
        </w:rPr>
        <w:t>b</w:t>
      </w:r>
      <w:r w:rsidRPr="00744C0B">
        <w:rPr>
          <w:rFonts w:ascii="Arial" w:hAnsi="Arial" w:cs="Arial"/>
          <w:b/>
          <w:bCs/>
          <w:color w:val="010202"/>
          <w:sz w:val="24"/>
          <w:szCs w:val="24"/>
        </w:rPr>
        <w:t>)</w:t>
      </w:r>
      <w:r>
        <w:rPr>
          <w:rFonts w:ascii="Arial" w:hAnsi="Arial" w:cs="Arial"/>
          <w:color w:val="010202"/>
          <w:sz w:val="24"/>
          <w:szCs w:val="24"/>
        </w:rPr>
        <w:t xml:space="preserve"> Blinded quantification of cellularity from mid (i) and apex (ii) regions in each field of view using </w:t>
      </w:r>
      <w:r w:rsidRPr="008F4757">
        <w:rPr>
          <w:rFonts w:ascii="Arial" w:hAnsi="Arial" w:cs="Arial"/>
          <w:sz w:val="24"/>
          <w:szCs w:val="24"/>
        </w:rPr>
        <w:t>Aperio Image Scope system (Leica).</w:t>
      </w:r>
      <w:r>
        <w:rPr>
          <w:rFonts w:ascii="Arial" w:hAnsi="Arial" w:cs="Arial"/>
          <w:color w:val="010202"/>
          <w:sz w:val="24"/>
          <w:szCs w:val="24"/>
        </w:rPr>
        <w:t xml:space="preserve"> </w:t>
      </w:r>
      <w:r w:rsidRPr="007632AE">
        <w:rPr>
          <w:rFonts w:ascii="Arial" w:hAnsi="Arial" w:cs="Arial"/>
          <w:color w:val="010202"/>
          <w:sz w:val="24"/>
          <w:szCs w:val="24"/>
        </w:rPr>
        <w:t>**</w:t>
      </w:r>
      <w:r>
        <w:rPr>
          <w:rFonts w:ascii="Arial" w:hAnsi="Arial" w:cs="Arial"/>
          <w:color w:val="010202"/>
          <w:sz w:val="24"/>
          <w:szCs w:val="24"/>
        </w:rPr>
        <w:t>**</w:t>
      </w:r>
      <w:r w:rsidRPr="007632AE">
        <w:rPr>
          <w:rFonts w:ascii="Arial" w:hAnsi="Arial" w:cs="Arial"/>
          <w:color w:val="010202"/>
          <w:sz w:val="24"/>
          <w:szCs w:val="24"/>
        </w:rPr>
        <w:t>p&lt; 0.0</w:t>
      </w:r>
      <w:r>
        <w:rPr>
          <w:rFonts w:ascii="Arial" w:hAnsi="Arial" w:cs="Arial"/>
          <w:color w:val="010202"/>
          <w:sz w:val="24"/>
          <w:szCs w:val="24"/>
        </w:rPr>
        <w:t xml:space="preserve">0005 </w:t>
      </w:r>
      <w:r w:rsidRPr="007632AE">
        <w:rPr>
          <w:rFonts w:ascii="Arial" w:hAnsi="Arial" w:cs="Arial"/>
          <w:color w:val="010202"/>
          <w:sz w:val="24"/>
          <w:szCs w:val="24"/>
        </w:rPr>
        <w:t>(</w:t>
      </w:r>
      <w:r>
        <w:rPr>
          <w:rFonts w:ascii="Arial" w:hAnsi="Arial" w:cs="Arial"/>
          <w:color w:val="010202"/>
          <w:sz w:val="24"/>
          <w:szCs w:val="24"/>
        </w:rPr>
        <w:t>One-way Anova</w:t>
      </w:r>
      <w:r w:rsidRPr="00CB1851">
        <w:rPr>
          <w:rFonts w:ascii="Arial" w:hAnsi="Arial" w:cs="Arial"/>
          <w:color w:val="010202"/>
          <w:sz w:val="24"/>
          <w:szCs w:val="24"/>
        </w:rPr>
        <w:t xml:space="preserve"> </w:t>
      </w:r>
      <w:r>
        <w:rPr>
          <w:rFonts w:ascii="Arial" w:hAnsi="Arial" w:cs="Arial"/>
          <w:color w:val="010202"/>
          <w:sz w:val="24"/>
          <w:szCs w:val="24"/>
        </w:rPr>
        <w:t xml:space="preserve">followed by Tukey’s </w:t>
      </w:r>
      <w:r>
        <w:rPr>
          <w:rFonts w:ascii="Arial" w:hAnsi="Arial" w:cs="Arial"/>
          <w:color w:val="010202"/>
          <w:sz w:val="24"/>
          <w:szCs w:val="24"/>
        </w:rPr>
        <w:lastRenderedPageBreak/>
        <w:t>multiple comparison test in GraphPad Prism</w:t>
      </w:r>
      <w:r w:rsidRPr="007632AE">
        <w:rPr>
          <w:rFonts w:ascii="Arial" w:hAnsi="Arial" w:cs="Arial"/>
          <w:color w:val="010202"/>
          <w:sz w:val="24"/>
          <w:szCs w:val="24"/>
        </w:rPr>
        <w:t xml:space="preserve">). Representative data </w:t>
      </w:r>
      <w:r>
        <w:rPr>
          <w:rFonts w:ascii="Arial" w:hAnsi="Arial" w:cs="Arial"/>
          <w:color w:val="010202"/>
          <w:sz w:val="24"/>
          <w:szCs w:val="24"/>
        </w:rPr>
        <w:t>includes different fields of view from 3 independent experiments</w:t>
      </w:r>
      <w:r w:rsidRPr="007632AE">
        <w:rPr>
          <w:rFonts w:ascii="Arial" w:hAnsi="Arial" w:cs="Arial"/>
          <w:color w:val="010202"/>
          <w:sz w:val="24"/>
          <w:szCs w:val="24"/>
        </w:rPr>
        <w:t>.</w:t>
      </w:r>
      <w:r>
        <w:rPr>
          <w:rFonts w:ascii="Arial" w:hAnsi="Arial" w:cs="Arial"/>
          <w:color w:val="010202"/>
          <w:sz w:val="24"/>
          <w:szCs w:val="24"/>
        </w:rPr>
        <w:t xml:space="preserve"> </w:t>
      </w:r>
    </w:p>
    <w:p w14:paraId="049B7D8F" w14:textId="77777777" w:rsidR="00275543" w:rsidRPr="00B84941" w:rsidRDefault="00275543" w:rsidP="00275543">
      <w:pPr>
        <w:spacing w:after="0" w:line="240" w:lineRule="auto"/>
        <w:rPr>
          <w:rFonts w:ascii="Arial" w:eastAsia="Times New Roman" w:hAnsi="Arial" w:cs="Arial"/>
          <w:sz w:val="25"/>
          <w:szCs w:val="25"/>
        </w:rPr>
      </w:pPr>
    </w:p>
    <w:p w14:paraId="5C2C9537" w14:textId="77777777" w:rsidR="00275543" w:rsidRPr="007632AE" w:rsidRDefault="00275543" w:rsidP="00275543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356536A6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543"/>
    <w:rsid w:val="00195413"/>
    <w:rsid w:val="00275543"/>
    <w:rsid w:val="003D0186"/>
    <w:rsid w:val="007278E4"/>
    <w:rsid w:val="00A3738C"/>
    <w:rsid w:val="00BC6C35"/>
    <w:rsid w:val="00CB270D"/>
    <w:rsid w:val="00CF7583"/>
    <w:rsid w:val="00DE6AE2"/>
    <w:rsid w:val="00E33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F9000E"/>
  <w15:chartTrackingRefBased/>
  <w15:docId w15:val="{EF5D97FF-535D-4264-A7B5-59AFFEAB9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5543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554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554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554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554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554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554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554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554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554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55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55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55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55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55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55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55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55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55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55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755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554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755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5543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755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5543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755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55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55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554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280</Words>
  <Characters>1694</Characters>
  <Application>Microsoft Office Word</Application>
  <DocSecurity>0</DocSecurity>
  <Lines>27</Lines>
  <Paragraphs>7</Paragraphs>
  <ScaleCrop>false</ScaleCrop>
  <Company>Springer Nature</Company>
  <LinksUpToDate>false</LinksUpToDate>
  <CharactersWithSpaces>1967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2025-12-12T06:53:00Z</dcterms:created>
  <dcterms:modified xsi:type="dcterms:W3CDTF">2025-12-12T06:53:00Z</dcterms:modified>
</cp:coreProperties>
</file>