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F4F436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Supplementary Figure 1</w:t>
      </w:r>
    </w:p>
    <w:p w14:paraId="0E5383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73375"/>
            <wp:effectExtent l="0" t="0" r="7620" b="3175"/>
            <wp:docPr id="1" name="图片 1" descr="Supplemental Fig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21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Supplementary Figure 1.characterization of enzalutamide-resistant prostate cancer cell lines with varying resistance levels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(A)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Comparison of the proliferative capacity of LNCaP and resistant sublines. Cells were seeded at equal densities, and viability was assessed using the CCK-8 assay on Days 0, 1, 2, and 3. Data are presented as relative viability normalized to Day 0 (set as 100%).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Representative images of the Transwell migration assay and quantification of the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ercentage of area covered by migrated cells. 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GO enrichment analysis of chromatin regions exhibiting increased accessibility in LN-35 cells.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  <w:lang w:val="en-US" w:eastAsia="zh-CN"/>
        </w:rPr>
        <w:t>(*p &lt; 0.05, **p &lt; 0.01, ***p &lt; 0.001).</w:t>
      </w:r>
    </w:p>
    <w:p w14:paraId="0E9E266A">
      <w:pPr>
        <w:rPr>
          <w:rFonts w:hint="eastAsia" w:eastAsiaTheme="minorEastAsia"/>
          <w:lang w:eastAsia="zh-CN"/>
        </w:rPr>
      </w:pPr>
    </w:p>
    <w:p w14:paraId="36D091BE">
      <w:pPr>
        <w:rPr>
          <w:rFonts w:hint="eastAsia" w:eastAsiaTheme="minorEastAsia"/>
          <w:lang w:eastAsia="zh-CN"/>
        </w:rPr>
      </w:pPr>
    </w:p>
    <w:p w14:paraId="49A832B9">
      <w:pPr>
        <w:rPr>
          <w:rFonts w:hint="eastAsia" w:eastAsiaTheme="minorEastAsia"/>
          <w:lang w:eastAsia="zh-CN"/>
        </w:rPr>
      </w:pPr>
    </w:p>
    <w:p w14:paraId="62B2DFF7">
      <w:pPr>
        <w:rPr>
          <w:rFonts w:hint="eastAsia" w:eastAsiaTheme="minorEastAsia"/>
          <w:lang w:eastAsia="zh-CN"/>
        </w:rPr>
      </w:pPr>
    </w:p>
    <w:p w14:paraId="192BC4B1">
      <w:pPr>
        <w:rPr>
          <w:rFonts w:hint="eastAsia" w:eastAsiaTheme="minorEastAsia"/>
          <w:lang w:eastAsia="zh-CN"/>
        </w:rPr>
      </w:pPr>
    </w:p>
    <w:p w14:paraId="5DFF614E">
      <w:pPr>
        <w:rPr>
          <w:rFonts w:hint="eastAsia" w:eastAsiaTheme="minorEastAsia"/>
          <w:lang w:eastAsia="zh-CN"/>
        </w:rPr>
      </w:pPr>
    </w:p>
    <w:p w14:paraId="728BF1F4">
      <w:pPr>
        <w:rPr>
          <w:rFonts w:hint="eastAsia" w:eastAsiaTheme="minorEastAsia"/>
          <w:lang w:eastAsia="zh-CN"/>
        </w:rPr>
      </w:pPr>
    </w:p>
    <w:p w14:paraId="17546D4F">
      <w:pPr>
        <w:rPr>
          <w:rFonts w:hint="eastAsia" w:eastAsiaTheme="minorEastAsia"/>
          <w:lang w:eastAsia="zh-CN"/>
        </w:rPr>
      </w:pPr>
    </w:p>
    <w:p w14:paraId="6137DE2B">
      <w:pPr>
        <w:rPr>
          <w:rFonts w:hint="eastAsia" w:eastAsiaTheme="minorEastAsia"/>
          <w:lang w:eastAsia="zh-CN"/>
        </w:rPr>
      </w:pPr>
    </w:p>
    <w:p w14:paraId="30E98AB5">
      <w:pPr>
        <w:rPr>
          <w:rFonts w:hint="eastAsia" w:eastAsiaTheme="minorEastAsia"/>
          <w:lang w:eastAsia="zh-CN"/>
        </w:rPr>
      </w:pPr>
    </w:p>
    <w:p w14:paraId="5E2595D7">
      <w:pPr>
        <w:rPr>
          <w:rFonts w:hint="eastAsia" w:ascii="Times New Roman" w:hAnsi="Times New Roman" w:cs="Times New Roman" w:eastAsiaTheme="minorEastAsia"/>
          <w:b/>
          <w:bCs/>
          <w:color w:val="auto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2</w:t>
      </w:r>
    </w:p>
    <w:p w14:paraId="6DCD9F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4490" cy="2182495"/>
            <wp:effectExtent l="0" t="0" r="10160" b="8255"/>
            <wp:docPr id="2" name="图片 2" descr="Supplemental Fi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626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2. L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ess abundant of H3K27me3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in LN-35 cells.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(A)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Comparison of the global H3K27me3 level between LNCaP and LN-35 cells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T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he protein levels of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H3K27me3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in LNCaP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cells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 and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LN-35 cells</w:t>
      </w:r>
      <w:r>
        <w:rPr>
          <w:rFonts w:ascii="宋体" w:hAnsi="宋体" w:eastAsia="宋体" w:cs="宋体"/>
          <w:color w:val="auto"/>
          <w:sz w:val="24"/>
          <w:szCs w:val="24"/>
        </w:rPr>
        <w:t>.</w:t>
      </w:r>
    </w:p>
    <w:p w14:paraId="4493DD81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C81C547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35B5D5CB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3E626B05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36F92E60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365C5DE1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45D1577F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A2D0B89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20FB639B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41893A3E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E6D57F0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6944063D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07DF6155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6046DC81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7F3CC581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4ABE28C5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6101D19E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4D4B92D0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0C6F508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6111C091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E181D99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417BF656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586AF3D5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7BA48DF6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2F5A44F7">
      <w:pP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</w:pPr>
    </w:p>
    <w:p w14:paraId="17B981E2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3</w:t>
      </w:r>
    </w:p>
    <w:p w14:paraId="3FA444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078220"/>
            <wp:effectExtent l="0" t="0" r="7620" b="17780"/>
            <wp:docPr id="3" name="图片 3" descr="Supplemental Fig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l Fig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9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MyriadPro-Bold" w:cs="Times New Roman"/>
          <w:b/>
          <w:bCs/>
          <w:color w:val="auto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. SMARCA4 promotes malignant phenotypes in prostate cancer.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(A)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Proliferation kinetics of LN-35 cells following SMARCA4 knockdown, assessed by CCK-8 assay over a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-day period (Days 0–3). Data are presented as fold change relative to Day 0.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Wound healing assay assessing the migration ability of LN-35 cells following SMARCA4 knockdown. Left: Representative images acquired at 0 and 48 hours. Right: Quantification of the wound closure rate, calculated as the ratio of migration distance at 48 hours to the initial wound width.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Flow cytometry analysis of apoptotic cells in control and SMARCA4-knockdown LN-35 cells.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)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Correlation analysis between SMARCA4 mRNA expression and NE gene in the GSE77930 dataset.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E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The e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nrichment of SMARCA4 and neuroendocrine marker expression across NEPC samples in the GSE264573 cohort.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F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 xml:space="preserve">,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G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 mRNA (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F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) and protein (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>G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) levels of NE markers in LN-35 cells following SMARCA4 knockdown.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H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>Quantification of tumor sphere formation in control versus SMARCA4-knockdown LN-35 cells.</w:t>
      </w:r>
      <w:r>
        <w:rPr>
          <w:rFonts w:hint="eastAsia" w:ascii="Times New Roman" w:hAnsi="Times New Roman" w:cs="Times New Roman"/>
          <w:color w:val="auto"/>
          <w:sz w:val="24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8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8"/>
        </w:rPr>
        <w:t>)</w:t>
      </w:r>
      <w:r>
        <w:rPr>
          <w:rFonts w:hint="default" w:ascii="Times New Roman" w:hAnsi="Times New Roman" w:cs="Times New Roman"/>
          <w:color w:val="auto"/>
          <w:sz w:val="24"/>
          <w:szCs w:val="28"/>
        </w:rPr>
        <w:t xml:space="preserve"> GO enrichment analysis of transcriptomic alterations in SMARCA4-knockdown LN-35 cells.</w:t>
      </w:r>
      <w:r>
        <w:rPr>
          <w:rFonts w:ascii="宋体" w:hAnsi="宋体" w:eastAsia="宋体" w:cs="宋体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8"/>
          <w:lang w:val="en-US" w:eastAsia="zh-CN"/>
        </w:rPr>
        <w:t>(*p &lt; 0.05, **p &lt; 0.01, ***p &lt; 0.001).</w:t>
      </w:r>
    </w:p>
    <w:p w14:paraId="6E7094A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yriadPro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90747"/>
    <w:rsid w:val="3D9D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2025-12-03T13:14:15Z</dcterms:created>
  <dc:creator>admin</dc:creator>
  <cp:lastModifiedBy>禁言。</cp:lastModifiedBy>
  <dcterms:modified xsi:type="dcterms:W3CDTF">2025-12-03T13:24:53Z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eyJoZGlkIjoiZTg0MmQxZDljODI1M2ZlNmJkZTM1MjBlMGFmYzA5NDAiLCJ1c2VySWQiOiIyMTIwMTczOTMifQ==</vt:lpwstr>
  </property>
  <property fmtid="{D5CDD505-2E9C-101B-9397-08002B2CF9AE}" pid="4" name="ICV">
    <vt:lpwstr>287D30E67F9E47BD927B64CC2B979570_12</vt:lpwstr>
  </property>
</Properties>
</file>