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Table 1. LLM models specifications</w:t>
      </w:r>
    </w:p>
    <w:tbl>
      <w:tblPr>
        <w:tblStyle w:val="Table1"/>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560"/>
        <w:gridCol w:w="1560"/>
        <w:gridCol w:w="1560"/>
        <w:gridCol w:w="1560"/>
        <w:gridCol w:w="1560"/>
        <w:gridCol w:w="1560"/>
        <w:tblGridChange w:id="0">
          <w:tblGrid>
            <w:gridCol w:w="1560"/>
            <w:gridCol w:w="1560"/>
            <w:gridCol w:w="1560"/>
            <w:gridCol w:w="1560"/>
            <w:gridCol w:w="1560"/>
            <w:gridCol w:w="15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5">
            <w:pPr>
              <w:spacing w:after="240" w:before="240" w:lineRule="auto"/>
              <w:jc w:val="center"/>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n_layers</w:t>
            </w:r>
          </w:p>
        </w:tc>
        <w:tc>
          <w:tcPr>
            <w:shd w:fill="auto" w:val="clear"/>
            <w:tcMar>
              <w:top w:w="100.0" w:type="dxa"/>
              <w:left w:w="100.0" w:type="dxa"/>
              <w:bottom w:w="100.0" w:type="dxa"/>
              <w:right w:w="100.0" w:type="dxa"/>
            </w:tcMar>
            <w:vAlign w:val="top"/>
          </w:tcPr>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n_Attention</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Heads</w:t>
            </w:r>
          </w:p>
        </w:tc>
        <w:tc>
          <w:tcPr>
            <w:shd w:fill="auto" w:val="clear"/>
            <w:tcMar>
              <w:top w:w="100.0" w:type="dxa"/>
              <w:left w:w="100.0" w:type="dxa"/>
              <w:bottom w:w="100.0" w:type="dxa"/>
              <w:right w:w="100.0" w:type="dxa"/>
            </w:tcMar>
            <w:vAlign w:val="top"/>
          </w:tcPr>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Model Dimension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0A">
            <w:pPr>
              <w:widowControl w:val="0"/>
              <w:spacing w:line="240" w:lineRule="auto"/>
              <w:jc w:val="center"/>
              <w:rPr/>
            </w:pPr>
            <w:r w:rsidDel="00000000" w:rsidR="00000000" w:rsidRPr="00000000">
              <w:rPr>
                <w:rtl w:val="0"/>
              </w:rPr>
              <w:t xml:space="preserve">Post_Gelu MLP Dimension</w:t>
            </w:r>
          </w:p>
          <w:p w:rsidR="00000000" w:rsidDel="00000000" w:rsidP="00000000" w:rsidRDefault="00000000" w:rsidRPr="00000000" w14:paraId="0000000B">
            <w:pPr>
              <w:widowControl w:val="0"/>
              <w:spacing w:line="240" w:lineRule="auto"/>
              <w:jc w:val="center"/>
              <w:rPr/>
            </w:pPr>
            <w:r w:rsidDel="00000000" w:rsidR="00000000" w:rsidRPr="00000000">
              <w:rPr>
                <w:rtl w:val="0"/>
              </w:rPr>
              <w:t xml:space="preserve">(MLP inner dimension</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n_params</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D">
            <w:pPr>
              <w:spacing w:after="240" w:before="240" w:lineRule="auto"/>
              <w:jc w:val="center"/>
              <w:rPr/>
            </w:pPr>
            <w:r w:rsidDel="00000000" w:rsidR="00000000" w:rsidRPr="00000000">
              <w:rPr>
                <w:rtl w:val="0"/>
              </w:rPr>
              <w:t xml:space="preserve">GPT-2-XL</w:t>
            </w:r>
          </w:p>
        </w:tc>
        <w:tc>
          <w:tcPr>
            <w:shd w:fill="auto" w:val="clear"/>
            <w:tcMar>
              <w:top w:w="100.0" w:type="dxa"/>
              <w:left w:w="100.0" w:type="dxa"/>
              <w:bottom w:w="100.0" w:type="dxa"/>
              <w:right w:w="100.0" w:type="dxa"/>
            </w:tcMar>
            <w:vAlign w:val="top"/>
          </w:tcPr>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48</w:t>
            </w:r>
          </w:p>
        </w:tc>
        <w:tc>
          <w:tcPr>
            <w:shd w:fill="auto" w:val="clear"/>
            <w:tcMar>
              <w:top w:w="100.0" w:type="dxa"/>
              <w:left w:w="100.0" w:type="dxa"/>
              <w:bottom w:w="100.0" w:type="dxa"/>
              <w:right w:w="100.0" w:type="dxa"/>
            </w:tcMar>
            <w:vAlign w:val="top"/>
          </w:tcPr>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25</w:t>
            </w:r>
          </w:p>
        </w:tc>
        <w:tc>
          <w:tcPr>
            <w:shd w:fill="auto" w:val="clear"/>
            <w:tcMar>
              <w:top w:w="100.0" w:type="dxa"/>
              <w:left w:w="100.0" w:type="dxa"/>
              <w:bottom w:w="100.0" w:type="dxa"/>
              <w:right w:w="100.0" w:type="dxa"/>
            </w:tcMar>
            <w:vAlign w:val="top"/>
          </w:tcPr>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1600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6400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highlight w:val="white"/>
                <w:rtl w:val="0"/>
              </w:rPr>
              <w:t xml:space="preserve">1.5B</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3">
            <w:pPr>
              <w:spacing w:after="240" w:before="240" w:lineRule="auto"/>
              <w:jc w:val="center"/>
              <w:rPr/>
            </w:pPr>
            <w:r w:rsidDel="00000000" w:rsidR="00000000" w:rsidRPr="00000000">
              <w:rPr>
                <w:rtl w:val="0"/>
              </w:rPr>
              <w:t xml:space="preserve">Phi-1.5</w:t>
            </w:r>
          </w:p>
        </w:tc>
        <w:tc>
          <w:tcPr>
            <w:shd w:fill="auto" w:val="clear"/>
            <w:tcMar>
              <w:top w:w="100.0" w:type="dxa"/>
              <w:left w:w="100.0" w:type="dxa"/>
              <w:bottom w:w="100.0" w:type="dxa"/>
              <w:right w:w="100.0" w:type="dxa"/>
            </w:tcMar>
            <w:vAlign w:val="top"/>
          </w:tcPr>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24</w:t>
            </w:r>
          </w:p>
        </w:tc>
        <w:tc>
          <w:tcPr>
            <w:shd w:fill="auto" w:val="clear"/>
            <w:tcMar>
              <w:top w:w="100.0" w:type="dxa"/>
              <w:left w:w="100.0" w:type="dxa"/>
              <w:bottom w:w="100.0" w:type="dxa"/>
              <w:right w:w="100.0" w:type="dxa"/>
            </w:tcMar>
            <w:vAlign w:val="top"/>
          </w:tcPr>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32</w:t>
            </w:r>
          </w:p>
        </w:tc>
        <w:tc>
          <w:tcPr>
            <w:shd w:fill="auto" w:val="clear"/>
            <w:tcMar>
              <w:top w:w="100.0" w:type="dxa"/>
              <w:left w:w="100.0" w:type="dxa"/>
              <w:bottom w:w="100.0" w:type="dxa"/>
              <w:right w:w="100.0" w:type="dxa"/>
            </w:tcMar>
            <w:vAlign w:val="top"/>
          </w:tcPr>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2048</w:t>
            </w:r>
          </w:p>
        </w:tc>
        <w:tc>
          <w:tcPr>
            <w:shd w:fill="auto" w:val="clear"/>
            <w:tcMar>
              <w:top w:w="100.0" w:type="dxa"/>
              <w:left w:w="100.0" w:type="dxa"/>
              <w:bottom w:w="100.0" w:type="dxa"/>
              <w:right w:w="100.0" w:type="dxa"/>
            </w:tcMar>
            <w:vAlign w:val="top"/>
          </w:tcPr>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8192</w:t>
            </w:r>
          </w:p>
        </w:tc>
        <w:tc>
          <w:tcPr>
            <w:shd w:fill="auto" w:val="clear"/>
            <w:tcMar>
              <w:top w:w="100.0" w:type="dxa"/>
              <w:left w:w="100.0" w:type="dxa"/>
              <w:bottom w:w="100.0" w:type="dxa"/>
              <w:right w:w="100.0" w:type="dxa"/>
            </w:tcMar>
            <w:vAlign w:val="top"/>
          </w:tcPr>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highlight w:val="white"/>
                <w:rtl w:val="0"/>
              </w:rPr>
              <w:t xml:space="preserve">1.2B</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9">
            <w:pPr>
              <w:spacing w:after="240" w:before="240" w:lineRule="auto"/>
              <w:jc w:val="center"/>
              <w:rPr/>
            </w:pPr>
            <w:r w:rsidDel="00000000" w:rsidR="00000000" w:rsidRPr="00000000">
              <w:rPr>
                <w:rtl w:val="0"/>
              </w:rPr>
              <w:t xml:space="preserve">Pythia-1.4B-deduped-v0</w:t>
            </w:r>
          </w:p>
        </w:tc>
        <w:tc>
          <w:tcPr>
            <w:shd w:fill="auto" w:val="clear"/>
            <w:tcMar>
              <w:top w:w="100.0" w:type="dxa"/>
              <w:left w:w="100.0" w:type="dxa"/>
              <w:bottom w:w="100.0" w:type="dxa"/>
              <w:right w:w="100.0" w:type="dxa"/>
            </w:tcMar>
            <w:vAlign w:val="top"/>
          </w:tcPr>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24</w:t>
            </w:r>
          </w:p>
        </w:tc>
        <w:tc>
          <w:tcPr>
            <w:shd w:fill="auto" w:val="clear"/>
            <w:tcMar>
              <w:top w:w="100.0" w:type="dxa"/>
              <w:left w:w="100.0" w:type="dxa"/>
              <w:bottom w:w="100.0" w:type="dxa"/>
              <w:right w:w="100.0" w:type="dxa"/>
            </w:tcMar>
            <w:vAlign w:val="top"/>
          </w:tcPr>
          <w:p w:rsidR="00000000" w:rsidDel="00000000" w:rsidP="00000000" w:rsidRDefault="00000000" w:rsidRPr="00000000" w14:paraId="0000001B">
            <w:pPr>
              <w:widowControl w:val="0"/>
              <w:spacing w:line="240" w:lineRule="auto"/>
              <w:jc w:val="center"/>
              <w:rPr/>
            </w:pPr>
            <w:r w:rsidDel="00000000" w:rsidR="00000000" w:rsidRPr="00000000">
              <w:rPr>
                <w:rtl w:val="0"/>
              </w:rPr>
              <w:t xml:space="preserve">16</w:t>
            </w:r>
          </w:p>
        </w:tc>
        <w:tc>
          <w:tcPr>
            <w:shd w:fill="auto" w:val="clear"/>
            <w:tcMar>
              <w:top w:w="100.0" w:type="dxa"/>
              <w:left w:w="100.0" w:type="dxa"/>
              <w:bottom w:w="100.0" w:type="dxa"/>
              <w:right w:w="100.0" w:type="dxa"/>
            </w:tcMar>
            <w:vAlign w:val="top"/>
          </w:tcPr>
          <w:p w:rsidR="00000000" w:rsidDel="00000000" w:rsidP="00000000" w:rsidRDefault="00000000" w:rsidRPr="00000000" w14:paraId="0000001C">
            <w:pPr>
              <w:widowControl w:val="0"/>
              <w:spacing w:line="240" w:lineRule="auto"/>
              <w:jc w:val="center"/>
              <w:rPr/>
            </w:pPr>
            <w:r w:rsidDel="00000000" w:rsidR="00000000" w:rsidRPr="00000000">
              <w:rPr>
                <w:rtl w:val="0"/>
              </w:rPr>
              <w:t xml:space="preserve">2048</w:t>
            </w:r>
          </w:p>
        </w:tc>
        <w:tc>
          <w:tcPr>
            <w:shd w:fill="auto" w:val="clear"/>
            <w:tcMar>
              <w:top w:w="100.0" w:type="dxa"/>
              <w:left w:w="100.0" w:type="dxa"/>
              <w:bottom w:w="100.0" w:type="dxa"/>
              <w:right w:w="100.0" w:type="dxa"/>
            </w:tcMar>
            <w:vAlign w:val="top"/>
          </w:tcPr>
          <w:p w:rsidR="00000000" w:rsidDel="00000000" w:rsidP="00000000" w:rsidRDefault="00000000" w:rsidRPr="00000000" w14:paraId="0000001D">
            <w:pPr>
              <w:widowControl w:val="0"/>
              <w:spacing w:line="240" w:lineRule="auto"/>
              <w:jc w:val="center"/>
              <w:rPr/>
            </w:pPr>
            <w:r w:rsidDel="00000000" w:rsidR="00000000" w:rsidRPr="00000000">
              <w:rPr>
                <w:rtl w:val="0"/>
              </w:rPr>
              <w:t xml:space="preserve">8192</w:t>
            </w:r>
          </w:p>
        </w:tc>
        <w:tc>
          <w:tcPr>
            <w:shd w:fill="auto" w:val="clear"/>
            <w:tcMar>
              <w:top w:w="100.0" w:type="dxa"/>
              <w:left w:w="100.0" w:type="dxa"/>
              <w:bottom w:w="100.0" w:type="dxa"/>
              <w:right w:w="100.0" w:type="dxa"/>
            </w:tcMar>
            <w:vAlign w:val="top"/>
          </w:tcPr>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highlight w:val="white"/>
                <w:rtl w:val="0"/>
              </w:rPr>
              <w:t xml:space="preserve">1.4B</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F">
            <w:pPr>
              <w:spacing w:after="240" w:before="240" w:lineRule="auto"/>
              <w:jc w:val="center"/>
              <w:rPr/>
            </w:pPr>
            <w:r w:rsidDel="00000000" w:rsidR="00000000" w:rsidRPr="00000000">
              <w:rPr>
                <w:rtl w:val="0"/>
              </w:rPr>
              <w:t xml:space="preserve">Qwen-1.8B</w:t>
            </w:r>
          </w:p>
        </w:tc>
        <w:tc>
          <w:tcPr>
            <w:shd w:fill="auto" w:val="clear"/>
            <w:tcMar>
              <w:top w:w="100.0" w:type="dxa"/>
              <w:left w:w="100.0" w:type="dxa"/>
              <w:bottom w:w="100.0" w:type="dxa"/>
              <w:right w:w="100.0" w:type="dxa"/>
            </w:tcMar>
            <w:vAlign w:val="top"/>
          </w:tcPr>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24</w:t>
            </w:r>
          </w:p>
        </w:tc>
        <w:tc>
          <w:tcPr>
            <w:shd w:fill="auto" w:val="clear"/>
            <w:tcMar>
              <w:top w:w="100.0" w:type="dxa"/>
              <w:left w:w="100.0" w:type="dxa"/>
              <w:bottom w:w="100.0" w:type="dxa"/>
              <w:right w:w="100.0" w:type="dxa"/>
            </w:tcMar>
            <w:vAlign w:val="top"/>
          </w:tcPr>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16</w:t>
            </w:r>
          </w:p>
        </w:tc>
        <w:tc>
          <w:tcPr>
            <w:shd w:fill="auto" w:val="clear"/>
            <w:tcMar>
              <w:top w:w="100.0" w:type="dxa"/>
              <w:left w:w="100.0" w:type="dxa"/>
              <w:bottom w:w="100.0" w:type="dxa"/>
              <w:right w:w="100.0" w:type="dxa"/>
            </w:tcMar>
            <w:vAlign w:val="top"/>
          </w:tcPr>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2048</w:t>
            </w:r>
          </w:p>
        </w:tc>
        <w:tc>
          <w:tcPr>
            <w:shd w:fill="auto" w:val="clear"/>
            <w:tcMar>
              <w:top w:w="100.0" w:type="dxa"/>
              <w:left w:w="100.0" w:type="dxa"/>
              <w:bottom w:w="100.0" w:type="dxa"/>
              <w:right w:w="100.0" w:type="dxa"/>
            </w:tcMar>
            <w:vAlign w:val="top"/>
          </w:tcPr>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5504</w:t>
            </w:r>
          </w:p>
        </w:tc>
        <w:tc>
          <w:tcPr>
            <w:shd w:fill="auto" w:val="clear"/>
            <w:tcMar>
              <w:top w:w="100.0" w:type="dxa"/>
              <w:left w:w="100.0" w:type="dxa"/>
              <w:bottom w:w="100.0" w:type="dxa"/>
              <w:right w:w="100.0" w:type="dxa"/>
            </w:tcMar>
            <w:vAlign w:val="top"/>
          </w:tcPr>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highlight w:val="white"/>
                <w:rtl w:val="0"/>
              </w:rPr>
              <w:t xml:space="preserve">1.2B</w:t>
            </w:r>
            <w:r w:rsidDel="00000000" w:rsidR="00000000" w:rsidRPr="00000000">
              <w:rPr>
                <w:rtl w:val="0"/>
              </w:rPr>
            </w:r>
          </w:p>
        </w:tc>
      </w:tr>
    </w:tbl>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jc w:val="both"/>
        <w:rPr/>
      </w:pPr>
      <w:r w:rsidDel="00000000" w:rsidR="00000000" w:rsidRPr="00000000">
        <w:rPr>
          <w:rtl w:val="0"/>
        </w:rPr>
      </w:r>
    </w:p>
    <w:p w:rsidR="00000000" w:rsidDel="00000000" w:rsidP="00000000" w:rsidRDefault="00000000" w:rsidRPr="00000000" w14:paraId="00000039">
      <w:pPr>
        <w:jc w:val="both"/>
        <w:rPr/>
      </w:pPr>
      <w:r w:rsidDel="00000000" w:rsidR="00000000" w:rsidRPr="00000000">
        <w:rPr>
          <w:rtl w:val="0"/>
        </w:rPr>
      </w:r>
    </w:p>
    <w:p w:rsidR="00000000" w:rsidDel="00000000" w:rsidP="00000000" w:rsidRDefault="00000000" w:rsidRPr="00000000" w14:paraId="0000003A">
      <w:pPr>
        <w:jc w:val="both"/>
        <w:rPr>
          <w:rFonts w:ascii="Courier New" w:cs="Courier New" w:eastAsia="Courier New" w:hAnsi="Courier New"/>
          <w:color w:val="1f1f1f"/>
          <w:sz w:val="21"/>
          <w:szCs w:val="21"/>
          <w:highlight w:val="white"/>
        </w:rPr>
      </w:pPr>
      <w:r w:rsidDel="00000000" w:rsidR="00000000" w:rsidRPr="00000000">
        <w:rPr>
          <w:rFonts w:ascii="Courier New" w:cs="Courier New" w:eastAsia="Courier New" w:hAnsi="Courier New"/>
          <w:color w:val="1f1f1f"/>
          <w:sz w:val="21"/>
          <w:szCs w:val="21"/>
          <w:highlight w:val="white"/>
          <w:rtl w:val="0"/>
        </w:rPr>
        <w:t xml:space="preserve">Table 2. Model comparisons on PCC region: Results for running bootstrap_rdm evaluation for corr on 4 models:</w:t>
      </w:r>
    </w:p>
    <w:p w:rsidR="00000000" w:rsidDel="00000000" w:rsidP="00000000" w:rsidRDefault="00000000" w:rsidRPr="00000000" w14:paraId="0000003B">
      <w:pPr>
        <w:jc w:val="both"/>
        <w:rPr>
          <w:rFonts w:ascii="Courier New" w:cs="Courier New" w:eastAsia="Courier New" w:hAnsi="Courier New"/>
          <w:color w:val="1f1f1f"/>
          <w:sz w:val="21"/>
          <w:szCs w:val="21"/>
          <w:highlight w:val="white"/>
        </w:rPr>
      </w:pPr>
      <w:r w:rsidDel="00000000" w:rsidR="00000000" w:rsidRPr="00000000">
        <w:rPr>
          <w:rtl w:val="0"/>
        </w:rPr>
      </w:r>
    </w:p>
    <w:p w:rsidR="00000000" w:rsidDel="00000000" w:rsidP="00000000" w:rsidRDefault="00000000" w:rsidRPr="00000000" w14:paraId="0000003C">
      <w:pPr>
        <w:jc w:val="both"/>
        <w:rPr>
          <w:rFonts w:ascii="Courier New" w:cs="Courier New" w:eastAsia="Courier New" w:hAnsi="Courier New"/>
          <w:color w:val="1f1f1f"/>
          <w:sz w:val="21"/>
          <w:szCs w:val="21"/>
          <w:highlight w:val="white"/>
        </w:rPr>
      </w:pPr>
      <w:r w:rsidDel="00000000" w:rsidR="00000000" w:rsidRPr="00000000">
        <w:rPr>
          <w:rtl w:val="0"/>
        </w:rPr>
      </w:r>
    </w:p>
    <w:p w:rsidR="00000000" w:rsidDel="00000000" w:rsidP="00000000" w:rsidRDefault="00000000" w:rsidRPr="00000000" w14:paraId="0000003D">
      <w:pPr>
        <w:jc w:val="both"/>
        <w:rPr>
          <w:rFonts w:ascii="Courier New" w:cs="Courier New" w:eastAsia="Courier New" w:hAnsi="Courier New"/>
          <w:color w:val="1f1f1f"/>
          <w:sz w:val="21"/>
          <w:szCs w:val="21"/>
          <w:highlight w:val="white"/>
        </w:rPr>
      </w:pPr>
      <w:r w:rsidDel="00000000" w:rsidR="00000000" w:rsidRPr="00000000">
        <w:rPr>
          <w:rFonts w:ascii="Courier New" w:cs="Courier New" w:eastAsia="Courier New" w:hAnsi="Courier New"/>
          <w:color w:val="1f1f1f"/>
          <w:sz w:val="21"/>
          <w:szCs w:val="21"/>
          <w:highlight w:val="white"/>
          <w:rtl w:val="0"/>
        </w:rPr>
        <w:t xml:space="preserve">Model                 |   Eval ± SEM   | p (against 0) | p (against NC) |</w:t>
      </w:r>
    </w:p>
    <w:p w:rsidR="00000000" w:rsidDel="00000000" w:rsidP="00000000" w:rsidRDefault="00000000" w:rsidRPr="00000000" w14:paraId="0000003E">
      <w:pPr>
        <w:jc w:val="both"/>
        <w:rPr>
          <w:rFonts w:ascii="Courier New" w:cs="Courier New" w:eastAsia="Courier New" w:hAnsi="Courier New"/>
          <w:color w:val="1f1f1f"/>
          <w:sz w:val="21"/>
          <w:szCs w:val="21"/>
          <w:highlight w:val="white"/>
        </w:rPr>
      </w:pPr>
      <w:r w:rsidDel="00000000" w:rsidR="00000000" w:rsidRPr="00000000">
        <w:rPr>
          <w:rFonts w:ascii="Courier New" w:cs="Courier New" w:eastAsia="Courier New" w:hAnsi="Courier New"/>
          <w:color w:val="1f1f1f"/>
          <w:sz w:val="21"/>
          <w:szCs w:val="21"/>
          <w:highlight w:val="white"/>
          <w:rtl w:val="0"/>
        </w:rPr>
        <w:t xml:space="preserve">-------------------------------------------------------------------------</w:t>
      </w:r>
    </w:p>
    <w:p w:rsidR="00000000" w:rsidDel="00000000" w:rsidP="00000000" w:rsidRDefault="00000000" w:rsidRPr="00000000" w14:paraId="0000003F">
      <w:pPr>
        <w:jc w:val="both"/>
        <w:rPr>
          <w:rFonts w:ascii="Courier New" w:cs="Courier New" w:eastAsia="Courier New" w:hAnsi="Courier New"/>
          <w:color w:val="1f1f1f"/>
          <w:sz w:val="21"/>
          <w:szCs w:val="21"/>
          <w:highlight w:val="white"/>
        </w:rPr>
      </w:pPr>
      <w:r w:rsidDel="00000000" w:rsidR="00000000" w:rsidRPr="00000000">
        <w:rPr>
          <w:rFonts w:ascii="Courier New" w:cs="Courier New" w:eastAsia="Courier New" w:hAnsi="Courier New"/>
          <w:color w:val="1f1f1f"/>
          <w:sz w:val="21"/>
          <w:szCs w:val="21"/>
          <w:highlight w:val="white"/>
          <w:rtl w:val="0"/>
        </w:rPr>
        <w:t xml:space="preserve">Hopp_Conceptual Model |  0.389 ± 0.062 |      &lt; 0.001  |         0.070  |</w:t>
      </w:r>
    </w:p>
    <w:p w:rsidR="00000000" w:rsidDel="00000000" w:rsidP="00000000" w:rsidRDefault="00000000" w:rsidRPr="00000000" w14:paraId="00000040">
      <w:pPr>
        <w:jc w:val="both"/>
        <w:rPr>
          <w:rFonts w:ascii="Courier New" w:cs="Courier New" w:eastAsia="Courier New" w:hAnsi="Courier New"/>
          <w:color w:val="1f1f1f"/>
          <w:sz w:val="21"/>
          <w:szCs w:val="21"/>
          <w:highlight w:val="white"/>
        </w:rPr>
      </w:pPr>
      <w:r w:rsidDel="00000000" w:rsidR="00000000" w:rsidRPr="00000000">
        <w:rPr>
          <w:rFonts w:ascii="Courier New" w:cs="Courier New" w:eastAsia="Courier New" w:hAnsi="Courier New"/>
          <w:color w:val="1f1f1f"/>
          <w:sz w:val="21"/>
          <w:szCs w:val="21"/>
          <w:highlight w:val="white"/>
          <w:rtl w:val="0"/>
        </w:rPr>
        <w:t xml:space="preserve">Atari_Empirical Model |  0.326 ± 0.052 |      &lt; 0.001  |         0.002  |</w:t>
      </w:r>
    </w:p>
    <w:p w:rsidR="00000000" w:rsidDel="00000000" w:rsidP="00000000" w:rsidRDefault="00000000" w:rsidRPr="00000000" w14:paraId="00000041">
      <w:pPr>
        <w:jc w:val="both"/>
        <w:rPr>
          <w:rFonts w:ascii="Courier New" w:cs="Courier New" w:eastAsia="Courier New" w:hAnsi="Courier New"/>
          <w:color w:val="1f1f1f"/>
          <w:sz w:val="21"/>
          <w:szCs w:val="21"/>
          <w:highlight w:val="white"/>
        </w:rPr>
      </w:pPr>
      <w:r w:rsidDel="00000000" w:rsidR="00000000" w:rsidRPr="00000000">
        <w:rPr>
          <w:rFonts w:ascii="Courier New" w:cs="Courier New" w:eastAsia="Courier New" w:hAnsi="Courier New"/>
          <w:color w:val="1f1f1f"/>
          <w:sz w:val="21"/>
          <w:szCs w:val="21"/>
          <w:highlight w:val="white"/>
          <w:rtl w:val="0"/>
        </w:rPr>
        <w:t xml:space="preserve">Moral/Social          |  0.402 ± 0.063 |      &lt; 0.001  |         0.109  |</w:t>
      </w:r>
    </w:p>
    <w:p w:rsidR="00000000" w:rsidDel="00000000" w:rsidP="00000000" w:rsidRDefault="00000000" w:rsidRPr="00000000" w14:paraId="00000042">
      <w:pPr>
        <w:jc w:val="both"/>
        <w:rPr>
          <w:rFonts w:ascii="Courier New" w:cs="Courier New" w:eastAsia="Courier New" w:hAnsi="Courier New"/>
          <w:color w:val="1f1f1f"/>
          <w:sz w:val="21"/>
          <w:szCs w:val="21"/>
          <w:highlight w:val="white"/>
        </w:rPr>
      </w:pPr>
      <w:r w:rsidDel="00000000" w:rsidR="00000000" w:rsidRPr="00000000">
        <w:rPr>
          <w:rFonts w:ascii="Courier New" w:cs="Courier New" w:eastAsia="Courier New" w:hAnsi="Courier New"/>
          <w:color w:val="1f1f1f"/>
          <w:sz w:val="21"/>
          <w:szCs w:val="21"/>
          <w:highlight w:val="white"/>
          <w:rtl w:val="0"/>
        </w:rPr>
        <w:t xml:space="preserve">Moral Wrongness       |  0.273 ± 0.054 |      &lt; 0.001  |       &lt; 0.001  |</w:t>
      </w:r>
    </w:p>
    <w:p w:rsidR="00000000" w:rsidDel="00000000" w:rsidP="00000000" w:rsidRDefault="00000000" w:rsidRPr="00000000" w14:paraId="00000043">
      <w:pPr>
        <w:jc w:val="both"/>
        <w:rPr>
          <w:rFonts w:ascii="Courier New" w:cs="Courier New" w:eastAsia="Courier New" w:hAnsi="Courier New"/>
          <w:color w:val="1f1f1f"/>
          <w:sz w:val="21"/>
          <w:szCs w:val="21"/>
          <w:highlight w:val="white"/>
        </w:rPr>
      </w:pPr>
      <w:r w:rsidDel="00000000" w:rsidR="00000000" w:rsidRPr="00000000">
        <w:rPr>
          <w:rtl w:val="0"/>
        </w:rPr>
      </w:r>
    </w:p>
    <w:p w:rsidR="00000000" w:rsidDel="00000000" w:rsidP="00000000" w:rsidRDefault="00000000" w:rsidRPr="00000000" w14:paraId="00000044">
      <w:pPr>
        <w:jc w:val="both"/>
        <w:rPr>
          <w:rFonts w:ascii="Courier New" w:cs="Courier New" w:eastAsia="Courier New" w:hAnsi="Courier New"/>
          <w:color w:val="1f1f1f"/>
          <w:sz w:val="21"/>
          <w:szCs w:val="21"/>
          <w:highlight w:val="white"/>
        </w:rPr>
      </w:pPr>
      <w:r w:rsidDel="00000000" w:rsidR="00000000" w:rsidRPr="00000000">
        <w:rPr>
          <w:rFonts w:ascii="Courier New" w:cs="Courier New" w:eastAsia="Courier New" w:hAnsi="Courier New"/>
          <w:color w:val="1f1f1f"/>
          <w:sz w:val="21"/>
          <w:szCs w:val="21"/>
          <w:highlight w:val="white"/>
          <w:rtl w:val="0"/>
        </w:rPr>
        <w:t xml:space="preserve">p-values are based on uncorrected t-tests</w:t>
      </w:r>
    </w:p>
    <w:p w:rsidR="00000000" w:rsidDel="00000000" w:rsidP="00000000" w:rsidRDefault="00000000" w:rsidRPr="00000000" w14:paraId="00000045">
      <w:pPr>
        <w:jc w:val="both"/>
        <w:rPr/>
      </w:pPr>
      <w:r w:rsidDel="00000000" w:rsidR="00000000" w:rsidRPr="00000000">
        <w:rPr>
          <w:rtl w:val="0"/>
        </w:rPr>
      </w:r>
    </w:p>
    <w:p w:rsidR="00000000" w:rsidDel="00000000" w:rsidP="00000000" w:rsidRDefault="00000000" w:rsidRPr="00000000" w14:paraId="00000046">
      <w:pPr>
        <w:jc w:val="both"/>
        <w:rPr/>
      </w:pPr>
      <w:r w:rsidDel="00000000" w:rsidR="00000000" w:rsidRPr="00000000">
        <w:rPr>
          <w:rtl w:val="0"/>
        </w:rPr>
      </w:r>
    </w:p>
    <w:p w:rsidR="00000000" w:rsidDel="00000000" w:rsidP="00000000" w:rsidRDefault="00000000" w:rsidRPr="00000000" w14:paraId="00000047">
      <w:pPr>
        <w:jc w:val="both"/>
        <w:rPr/>
      </w:pPr>
      <w:r w:rsidDel="00000000" w:rsidR="00000000" w:rsidRPr="00000000">
        <w:rPr>
          <w:rtl w:val="0"/>
        </w:rPr>
      </w:r>
    </w:p>
    <w:p w:rsidR="00000000" w:rsidDel="00000000" w:rsidP="00000000" w:rsidRDefault="00000000" w:rsidRPr="00000000" w14:paraId="00000048">
      <w:pPr>
        <w:jc w:val="both"/>
        <w:rPr/>
      </w:pPr>
      <w:r w:rsidDel="00000000" w:rsidR="00000000" w:rsidRPr="00000000">
        <w:rPr>
          <w:rtl w:val="0"/>
        </w:rPr>
      </w:r>
    </w:p>
    <w:p w:rsidR="00000000" w:rsidDel="00000000" w:rsidP="00000000" w:rsidRDefault="00000000" w:rsidRPr="00000000" w14:paraId="00000049">
      <w:pPr>
        <w:jc w:val="both"/>
        <w:rPr/>
      </w:pPr>
      <w:r w:rsidDel="00000000" w:rsidR="00000000" w:rsidRPr="00000000">
        <w:rPr>
          <w:rtl w:val="0"/>
        </w:rPr>
      </w:r>
    </w:p>
    <w:p w:rsidR="00000000" w:rsidDel="00000000" w:rsidP="00000000" w:rsidRDefault="00000000" w:rsidRPr="00000000" w14:paraId="0000004A">
      <w:pPr>
        <w:jc w:val="both"/>
        <w:rPr/>
      </w:pPr>
      <w:r w:rsidDel="00000000" w:rsidR="00000000" w:rsidRPr="00000000">
        <w:rPr>
          <w:rtl w:val="0"/>
        </w:rPr>
      </w:r>
    </w:p>
    <w:p w:rsidR="00000000" w:rsidDel="00000000" w:rsidP="00000000" w:rsidRDefault="00000000" w:rsidRPr="00000000" w14:paraId="0000004B">
      <w:pPr>
        <w:jc w:val="both"/>
        <w:rPr/>
      </w:pPr>
      <w:r w:rsidDel="00000000" w:rsidR="00000000" w:rsidRPr="00000000">
        <w:rPr>
          <w:rtl w:val="0"/>
        </w:rPr>
      </w:r>
    </w:p>
    <w:p w:rsidR="00000000" w:rsidDel="00000000" w:rsidP="00000000" w:rsidRDefault="00000000" w:rsidRPr="00000000" w14:paraId="0000004C">
      <w:pPr>
        <w:jc w:val="both"/>
        <w:rPr/>
      </w:pPr>
      <w:r w:rsidDel="00000000" w:rsidR="00000000" w:rsidRPr="00000000">
        <w:rPr>
          <w:rtl w:val="0"/>
        </w:rPr>
      </w:r>
    </w:p>
    <w:p w:rsidR="00000000" w:rsidDel="00000000" w:rsidP="00000000" w:rsidRDefault="00000000" w:rsidRPr="00000000" w14:paraId="0000004D">
      <w:pPr>
        <w:jc w:val="both"/>
        <w:rPr>
          <w:rFonts w:ascii="Courier New" w:cs="Courier New" w:eastAsia="Courier New" w:hAnsi="Courier New"/>
          <w:color w:val="1f1f1f"/>
          <w:sz w:val="21"/>
          <w:szCs w:val="21"/>
          <w:highlight w:val="white"/>
        </w:rPr>
      </w:pPr>
      <w:r w:rsidDel="00000000" w:rsidR="00000000" w:rsidRPr="00000000">
        <w:rPr>
          <w:rFonts w:ascii="Courier New" w:cs="Courier New" w:eastAsia="Courier New" w:hAnsi="Courier New"/>
          <w:color w:val="1f1f1f"/>
          <w:sz w:val="21"/>
          <w:szCs w:val="21"/>
          <w:highlight w:val="white"/>
          <w:rtl w:val="0"/>
        </w:rPr>
        <w:t xml:space="preserve">Table 3. Model comparisons on Layer 11 of LLMs: Results for running bootstrap_rdm evaluation for corr on 4 models:</w:t>
      </w:r>
    </w:p>
    <w:p w:rsidR="00000000" w:rsidDel="00000000" w:rsidP="00000000" w:rsidRDefault="00000000" w:rsidRPr="00000000" w14:paraId="0000004E">
      <w:pPr>
        <w:jc w:val="both"/>
        <w:rPr>
          <w:rFonts w:ascii="Courier New" w:cs="Courier New" w:eastAsia="Courier New" w:hAnsi="Courier New"/>
          <w:color w:val="1f1f1f"/>
          <w:sz w:val="21"/>
          <w:szCs w:val="21"/>
          <w:highlight w:val="white"/>
        </w:rPr>
      </w:pPr>
      <w:r w:rsidDel="00000000" w:rsidR="00000000" w:rsidRPr="00000000">
        <w:rPr>
          <w:rtl w:val="0"/>
        </w:rPr>
      </w:r>
    </w:p>
    <w:p w:rsidR="00000000" w:rsidDel="00000000" w:rsidP="00000000" w:rsidRDefault="00000000" w:rsidRPr="00000000" w14:paraId="0000004F">
      <w:pPr>
        <w:jc w:val="both"/>
        <w:rPr>
          <w:rFonts w:ascii="Courier New" w:cs="Courier New" w:eastAsia="Courier New" w:hAnsi="Courier New"/>
          <w:color w:val="1f1f1f"/>
          <w:sz w:val="21"/>
          <w:szCs w:val="21"/>
          <w:highlight w:val="white"/>
        </w:rPr>
      </w:pPr>
      <w:r w:rsidDel="00000000" w:rsidR="00000000" w:rsidRPr="00000000">
        <w:rPr>
          <w:rFonts w:ascii="Courier New" w:cs="Courier New" w:eastAsia="Courier New" w:hAnsi="Courier New"/>
          <w:color w:val="1f1f1f"/>
          <w:sz w:val="21"/>
          <w:szCs w:val="21"/>
          <w:highlight w:val="white"/>
          <w:rtl w:val="0"/>
        </w:rPr>
        <w:t xml:space="preserve">Model                 |   Eval ± SEM   | p (against 0) | p (against NC) |</w:t>
      </w:r>
    </w:p>
    <w:p w:rsidR="00000000" w:rsidDel="00000000" w:rsidP="00000000" w:rsidRDefault="00000000" w:rsidRPr="00000000" w14:paraId="00000050">
      <w:pPr>
        <w:jc w:val="both"/>
        <w:rPr>
          <w:rFonts w:ascii="Courier New" w:cs="Courier New" w:eastAsia="Courier New" w:hAnsi="Courier New"/>
          <w:color w:val="1f1f1f"/>
          <w:sz w:val="21"/>
          <w:szCs w:val="21"/>
          <w:highlight w:val="white"/>
        </w:rPr>
      </w:pPr>
      <w:r w:rsidDel="00000000" w:rsidR="00000000" w:rsidRPr="00000000">
        <w:rPr>
          <w:rFonts w:ascii="Courier New" w:cs="Courier New" w:eastAsia="Courier New" w:hAnsi="Courier New"/>
          <w:color w:val="1f1f1f"/>
          <w:sz w:val="21"/>
          <w:szCs w:val="21"/>
          <w:highlight w:val="white"/>
          <w:rtl w:val="0"/>
        </w:rPr>
        <w:t xml:space="preserve">-------------------------------------------------------------------------</w:t>
      </w:r>
    </w:p>
    <w:p w:rsidR="00000000" w:rsidDel="00000000" w:rsidP="00000000" w:rsidRDefault="00000000" w:rsidRPr="00000000" w14:paraId="00000051">
      <w:pPr>
        <w:jc w:val="both"/>
        <w:rPr>
          <w:rFonts w:ascii="Courier New" w:cs="Courier New" w:eastAsia="Courier New" w:hAnsi="Courier New"/>
          <w:color w:val="1f1f1f"/>
          <w:sz w:val="21"/>
          <w:szCs w:val="21"/>
          <w:highlight w:val="white"/>
        </w:rPr>
      </w:pPr>
      <w:r w:rsidDel="00000000" w:rsidR="00000000" w:rsidRPr="00000000">
        <w:rPr>
          <w:rFonts w:ascii="Courier New" w:cs="Courier New" w:eastAsia="Courier New" w:hAnsi="Courier New"/>
          <w:color w:val="1f1f1f"/>
          <w:sz w:val="21"/>
          <w:szCs w:val="21"/>
          <w:highlight w:val="white"/>
          <w:rtl w:val="0"/>
        </w:rPr>
        <w:t xml:space="preserve">Hopp_Conceptual Model |  0.345 ± 0.016 |      &lt; 0.001  |       &lt; 0.001  |</w:t>
      </w:r>
    </w:p>
    <w:p w:rsidR="00000000" w:rsidDel="00000000" w:rsidP="00000000" w:rsidRDefault="00000000" w:rsidRPr="00000000" w14:paraId="00000052">
      <w:pPr>
        <w:jc w:val="both"/>
        <w:rPr>
          <w:rFonts w:ascii="Courier New" w:cs="Courier New" w:eastAsia="Courier New" w:hAnsi="Courier New"/>
          <w:color w:val="1f1f1f"/>
          <w:sz w:val="21"/>
          <w:szCs w:val="21"/>
          <w:highlight w:val="white"/>
        </w:rPr>
      </w:pPr>
      <w:r w:rsidDel="00000000" w:rsidR="00000000" w:rsidRPr="00000000">
        <w:rPr>
          <w:rFonts w:ascii="Courier New" w:cs="Courier New" w:eastAsia="Courier New" w:hAnsi="Courier New"/>
          <w:color w:val="1f1f1f"/>
          <w:sz w:val="21"/>
          <w:szCs w:val="21"/>
          <w:highlight w:val="white"/>
          <w:rtl w:val="0"/>
        </w:rPr>
        <w:t xml:space="preserve">Atari_Empirical Model |  0.210 ± 0.016 |      &lt; 0.001  |       &lt; 0.001  |</w:t>
      </w:r>
    </w:p>
    <w:p w:rsidR="00000000" w:rsidDel="00000000" w:rsidP="00000000" w:rsidRDefault="00000000" w:rsidRPr="00000000" w14:paraId="00000053">
      <w:pPr>
        <w:jc w:val="both"/>
        <w:rPr>
          <w:rFonts w:ascii="Courier New" w:cs="Courier New" w:eastAsia="Courier New" w:hAnsi="Courier New"/>
          <w:color w:val="1f1f1f"/>
          <w:sz w:val="21"/>
          <w:szCs w:val="21"/>
          <w:highlight w:val="white"/>
        </w:rPr>
      </w:pPr>
      <w:r w:rsidDel="00000000" w:rsidR="00000000" w:rsidRPr="00000000">
        <w:rPr>
          <w:rFonts w:ascii="Courier New" w:cs="Courier New" w:eastAsia="Courier New" w:hAnsi="Courier New"/>
          <w:color w:val="1f1f1f"/>
          <w:sz w:val="21"/>
          <w:szCs w:val="21"/>
          <w:highlight w:val="white"/>
          <w:rtl w:val="0"/>
        </w:rPr>
        <w:t xml:space="preserve">Moral/Social          |  0.418 ± 0.016 |      &lt; 0.001  |       &lt; 0.001  |</w:t>
      </w:r>
    </w:p>
    <w:p w:rsidR="00000000" w:rsidDel="00000000" w:rsidP="00000000" w:rsidRDefault="00000000" w:rsidRPr="00000000" w14:paraId="00000054">
      <w:pPr>
        <w:jc w:val="both"/>
        <w:rPr>
          <w:rFonts w:ascii="Courier New" w:cs="Courier New" w:eastAsia="Courier New" w:hAnsi="Courier New"/>
          <w:color w:val="1f1f1f"/>
          <w:sz w:val="21"/>
          <w:szCs w:val="21"/>
          <w:highlight w:val="white"/>
        </w:rPr>
      </w:pPr>
      <w:r w:rsidDel="00000000" w:rsidR="00000000" w:rsidRPr="00000000">
        <w:rPr>
          <w:rFonts w:ascii="Courier New" w:cs="Courier New" w:eastAsia="Courier New" w:hAnsi="Courier New"/>
          <w:color w:val="1f1f1f"/>
          <w:sz w:val="21"/>
          <w:szCs w:val="21"/>
          <w:highlight w:val="white"/>
          <w:rtl w:val="0"/>
        </w:rPr>
        <w:t xml:space="preserve">Moral Wrongness       |  0.284 ± 0.025 |      &lt; 0.001  |       &lt; 0.001  |</w:t>
      </w:r>
    </w:p>
    <w:p w:rsidR="00000000" w:rsidDel="00000000" w:rsidP="00000000" w:rsidRDefault="00000000" w:rsidRPr="00000000" w14:paraId="00000055">
      <w:pPr>
        <w:jc w:val="both"/>
        <w:rPr>
          <w:rFonts w:ascii="Courier New" w:cs="Courier New" w:eastAsia="Courier New" w:hAnsi="Courier New"/>
          <w:color w:val="1f1f1f"/>
          <w:sz w:val="21"/>
          <w:szCs w:val="21"/>
          <w:highlight w:val="white"/>
        </w:rPr>
      </w:pPr>
      <w:r w:rsidDel="00000000" w:rsidR="00000000" w:rsidRPr="00000000">
        <w:rPr>
          <w:rtl w:val="0"/>
        </w:rPr>
      </w:r>
    </w:p>
    <w:p w:rsidR="00000000" w:rsidDel="00000000" w:rsidP="00000000" w:rsidRDefault="00000000" w:rsidRPr="00000000" w14:paraId="00000056">
      <w:pPr>
        <w:jc w:val="both"/>
        <w:rPr/>
      </w:pPr>
      <w:r w:rsidDel="00000000" w:rsidR="00000000" w:rsidRPr="00000000">
        <w:rPr>
          <w:rFonts w:ascii="Courier New" w:cs="Courier New" w:eastAsia="Courier New" w:hAnsi="Courier New"/>
          <w:color w:val="1f1f1f"/>
          <w:sz w:val="21"/>
          <w:szCs w:val="21"/>
          <w:highlight w:val="white"/>
          <w:rtl w:val="0"/>
        </w:rPr>
        <w:t xml:space="preserve">p-values are based on uncorrected t-tests</w:t>
      </w:r>
      <w:r w:rsidDel="00000000" w:rsidR="00000000" w:rsidRPr="00000000">
        <w:rPr>
          <w:rtl w:val="0"/>
        </w:rPr>
      </w:r>
    </w:p>
    <w:p w:rsidR="00000000" w:rsidDel="00000000" w:rsidP="00000000" w:rsidRDefault="00000000" w:rsidRPr="00000000" w14:paraId="00000057">
      <w:pPr>
        <w:jc w:val="both"/>
        <w:rPr/>
      </w:pPr>
      <w:r w:rsidDel="00000000" w:rsidR="00000000" w:rsidRPr="00000000">
        <w:rPr>
          <w:rtl w:val="0"/>
        </w:rPr>
        <w:t xml:space="preserve"> </w:t>
      </w:r>
    </w:p>
    <w:p w:rsidR="00000000" w:rsidDel="00000000" w:rsidP="00000000" w:rsidRDefault="00000000" w:rsidRPr="00000000" w14:paraId="00000058">
      <w:pPr>
        <w:jc w:val="both"/>
        <w:rPr/>
      </w:pPr>
      <w:r w:rsidDel="00000000" w:rsidR="00000000" w:rsidRPr="00000000">
        <w:rPr>
          <w:rtl w:val="0"/>
        </w:rPr>
      </w:r>
    </w:p>
    <w:p w:rsidR="00000000" w:rsidDel="00000000" w:rsidP="00000000" w:rsidRDefault="00000000" w:rsidRPr="00000000" w14:paraId="00000059">
      <w:pPr>
        <w:jc w:val="both"/>
        <w:rPr/>
      </w:pPr>
      <w:r w:rsidDel="00000000" w:rsidR="00000000" w:rsidRPr="00000000">
        <w:rPr>
          <w:rtl w:val="0"/>
        </w:rPr>
      </w:r>
    </w:p>
    <w:p w:rsidR="00000000" w:rsidDel="00000000" w:rsidP="00000000" w:rsidRDefault="00000000" w:rsidRPr="00000000" w14:paraId="0000005A">
      <w:pPr>
        <w:jc w:val="both"/>
        <w:rPr/>
      </w:pPr>
      <w:r w:rsidDel="00000000" w:rsidR="00000000" w:rsidRPr="00000000">
        <w:rPr>
          <w:rtl w:val="0"/>
        </w:rPr>
      </w:r>
    </w:p>
    <w:p w:rsidR="00000000" w:rsidDel="00000000" w:rsidP="00000000" w:rsidRDefault="00000000" w:rsidRPr="00000000" w14:paraId="0000005B">
      <w:pPr>
        <w:jc w:val="both"/>
        <w:rPr/>
      </w:pPr>
      <w:r w:rsidDel="00000000" w:rsidR="00000000" w:rsidRPr="00000000">
        <w:rPr>
          <w:rtl w:val="0"/>
        </w:rPr>
      </w:r>
    </w:p>
    <w:p w:rsidR="00000000" w:rsidDel="00000000" w:rsidP="00000000" w:rsidRDefault="00000000" w:rsidRPr="00000000" w14:paraId="0000005C">
      <w:pPr>
        <w:jc w:val="both"/>
        <w:rPr/>
      </w:pPr>
      <w:r w:rsidDel="00000000" w:rsidR="00000000" w:rsidRPr="00000000">
        <w:rPr>
          <w:rtl w:val="0"/>
        </w:rPr>
      </w:r>
    </w:p>
    <w:p w:rsidR="00000000" w:rsidDel="00000000" w:rsidP="00000000" w:rsidRDefault="00000000" w:rsidRPr="00000000" w14:paraId="0000005D">
      <w:pPr>
        <w:jc w:val="both"/>
        <w:rPr/>
      </w:pPr>
      <w:r w:rsidDel="00000000" w:rsidR="00000000" w:rsidRPr="00000000">
        <w:rPr>
          <w:rtl w:val="0"/>
        </w:rPr>
      </w:r>
    </w:p>
    <w:p w:rsidR="00000000" w:rsidDel="00000000" w:rsidP="00000000" w:rsidRDefault="00000000" w:rsidRPr="00000000" w14:paraId="0000005E">
      <w:pPr>
        <w:jc w:val="both"/>
        <w:rPr/>
      </w:pPr>
      <w:r w:rsidDel="00000000" w:rsidR="00000000" w:rsidRPr="00000000">
        <w:rPr>
          <w:rtl w:val="0"/>
        </w:rPr>
      </w:r>
    </w:p>
    <w:p w:rsidR="00000000" w:rsidDel="00000000" w:rsidP="00000000" w:rsidRDefault="00000000" w:rsidRPr="00000000" w14:paraId="0000005F">
      <w:pPr>
        <w:jc w:val="both"/>
        <w:rPr/>
      </w:pPr>
      <w:r w:rsidDel="00000000" w:rsidR="00000000" w:rsidRPr="00000000">
        <w:rPr>
          <w:rtl w:val="0"/>
        </w:rPr>
      </w:r>
    </w:p>
    <w:p w:rsidR="00000000" w:rsidDel="00000000" w:rsidP="00000000" w:rsidRDefault="00000000" w:rsidRPr="00000000" w14:paraId="00000060">
      <w:pPr>
        <w:jc w:val="both"/>
        <w:rPr/>
      </w:pPr>
      <w:r w:rsidDel="00000000" w:rsidR="00000000" w:rsidRPr="00000000">
        <w:rPr>
          <w:rtl w:val="0"/>
        </w:rPr>
      </w:r>
    </w:p>
    <w:p w:rsidR="00000000" w:rsidDel="00000000" w:rsidP="00000000" w:rsidRDefault="00000000" w:rsidRPr="00000000" w14:paraId="00000061">
      <w:pPr>
        <w:jc w:val="both"/>
        <w:rPr/>
      </w:pPr>
      <w:r w:rsidDel="00000000" w:rsidR="00000000" w:rsidRPr="00000000">
        <w:rPr>
          <w:rtl w:val="0"/>
        </w:rPr>
      </w:r>
    </w:p>
    <w:p w:rsidR="00000000" w:rsidDel="00000000" w:rsidP="00000000" w:rsidRDefault="00000000" w:rsidRPr="00000000" w14:paraId="00000062">
      <w:pPr>
        <w:spacing w:after="240" w:lineRule="auto"/>
        <w:jc w:val="both"/>
        <w:rPr/>
      </w:pPr>
      <w:r w:rsidDel="00000000" w:rsidR="00000000" w:rsidRPr="00000000">
        <w:rPr>
          <w:rtl w:val="0"/>
        </w:rPr>
      </w:r>
    </w:p>
    <w:p w:rsidR="00000000" w:rsidDel="00000000" w:rsidP="00000000" w:rsidRDefault="00000000" w:rsidRPr="00000000" w14:paraId="00000063">
      <w:pPr>
        <w:spacing w:after="240" w:lineRule="auto"/>
        <w:jc w:val="both"/>
        <w:rPr/>
      </w:pP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64">
      <w:pPr>
        <w:spacing w:after="240" w:lineRule="auto"/>
        <w:jc w:val="both"/>
        <w:rPr>
          <w:rFonts w:ascii="Georgia" w:cs="Georgia" w:eastAsia="Georgia" w:hAnsi="Georgia"/>
          <w:b w:val="1"/>
          <w:bCs w:val="1"/>
          <w:color w:val="212529"/>
          <w:sz w:val="24"/>
          <w:szCs w:val="24"/>
        </w:rPr>
      </w:pPr>
      <w:r w:rsidDel="00000000" w:rsidR="00000000" w:rsidRPr="00000000">
        <w:rPr>
          <w:rFonts w:ascii="Georgia" w:cs="Georgia" w:eastAsia="Georgia" w:hAnsi="Georgia"/>
          <w:b w:val="1"/>
          <w:bCs w:val="1"/>
          <w:color w:val="212529"/>
          <w:sz w:val="24"/>
          <w:szCs w:val="24"/>
          <w:rtl w:val="0"/>
        </w:rPr>
        <w:t xml:space="preserve">- Fmri data preprocessing steps(using fmriprep):</w:t>
      </w:r>
    </w:p>
    <w:p w:rsidR="00000000" w:rsidDel="00000000" w:rsidP="00000000" w:rsidRDefault="00000000" w:rsidRPr="00000000" w14:paraId="00000065">
      <w:pPr>
        <w:spacing w:after="240" w:lineRule="auto"/>
        <w:jc w:val="both"/>
        <w:rPr>
          <w:rFonts w:ascii="Georgia" w:cs="Georgia" w:eastAsia="Georgia" w:hAnsi="Georgia"/>
          <w:color w:val="212529"/>
          <w:sz w:val="24"/>
          <w:szCs w:val="24"/>
        </w:rPr>
      </w:pPr>
      <w:r w:rsidDel="00000000" w:rsidR="00000000" w:rsidRPr="00000000">
        <w:rPr>
          <w:rFonts w:ascii="Georgia" w:cs="Georgia" w:eastAsia="Georgia" w:hAnsi="Georgia"/>
          <w:color w:val="212529"/>
          <w:sz w:val="24"/>
          <w:szCs w:val="24"/>
          <w:rtl w:val="0"/>
        </w:rPr>
        <w:t xml:space="preserve">Results included in this manuscript come from preprocessing performed using </w:t>
      </w:r>
      <w:r w:rsidDel="00000000" w:rsidR="00000000" w:rsidRPr="00000000">
        <w:rPr>
          <w:rFonts w:ascii="Georgia" w:cs="Georgia" w:eastAsia="Georgia" w:hAnsi="Georgia"/>
          <w:i w:val="1"/>
          <w:iCs w:val="1"/>
          <w:color w:val="212529"/>
          <w:sz w:val="24"/>
          <w:szCs w:val="24"/>
          <w:rtl w:val="0"/>
        </w:rPr>
        <w:t xml:space="preserve">fMRIPrep</w:t>
      </w:r>
      <w:r w:rsidDel="00000000" w:rsidR="00000000" w:rsidRPr="00000000">
        <w:rPr>
          <w:rFonts w:ascii="Georgia" w:cs="Georgia" w:eastAsia="Georgia" w:hAnsi="Georgia"/>
          <w:color w:val="212529"/>
          <w:sz w:val="24"/>
          <w:szCs w:val="24"/>
          <w:rtl w:val="0"/>
        </w:rPr>
        <w:t xml:space="preserve"> 25.1.1 (Esteban et al. (2019); Esteban et al. (2018); RRID:SCR_016216), which is based on </w:t>
      </w:r>
      <w:r w:rsidDel="00000000" w:rsidR="00000000" w:rsidRPr="00000000">
        <w:rPr>
          <w:rFonts w:ascii="Georgia" w:cs="Georgia" w:eastAsia="Georgia" w:hAnsi="Georgia"/>
          <w:i w:val="1"/>
          <w:iCs w:val="1"/>
          <w:color w:val="212529"/>
          <w:sz w:val="24"/>
          <w:szCs w:val="24"/>
          <w:rtl w:val="0"/>
        </w:rPr>
        <w:t xml:space="preserve">Nipype</w:t>
      </w:r>
      <w:r w:rsidDel="00000000" w:rsidR="00000000" w:rsidRPr="00000000">
        <w:rPr>
          <w:rFonts w:ascii="Georgia" w:cs="Georgia" w:eastAsia="Georgia" w:hAnsi="Georgia"/>
          <w:color w:val="212529"/>
          <w:sz w:val="24"/>
          <w:szCs w:val="24"/>
          <w:rtl w:val="0"/>
        </w:rPr>
        <w:t xml:space="preserve"> 1.10.0 (K. Gorgolewski et al. (2011); K. J. Gorgolewski et al. (2018); RRID:SCR_002502).</w:t>
      </w:r>
    </w:p>
    <w:p w:rsidR="00000000" w:rsidDel="00000000" w:rsidP="00000000" w:rsidRDefault="00000000" w:rsidRPr="00000000" w14:paraId="00000066">
      <w:pPr>
        <w:jc w:val="both"/>
        <w:rPr>
          <w:rFonts w:ascii="Georgia" w:cs="Georgia" w:eastAsia="Georgia" w:hAnsi="Georgia"/>
          <w:b w:val="1"/>
          <w:bCs w:val="1"/>
          <w:color w:val="212529"/>
          <w:sz w:val="24"/>
          <w:szCs w:val="24"/>
        </w:rPr>
      </w:pPr>
      <w:r w:rsidDel="00000000" w:rsidR="00000000" w:rsidRPr="00000000">
        <w:rPr>
          <w:rFonts w:ascii="Georgia" w:cs="Georgia" w:eastAsia="Georgia" w:hAnsi="Georgia"/>
          <w:b w:val="1"/>
          <w:bCs w:val="1"/>
          <w:color w:val="212529"/>
          <w:sz w:val="24"/>
          <w:szCs w:val="24"/>
          <w:rtl w:val="0"/>
        </w:rPr>
        <w:t xml:space="preserve">Anatomical data preprocessing</w:t>
      </w:r>
    </w:p>
    <w:p w:rsidR="00000000" w:rsidDel="00000000" w:rsidP="00000000" w:rsidRDefault="00000000" w:rsidRPr="00000000" w14:paraId="00000067">
      <w:pPr>
        <w:spacing w:after="240" w:lineRule="auto"/>
        <w:jc w:val="both"/>
        <w:rPr>
          <w:rFonts w:ascii="Georgia" w:cs="Georgia" w:eastAsia="Georgia" w:hAnsi="Georgia"/>
          <w:color w:val="212529"/>
          <w:sz w:val="24"/>
          <w:szCs w:val="24"/>
        </w:rPr>
      </w:pPr>
      <w:r w:rsidDel="00000000" w:rsidR="00000000" w:rsidRPr="00000000">
        <w:rPr>
          <w:rFonts w:ascii="Georgia" w:cs="Georgia" w:eastAsia="Georgia" w:hAnsi="Georgia"/>
          <w:color w:val="212529"/>
          <w:sz w:val="24"/>
          <w:szCs w:val="24"/>
          <w:rtl w:val="0"/>
        </w:rPr>
        <w:t xml:space="preserve">A total of 25 T1-weighted (T1w) images were found within the input BIDS dataset. The T1w image was corrected for intensity non-uniformity (INU) with </w:t>
      </w:r>
      <w:r w:rsidDel="00000000" w:rsidR="00000000" w:rsidRPr="00000000">
        <w:rPr>
          <w:rFonts w:ascii="Roboto Mono" w:cs="Roboto Mono" w:eastAsia="Roboto Mono" w:hAnsi="Roboto Mono"/>
          <w:color w:val="212529"/>
          <w:sz w:val="21"/>
          <w:szCs w:val="21"/>
          <w:rtl w:val="0"/>
        </w:rPr>
        <w:t xml:space="preserve">N4BiasFieldCorrection</w:t>
      </w:r>
      <w:r w:rsidDel="00000000" w:rsidR="00000000" w:rsidRPr="00000000">
        <w:rPr>
          <w:rFonts w:ascii="Georgia" w:cs="Georgia" w:eastAsia="Georgia" w:hAnsi="Georgia"/>
          <w:color w:val="212529"/>
          <w:sz w:val="24"/>
          <w:szCs w:val="24"/>
          <w:rtl w:val="0"/>
        </w:rPr>
        <w:t xml:space="preserve"> (Tustison et al. 2010), distributed with ANTs 2.6.0 (Avants et al. 2008, RRID:SCR_004757), and used as T1w-reference throughout the workflow. The T1w-reference was then skull-stripped with a </w:t>
      </w:r>
      <w:r w:rsidDel="00000000" w:rsidR="00000000" w:rsidRPr="00000000">
        <w:rPr>
          <w:rFonts w:ascii="Georgia" w:cs="Georgia" w:eastAsia="Georgia" w:hAnsi="Georgia"/>
          <w:i w:val="1"/>
          <w:iCs w:val="1"/>
          <w:color w:val="212529"/>
          <w:sz w:val="24"/>
          <w:szCs w:val="24"/>
          <w:rtl w:val="0"/>
        </w:rPr>
        <w:t xml:space="preserve">Nipype</w:t>
      </w:r>
      <w:r w:rsidDel="00000000" w:rsidR="00000000" w:rsidRPr="00000000">
        <w:rPr>
          <w:rFonts w:ascii="Georgia" w:cs="Georgia" w:eastAsia="Georgia" w:hAnsi="Georgia"/>
          <w:color w:val="212529"/>
          <w:sz w:val="24"/>
          <w:szCs w:val="24"/>
          <w:rtl w:val="0"/>
        </w:rPr>
        <w:t xml:space="preserve"> implementation of the </w:t>
      </w:r>
      <w:r w:rsidDel="00000000" w:rsidR="00000000" w:rsidRPr="00000000">
        <w:rPr>
          <w:rFonts w:ascii="Roboto Mono" w:cs="Roboto Mono" w:eastAsia="Roboto Mono" w:hAnsi="Roboto Mono"/>
          <w:color w:val="212529"/>
          <w:sz w:val="21"/>
          <w:szCs w:val="21"/>
          <w:rtl w:val="0"/>
        </w:rPr>
        <w:t xml:space="preserve">antsBrainExtraction.sh</w:t>
      </w:r>
      <w:r w:rsidDel="00000000" w:rsidR="00000000" w:rsidRPr="00000000">
        <w:rPr>
          <w:rFonts w:ascii="Georgia" w:cs="Georgia" w:eastAsia="Georgia" w:hAnsi="Georgia"/>
          <w:color w:val="212529"/>
          <w:sz w:val="24"/>
          <w:szCs w:val="24"/>
          <w:rtl w:val="0"/>
        </w:rPr>
        <w:t xml:space="preserve"> workflow (from ANTs), using OASIS30ANTs as target template. Brain tissue segmentation of cerebrospinal fluid (CSF), white-matter (WM) and gray-matter (GM) was performed on the brain-extracted T1w using </w:t>
      </w:r>
      <w:r w:rsidDel="00000000" w:rsidR="00000000" w:rsidRPr="00000000">
        <w:rPr>
          <w:rFonts w:ascii="Roboto Mono" w:cs="Roboto Mono" w:eastAsia="Roboto Mono" w:hAnsi="Roboto Mono"/>
          <w:color w:val="212529"/>
          <w:sz w:val="21"/>
          <w:szCs w:val="21"/>
          <w:rtl w:val="0"/>
        </w:rPr>
        <w:t xml:space="preserve">fast</w:t>
      </w:r>
      <w:r w:rsidDel="00000000" w:rsidR="00000000" w:rsidRPr="00000000">
        <w:rPr>
          <w:rFonts w:ascii="Georgia" w:cs="Georgia" w:eastAsia="Georgia" w:hAnsi="Georgia"/>
          <w:color w:val="212529"/>
          <w:sz w:val="24"/>
          <w:szCs w:val="24"/>
          <w:rtl w:val="0"/>
        </w:rPr>
        <w:t xml:space="preserve"> (FSL (version unknown), RRID:SCR_002823, Zhang, Brady, and Smith 2001). Brain surfaces were reconstructed using </w:t>
      </w:r>
      <w:r w:rsidDel="00000000" w:rsidR="00000000" w:rsidRPr="00000000">
        <w:rPr>
          <w:rFonts w:ascii="Roboto Mono" w:cs="Roboto Mono" w:eastAsia="Roboto Mono" w:hAnsi="Roboto Mono"/>
          <w:color w:val="212529"/>
          <w:sz w:val="21"/>
          <w:szCs w:val="21"/>
          <w:rtl w:val="0"/>
        </w:rPr>
        <w:t xml:space="preserve">recon-all</w:t>
      </w:r>
      <w:r w:rsidDel="00000000" w:rsidR="00000000" w:rsidRPr="00000000">
        <w:rPr>
          <w:rFonts w:ascii="Georgia" w:cs="Georgia" w:eastAsia="Georgia" w:hAnsi="Georgia"/>
          <w:color w:val="212529"/>
          <w:sz w:val="24"/>
          <w:szCs w:val="24"/>
          <w:rtl w:val="0"/>
        </w:rPr>
        <w:t xml:space="preserve"> (FreeSurfer 7.3.2, RRID:SCR_001847, Dale, Fischl, and Sereno 1999), and the brain mask estimated previously was refined with a custom variation of the method to reconcile ANTs-derived and FreeSurfer-derived segmentations of the cortical gray-matter of Mindboggle (RRID:SCR_002438, Klein et al. 2017). Volume-based spatial normalization to one standard space (MNI152NLin2009cAsym) was performed through nonlinear registration with </w:t>
      </w:r>
      <w:r w:rsidDel="00000000" w:rsidR="00000000" w:rsidRPr="00000000">
        <w:rPr>
          <w:rFonts w:ascii="Roboto Mono" w:cs="Roboto Mono" w:eastAsia="Roboto Mono" w:hAnsi="Roboto Mono"/>
          <w:color w:val="212529"/>
          <w:sz w:val="21"/>
          <w:szCs w:val="21"/>
          <w:rtl w:val="0"/>
        </w:rPr>
        <w:t xml:space="preserve">antsRegistration</w:t>
      </w:r>
      <w:r w:rsidDel="00000000" w:rsidR="00000000" w:rsidRPr="00000000">
        <w:rPr>
          <w:rFonts w:ascii="Georgia" w:cs="Georgia" w:eastAsia="Georgia" w:hAnsi="Georgia"/>
          <w:color w:val="212529"/>
          <w:sz w:val="24"/>
          <w:szCs w:val="24"/>
          <w:rtl w:val="0"/>
        </w:rPr>
        <w:t xml:space="preserve"> (ANTs 2.6.0), using brain-extracted versions of both T1w reference and the T1w template. The following template was were selected for spatial normalization and accessed with </w:t>
      </w:r>
      <w:r w:rsidDel="00000000" w:rsidR="00000000" w:rsidRPr="00000000">
        <w:rPr>
          <w:rFonts w:ascii="Georgia" w:cs="Georgia" w:eastAsia="Georgia" w:hAnsi="Georgia"/>
          <w:i w:val="1"/>
          <w:iCs w:val="1"/>
          <w:color w:val="212529"/>
          <w:sz w:val="24"/>
          <w:szCs w:val="24"/>
          <w:rtl w:val="0"/>
        </w:rPr>
        <w:t xml:space="preserve">TemplateFlow</w:t>
      </w:r>
      <w:r w:rsidDel="00000000" w:rsidR="00000000" w:rsidRPr="00000000">
        <w:rPr>
          <w:rFonts w:ascii="Georgia" w:cs="Georgia" w:eastAsia="Georgia" w:hAnsi="Georgia"/>
          <w:color w:val="212529"/>
          <w:sz w:val="24"/>
          <w:szCs w:val="24"/>
          <w:rtl w:val="0"/>
        </w:rPr>
        <w:t xml:space="preserve"> (24.2.2, Ciric et al. 2022): </w:t>
      </w:r>
      <w:r w:rsidDel="00000000" w:rsidR="00000000" w:rsidRPr="00000000">
        <w:rPr>
          <w:rFonts w:ascii="Georgia" w:cs="Georgia" w:eastAsia="Georgia" w:hAnsi="Georgia"/>
          <w:i w:val="1"/>
          <w:iCs w:val="1"/>
          <w:color w:val="212529"/>
          <w:sz w:val="24"/>
          <w:szCs w:val="24"/>
          <w:rtl w:val="0"/>
        </w:rPr>
        <w:t xml:space="preserve">ICBM 152 Nonlinear Asymmetrical template version 2009c</w:t>
      </w:r>
      <w:r w:rsidDel="00000000" w:rsidR="00000000" w:rsidRPr="00000000">
        <w:rPr>
          <w:rFonts w:ascii="Georgia" w:cs="Georgia" w:eastAsia="Georgia" w:hAnsi="Georgia"/>
          <w:color w:val="212529"/>
          <w:sz w:val="24"/>
          <w:szCs w:val="24"/>
          <w:rtl w:val="0"/>
        </w:rPr>
        <w:t xml:space="preserve"> [Fonov et al. (2009), RRID:SCR_008796; TemplateFlow ID: MNI152NLin2009cAsym]. </w:t>
      </w:r>
    </w:p>
    <w:p w:rsidR="00000000" w:rsidDel="00000000" w:rsidP="00000000" w:rsidRDefault="00000000" w:rsidRPr="00000000" w14:paraId="00000068">
      <w:pPr>
        <w:jc w:val="both"/>
        <w:rPr>
          <w:rFonts w:ascii="Georgia" w:cs="Georgia" w:eastAsia="Georgia" w:hAnsi="Georgia"/>
          <w:b w:val="1"/>
          <w:bCs w:val="1"/>
          <w:color w:val="212529"/>
          <w:sz w:val="24"/>
          <w:szCs w:val="24"/>
        </w:rPr>
      </w:pPr>
      <w:r w:rsidDel="00000000" w:rsidR="00000000" w:rsidRPr="00000000">
        <w:rPr>
          <w:rFonts w:ascii="Georgia" w:cs="Georgia" w:eastAsia="Georgia" w:hAnsi="Georgia"/>
          <w:b w:val="1"/>
          <w:bCs w:val="1"/>
          <w:color w:val="212529"/>
          <w:sz w:val="24"/>
          <w:szCs w:val="24"/>
          <w:rtl w:val="0"/>
        </w:rPr>
        <w:t xml:space="preserve">Functional data preprocessing</w:t>
      </w:r>
    </w:p>
    <w:p w:rsidR="00000000" w:rsidDel="00000000" w:rsidP="00000000" w:rsidRDefault="00000000" w:rsidRPr="00000000" w14:paraId="00000069">
      <w:pPr>
        <w:spacing w:after="240" w:lineRule="auto"/>
        <w:jc w:val="both"/>
        <w:rPr>
          <w:rFonts w:ascii="Georgia" w:cs="Georgia" w:eastAsia="Georgia" w:hAnsi="Georgia"/>
          <w:color w:val="212529"/>
          <w:sz w:val="24"/>
          <w:szCs w:val="24"/>
        </w:rPr>
      </w:pPr>
      <w:r w:rsidDel="00000000" w:rsidR="00000000" w:rsidRPr="00000000">
        <w:rPr>
          <w:rFonts w:ascii="Georgia" w:cs="Georgia" w:eastAsia="Georgia" w:hAnsi="Georgia"/>
          <w:color w:val="212529"/>
          <w:sz w:val="24"/>
          <w:szCs w:val="24"/>
          <w:rtl w:val="0"/>
        </w:rPr>
        <w:t xml:space="preserve">For each of the 3 BOLD runs found per subject (across all tasks and sessions), the following preprocessing was performed. First, a reference volume was generated, using a custom methodology of </w:t>
      </w:r>
      <w:r w:rsidDel="00000000" w:rsidR="00000000" w:rsidRPr="00000000">
        <w:rPr>
          <w:rFonts w:ascii="Georgia" w:cs="Georgia" w:eastAsia="Georgia" w:hAnsi="Georgia"/>
          <w:i w:val="1"/>
          <w:iCs w:val="1"/>
          <w:color w:val="212529"/>
          <w:sz w:val="24"/>
          <w:szCs w:val="24"/>
          <w:rtl w:val="0"/>
        </w:rPr>
        <w:t xml:space="preserve">fMRIPrep</w:t>
      </w:r>
      <w:r w:rsidDel="00000000" w:rsidR="00000000" w:rsidRPr="00000000">
        <w:rPr>
          <w:rFonts w:ascii="Georgia" w:cs="Georgia" w:eastAsia="Georgia" w:hAnsi="Georgia"/>
          <w:color w:val="212529"/>
          <w:sz w:val="24"/>
          <w:szCs w:val="24"/>
          <w:rtl w:val="0"/>
        </w:rPr>
        <w:t xml:space="preserve">, for use in head motion correction. Head-motion parameters with respect to the BOLD reference (transformation matrices, and six corresponding rotation and translation parameters) are estimated before any spatiotemporal filtering using </w:t>
      </w:r>
      <w:r w:rsidDel="00000000" w:rsidR="00000000" w:rsidRPr="00000000">
        <w:rPr>
          <w:rFonts w:ascii="Roboto Mono" w:cs="Roboto Mono" w:eastAsia="Roboto Mono" w:hAnsi="Roboto Mono"/>
          <w:color w:val="212529"/>
          <w:sz w:val="21"/>
          <w:szCs w:val="21"/>
          <w:rtl w:val="0"/>
        </w:rPr>
        <w:t xml:space="preserve">mcflirt</w:t>
      </w:r>
      <w:r w:rsidDel="00000000" w:rsidR="00000000" w:rsidRPr="00000000">
        <w:rPr>
          <w:rFonts w:ascii="Georgia" w:cs="Georgia" w:eastAsia="Georgia" w:hAnsi="Georgia"/>
          <w:color w:val="212529"/>
          <w:sz w:val="24"/>
          <w:szCs w:val="24"/>
          <w:rtl w:val="0"/>
        </w:rPr>
        <w:t xml:space="preserve"> (FSL , Jenkinson et al. 2002). The BOLD reference was then co-registered to the T1w reference using </w:t>
      </w:r>
      <w:r w:rsidDel="00000000" w:rsidR="00000000" w:rsidRPr="00000000">
        <w:rPr>
          <w:rFonts w:ascii="Roboto Mono" w:cs="Roboto Mono" w:eastAsia="Roboto Mono" w:hAnsi="Roboto Mono"/>
          <w:color w:val="212529"/>
          <w:sz w:val="21"/>
          <w:szCs w:val="21"/>
          <w:rtl w:val="0"/>
        </w:rPr>
        <w:t xml:space="preserve">bbregister</w:t>
      </w:r>
      <w:r w:rsidDel="00000000" w:rsidR="00000000" w:rsidRPr="00000000">
        <w:rPr>
          <w:rFonts w:ascii="Georgia" w:cs="Georgia" w:eastAsia="Georgia" w:hAnsi="Georgia"/>
          <w:color w:val="212529"/>
          <w:sz w:val="24"/>
          <w:szCs w:val="24"/>
          <w:rtl w:val="0"/>
        </w:rPr>
        <w:t xml:space="preserve"> (FreeSurfer) which implements boundary-based registration (Greve and Fischl 2009). Co-registration was configured with six degrees of freedom. Several confounding time-series were calculated based on the </w:t>
      </w:r>
      <w:r w:rsidDel="00000000" w:rsidR="00000000" w:rsidRPr="00000000">
        <w:rPr>
          <w:rFonts w:ascii="Georgia" w:cs="Georgia" w:eastAsia="Georgia" w:hAnsi="Georgia"/>
          <w:i w:val="1"/>
          <w:iCs w:val="1"/>
          <w:color w:val="212529"/>
          <w:sz w:val="24"/>
          <w:szCs w:val="24"/>
          <w:rtl w:val="0"/>
        </w:rPr>
        <w:t xml:space="preserve">preprocessed BOLD</w:t>
      </w:r>
      <w:r w:rsidDel="00000000" w:rsidR="00000000" w:rsidRPr="00000000">
        <w:rPr>
          <w:rFonts w:ascii="Georgia" w:cs="Georgia" w:eastAsia="Georgia" w:hAnsi="Georgia"/>
          <w:color w:val="212529"/>
          <w:sz w:val="24"/>
          <w:szCs w:val="24"/>
          <w:rtl w:val="0"/>
        </w:rPr>
        <w:t xml:space="preserve">: framewise displacement (FD), DVARS and three region-wise global signals. FD was computed using two formulations following Power (absolute sum of relative motions, Power et al. (2014)) and Jenkinson (relative root mean square displacement between affines, Jenkinson et al. (2002)). FD and DVARS are calculated for each functional run, both using their implementations in </w:t>
      </w:r>
      <w:r w:rsidDel="00000000" w:rsidR="00000000" w:rsidRPr="00000000">
        <w:rPr>
          <w:rFonts w:ascii="Georgia" w:cs="Georgia" w:eastAsia="Georgia" w:hAnsi="Georgia"/>
          <w:i w:val="1"/>
          <w:iCs w:val="1"/>
          <w:color w:val="212529"/>
          <w:sz w:val="24"/>
          <w:szCs w:val="24"/>
          <w:rtl w:val="0"/>
        </w:rPr>
        <w:t xml:space="preserve">Nipype</w:t>
      </w:r>
      <w:r w:rsidDel="00000000" w:rsidR="00000000" w:rsidRPr="00000000">
        <w:rPr>
          <w:rFonts w:ascii="Georgia" w:cs="Georgia" w:eastAsia="Georgia" w:hAnsi="Georgia"/>
          <w:color w:val="212529"/>
          <w:sz w:val="24"/>
          <w:szCs w:val="24"/>
          <w:rtl w:val="0"/>
        </w:rPr>
        <w:t xml:space="preserve"> (following the definitions by Power et al. 2014). The three global signals are extracted within the CSF, the WM, and the whole-brain masks. Additionally, a set of physiological regressors were extracted to allow for component-based noise correction (</w:t>
      </w:r>
      <w:r w:rsidDel="00000000" w:rsidR="00000000" w:rsidRPr="00000000">
        <w:rPr>
          <w:rFonts w:ascii="Georgia" w:cs="Georgia" w:eastAsia="Georgia" w:hAnsi="Georgia"/>
          <w:i w:val="1"/>
          <w:iCs w:val="1"/>
          <w:color w:val="212529"/>
          <w:sz w:val="24"/>
          <w:szCs w:val="24"/>
          <w:rtl w:val="0"/>
        </w:rPr>
        <w:t xml:space="preserve">CompCor</w:t>
      </w:r>
      <w:r w:rsidDel="00000000" w:rsidR="00000000" w:rsidRPr="00000000">
        <w:rPr>
          <w:rFonts w:ascii="Georgia" w:cs="Georgia" w:eastAsia="Georgia" w:hAnsi="Georgia"/>
          <w:color w:val="212529"/>
          <w:sz w:val="24"/>
          <w:szCs w:val="24"/>
          <w:rtl w:val="0"/>
        </w:rPr>
        <w:t xml:space="preserve">, Behzadi et al. 2007). Principal components are estimated after high-pass filtering the </w:t>
      </w:r>
      <w:r w:rsidDel="00000000" w:rsidR="00000000" w:rsidRPr="00000000">
        <w:rPr>
          <w:rFonts w:ascii="Georgia" w:cs="Georgia" w:eastAsia="Georgia" w:hAnsi="Georgia"/>
          <w:i w:val="1"/>
          <w:iCs w:val="1"/>
          <w:color w:val="212529"/>
          <w:sz w:val="24"/>
          <w:szCs w:val="24"/>
          <w:rtl w:val="0"/>
        </w:rPr>
        <w:t xml:space="preserve">preprocessed BOLD</w:t>
      </w:r>
      <w:r w:rsidDel="00000000" w:rsidR="00000000" w:rsidRPr="00000000">
        <w:rPr>
          <w:rFonts w:ascii="Georgia" w:cs="Georgia" w:eastAsia="Georgia" w:hAnsi="Georgia"/>
          <w:color w:val="212529"/>
          <w:sz w:val="24"/>
          <w:szCs w:val="24"/>
          <w:rtl w:val="0"/>
        </w:rPr>
        <w:t xml:space="preserve"> time-series (using a discrete cosine filter with 128s cut-off) for the two </w:t>
      </w:r>
      <w:r w:rsidDel="00000000" w:rsidR="00000000" w:rsidRPr="00000000">
        <w:rPr>
          <w:rFonts w:ascii="Georgia" w:cs="Georgia" w:eastAsia="Georgia" w:hAnsi="Georgia"/>
          <w:i w:val="1"/>
          <w:iCs w:val="1"/>
          <w:color w:val="212529"/>
          <w:sz w:val="24"/>
          <w:szCs w:val="24"/>
          <w:rtl w:val="0"/>
        </w:rPr>
        <w:t xml:space="preserve">CompCor</w:t>
      </w:r>
      <w:r w:rsidDel="00000000" w:rsidR="00000000" w:rsidRPr="00000000">
        <w:rPr>
          <w:rFonts w:ascii="Georgia" w:cs="Georgia" w:eastAsia="Georgia" w:hAnsi="Georgia"/>
          <w:color w:val="212529"/>
          <w:sz w:val="24"/>
          <w:szCs w:val="24"/>
          <w:rtl w:val="0"/>
        </w:rPr>
        <w:t xml:space="preserve"> variants: temporal (tCompCor) and anatomical (aCompCor). tCompCor components are then calculated from the top 2% variable voxels within the brain mask. For aCompCor, three probabilistic masks (CSF, WM and combined CSF+WM) are generated in anatomical space. The implementation differs from that of Behzadi et al. in that instead of eroding the masks by 2 pixels on BOLD space, a mask of pixels that likely contain a volume fraction of GM is subtracted from the aCompCor masks. This mask is obtained by dilating a GM mask extracted from the FreeSurfer’s </w:t>
      </w:r>
      <w:r w:rsidDel="00000000" w:rsidR="00000000" w:rsidRPr="00000000">
        <w:rPr>
          <w:rFonts w:ascii="Georgia" w:cs="Georgia" w:eastAsia="Georgia" w:hAnsi="Georgia"/>
          <w:i w:val="1"/>
          <w:iCs w:val="1"/>
          <w:color w:val="212529"/>
          <w:sz w:val="24"/>
          <w:szCs w:val="24"/>
          <w:rtl w:val="0"/>
        </w:rPr>
        <w:t xml:space="preserve">aseg</w:t>
      </w:r>
      <w:r w:rsidDel="00000000" w:rsidR="00000000" w:rsidRPr="00000000">
        <w:rPr>
          <w:rFonts w:ascii="Georgia" w:cs="Georgia" w:eastAsia="Georgia" w:hAnsi="Georgia"/>
          <w:color w:val="212529"/>
          <w:sz w:val="24"/>
          <w:szCs w:val="24"/>
          <w:rtl w:val="0"/>
        </w:rPr>
        <w:t xml:space="preserve"> segmentation, and it ensures components are not extracted from voxels containing a minimal fraction of GM. Finally, these masks are resampled into BOLD space and binarized by thresholding at 0.99 (as in the original implementation). Components are also calculated separately within the WM and CSF masks. For each CompCor decomposition, the </w:t>
      </w:r>
      <w:r w:rsidDel="00000000" w:rsidR="00000000" w:rsidRPr="00000000">
        <w:rPr>
          <w:rFonts w:ascii="Georgia" w:cs="Georgia" w:eastAsia="Georgia" w:hAnsi="Georgia"/>
          <w:i w:val="1"/>
          <w:iCs w:val="1"/>
          <w:color w:val="212529"/>
          <w:sz w:val="24"/>
          <w:szCs w:val="24"/>
          <w:rtl w:val="0"/>
        </w:rPr>
        <w:t xml:space="preserve">k</w:t>
      </w:r>
      <w:r w:rsidDel="00000000" w:rsidR="00000000" w:rsidRPr="00000000">
        <w:rPr>
          <w:rFonts w:ascii="Georgia" w:cs="Georgia" w:eastAsia="Georgia" w:hAnsi="Georgia"/>
          <w:color w:val="212529"/>
          <w:sz w:val="24"/>
          <w:szCs w:val="24"/>
          <w:rtl w:val="0"/>
        </w:rPr>
        <w:t xml:space="preserve"> components with the largest singular values are retained, such that the retained components’ time series are sufficient to explain 50 percent of variance across the nuisance mask (CSF, WM, combined, or temporal). The remaining components are dropped from consideration. The head-motion estimates calculated in the correction step were also placed within the corresponding confounds file. The confound time series derived from head motion estimates and global signals were expanded with the inclusion of temporal derivatives and quadratic terms for each (Satterthwaite et al. 2013). Frames that exceeded a threshold of 0.5 mm FD or 1.5 standardized DVARS were annotated as motion outliers. Additional nuisance timeseries are calculated by means of principal components analysis of the signal found within a thin band (</w:t>
      </w:r>
      <w:r w:rsidDel="00000000" w:rsidR="00000000" w:rsidRPr="00000000">
        <w:rPr>
          <w:rFonts w:ascii="Georgia" w:cs="Georgia" w:eastAsia="Georgia" w:hAnsi="Georgia"/>
          <w:i w:val="1"/>
          <w:iCs w:val="1"/>
          <w:color w:val="212529"/>
          <w:sz w:val="24"/>
          <w:szCs w:val="24"/>
          <w:rtl w:val="0"/>
        </w:rPr>
        <w:t xml:space="preserve">crown</w:t>
      </w:r>
      <w:r w:rsidDel="00000000" w:rsidR="00000000" w:rsidRPr="00000000">
        <w:rPr>
          <w:rFonts w:ascii="Georgia" w:cs="Georgia" w:eastAsia="Georgia" w:hAnsi="Georgia"/>
          <w:color w:val="212529"/>
          <w:sz w:val="24"/>
          <w:szCs w:val="24"/>
          <w:rtl w:val="0"/>
        </w:rPr>
        <w:t xml:space="preserve">) of voxels around the edge of the brain, as proposed by (Patriat, Reynolds, and Birn 2017). All resamplings can be performed with </w:t>
      </w:r>
      <w:r w:rsidDel="00000000" w:rsidR="00000000" w:rsidRPr="00000000">
        <w:rPr>
          <w:rFonts w:ascii="Georgia" w:cs="Georgia" w:eastAsia="Georgia" w:hAnsi="Georgia"/>
          <w:i w:val="1"/>
          <w:iCs w:val="1"/>
          <w:color w:val="212529"/>
          <w:sz w:val="24"/>
          <w:szCs w:val="24"/>
          <w:rtl w:val="0"/>
        </w:rPr>
        <w:t xml:space="preserve">a single interpolation step</w:t>
      </w:r>
      <w:r w:rsidDel="00000000" w:rsidR="00000000" w:rsidRPr="00000000">
        <w:rPr>
          <w:rFonts w:ascii="Georgia" w:cs="Georgia" w:eastAsia="Georgia" w:hAnsi="Georgia"/>
          <w:color w:val="212529"/>
          <w:sz w:val="24"/>
          <w:szCs w:val="24"/>
          <w:rtl w:val="0"/>
        </w:rPr>
        <w:t xml:space="preserve"> by composing all the pertinent transformations (i.e. head-motion transform matrices, susceptibility distortion correction when available, and co-registrations to anatomical and output spaces). Gridded (volumetric) resamplings were performed using </w:t>
      </w:r>
      <w:r w:rsidDel="00000000" w:rsidR="00000000" w:rsidRPr="00000000">
        <w:rPr>
          <w:rFonts w:ascii="Roboto Mono" w:cs="Roboto Mono" w:eastAsia="Roboto Mono" w:hAnsi="Roboto Mono"/>
          <w:color w:val="212529"/>
          <w:sz w:val="21"/>
          <w:szCs w:val="21"/>
          <w:rtl w:val="0"/>
        </w:rPr>
        <w:t xml:space="preserve">nitransforms</w:t>
      </w:r>
      <w:r w:rsidDel="00000000" w:rsidR="00000000" w:rsidRPr="00000000">
        <w:rPr>
          <w:rFonts w:ascii="Georgia" w:cs="Georgia" w:eastAsia="Georgia" w:hAnsi="Georgia"/>
          <w:color w:val="212529"/>
          <w:sz w:val="24"/>
          <w:szCs w:val="24"/>
          <w:rtl w:val="0"/>
        </w:rPr>
        <w:t xml:space="preserve">, configured with cubic B-spline interpolation.</w:t>
      </w:r>
    </w:p>
    <w:p w:rsidR="00000000" w:rsidDel="00000000" w:rsidP="00000000" w:rsidRDefault="00000000" w:rsidRPr="00000000" w14:paraId="0000006A">
      <w:pPr>
        <w:spacing w:after="240" w:lineRule="auto"/>
        <w:jc w:val="both"/>
        <w:rPr>
          <w:rFonts w:ascii="Georgia" w:cs="Georgia" w:eastAsia="Georgia" w:hAnsi="Georgia"/>
          <w:color w:val="212529"/>
          <w:sz w:val="24"/>
          <w:szCs w:val="24"/>
        </w:rPr>
      </w:pPr>
      <w:r w:rsidDel="00000000" w:rsidR="00000000" w:rsidRPr="00000000">
        <w:rPr>
          <w:rFonts w:ascii="Georgia" w:cs="Georgia" w:eastAsia="Georgia" w:hAnsi="Georgia"/>
          <w:color w:val="212529"/>
          <w:sz w:val="24"/>
          <w:szCs w:val="24"/>
          <w:rtl w:val="0"/>
        </w:rPr>
        <w:t xml:space="preserve">Many internal operations of </w:t>
      </w:r>
      <w:r w:rsidDel="00000000" w:rsidR="00000000" w:rsidRPr="00000000">
        <w:rPr>
          <w:rFonts w:ascii="Georgia" w:cs="Georgia" w:eastAsia="Georgia" w:hAnsi="Georgia"/>
          <w:i w:val="1"/>
          <w:iCs w:val="1"/>
          <w:color w:val="212529"/>
          <w:sz w:val="24"/>
          <w:szCs w:val="24"/>
          <w:rtl w:val="0"/>
        </w:rPr>
        <w:t xml:space="preserve">fMRIPrep</w:t>
      </w:r>
      <w:r w:rsidDel="00000000" w:rsidR="00000000" w:rsidRPr="00000000">
        <w:rPr>
          <w:rFonts w:ascii="Georgia" w:cs="Georgia" w:eastAsia="Georgia" w:hAnsi="Georgia"/>
          <w:color w:val="212529"/>
          <w:sz w:val="24"/>
          <w:szCs w:val="24"/>
          <w:rtl w:val="0"/>
        </w:rPr>
        <w:t xml:space="preserve"> use </w:t>
      </w:r>
      <w:r w:rsidDel="00000000" w:rsidR="00000000" w:rsidRPr="00000000">
        <w:rPr>
          <w:rFonts w:ascii="Georgia" w:cs="Georgia" w:eastAsia="Georgia" w:hAnsi="Georgia"/>
          <w:i w:val="1"/>
          <w:iCs w:val="1"/>
          <w:color w:val="212529"/>
          <w:sz w:val="24"/>
          <w:szCs w:val="24"/>
          <w:rtl w:val="0"/>
        </w:rPr>
        <w:t xml:space="preserve">Nilearn</w:t>
      </w:r>
      <w:r w:rsidDel="00000000" w:rsidR="00000000" w:rsidRPr="00000000">
        <w:rPr>
          <w:rFonts w:ascii="Georgia" w:cs="Georgia" w:eastAsia="Georgia" w:hAnsi="Georgia"/>
          <w:color w:val="212529"/>
          <w:sz w:val="24"/>
          <w:szCs w:val="24"/>
          <w:rtl w:val="0"/>
        </w:rPr>
        <w:t xml:space="preserve"> 0.11.1 (Abraham et al. 2014, RRID:SCR_001362), mostly within the functional processing workflow. For more details of the pipeline, see </w:t>
      </w:r>
      <w:hyperlink r:id="rId6">
        <w:r w:rsidDel="00000000" w:rsidR="00000000" w:rsidRPr="00000000">
          <w:rPr>
            <w:rFonts w:ascii="Georgia" w:cs="Georgia" w:eastAsia="Georgia" w:hAnsi="Georgia"/>
            <w:color w:val="1155cc"/>
            <w:sz w:val="24"/>
            <w:szCs w:val="24"/>
            <w:u w:val="single"/>
            <w:rtl w:val="0"/>
          </w:rPr>
          <w:t xml:space="preserve">the section corresponding to workflows in </w:t>
        </w:r>
      </w:hyperlink>
      <w:hyperlink r:id="rId7">
        <w:r w:rsidDel="00000000" w:rsidR="00000000" w:rsidRPr="00000000">
          <w:rPr>
            <w:rFonts w:ascii="Georgia" w:cs="Georgia" w:eastAsia="Georgia" w:hAnsi="Georgia"/>
            <w:i w:val="1"/>
            <w:iCs w:val="1"/>
            <w:color w:val="1155cc"/>
            <w:sz w:val="24"/>
            <w:szCs w:val="24"/>
            <w:u w:val="single"/>
            <w:rtl w:val="0"/>
          </w:rPr>
          <w:t xml:space="preserve">fMRIPrep</w:t>
        </w:r>
      </w:hyperlink>
      <w:hyperlink r:id="rId8">
        <w:r w:rsidDel="00000000" w:rsidR="00000000" w:rsidRPr="00000000">
          <w:rPr>
            <w:rFonts w:ascii="Georgia" w:cs="Georgia" w:eastAsia="Georgia" w:hAnsi="Georgia"/>
            <w:color w:val="1155cc"/>
            <w:sz w:val="24"/>
            <w:szCs w:val="24"/>
            <w:u w:val="single"/>
            <w:rtl w:val="0"/>
          </w:rPr>
          <w:t xml:space="preserve">’s documentation</w:t>
        </w:r>
      </w:hyperlink>
      <w:r w:rsidDel="00000000" w:rsidR="00000000" w:rsidRPr="00000000">
        <w:rPr>
          <w:rFonts w:ascii="Georgia" w:cs="Georgia" w:eastAsia="Georgia" w:hAnsi="Georgia"/>
          <w:color w:val="212529"/>
          <w:sz w:val="24"/>
          <w:szCs w:val="24"/>
          <w:rtl w:val="0"/>
        </w:rPr>
        <w:t xml:space="preserve">.</w:t>
      </w:r>
    </w:p>
    <w:p w:rsidR="00000000" w:rsidDel="00000000" w:rsidP="00000000" w:rsidRDefault="00000000" w:rsidRPr="00000000" w14:paraId="0000006B">
      <w:pPr>
        <w:pStyle w:val="Heading3"/>
        <w:keepNext w:val="0"/>
        <w:keepLines w:val="0"/>
        <w:spacing w:before="0" w:line="288" w:lineRule="auto"/>
        <w:jc w:val="both"/>
        <w:rPr>
          <w:rFonts w:ascii="Georgia" w:cs="Georgia" w:eastAsia="Georgia" w:hAnsi="Georgia"/>
          <w:color w:val="212529"/>
          <w:sz w:val="26"/>
          <w:szCs w:val="26"/>
        </w:rPr>
      </w:pPr>
      <w:bookmarkStart w:colFirst="0" w:colLast="0" w:name="_5xk46as31jxl" w:id="0"/>
      <w:bookmarkEnd w:id="0"/>
      <w:r w:rsidDel="00000000" w:rsidR="00000000" w:rsidRPr="00000000">
        <w:rPr>
          <w:rFonts w:ascii="Georgia" w:cs="Georgia" w:eastAsia="Georgia" w:hAnsi="Georgia"/>
          <w:color w:val="212529"/>
          <w:sz w:val="26"/>
          <w:szCs w:val="26"/>
          <w:rtl w:val="0"/>
        </w:rPr>
        <w:t xml:space="preserve">Copyright Waiver</w:t>
      </w:r>
    </w:p>
    <w:p w:rsidR="00000000" w:rsidDel="00000000" w:rsidP="00000000" w:rsidRDefault="00000000" w:rsidRPr="00000000" w14:paraId="0000006C">
      <w:pPr>
        <w:spacing w:after="240" w:lineRule="auto"/>
        <w:jc w:val="both"/>
        <w:rPr>
          <w:rFonts w:ascii="Georgia" w:cs="Georgia" w:eastAsia="Georgia" w:hAnsi="Georgia"/>
          <w:color w:val="212529"/>
          <w:sz w:val="24"/>
          <w:szCs w:val="24"/>
        </w:rPr>
      </w:pPr>
      <w:r w:rsidDel="00000000" w:rsidR="00000000" w:rsidRPr="00000000">
        <w:rPr>
          <w:rFonts w:ascii="Georgia" w:cs="Georgia" w:eastAsia="Georgia" w:hAnsi="Georgia"/>
          <w:color w:val="212529"/>
          <w:sz w:val="24"/>
          <w:szCs w:val="24"/>
          <w:rtl w:val="0"/>
        </w:rPr>
        <w:t xml:space="preserve">The above boilerplate text was automatically generated by fMRIPrep with the express intention that users should copy and paste this text into their manuscripts </w:t>
      </w:r>
      <w:r w:rsidDel="00000000" w:rsidR="00000000" w:rsidRPr="00000000">
        <w:rPr>
          <w:rFonts w:ascii="Georgia" w:cs="Georgia" w:eastAsia="Georgia" w:hAnsi="Georgia"/>
          <w:i w:val="1"/>
          <w:iCs w:val="1"/>
          <w:color w:val="212529"/>
          <w:sz w:val="24"/>
          <w:szCs w:val="24"/>
          <w:rtl w:val="0"/>
        </w:rPr>
        <w:t xml:space="preserve">unchanged</w:t>
      </w:r>
      <w:r w:rsidDel="00000000" w:rsidR="00000000" w:rsidRPr="00000000">
        <w:rPr>
          <w:rFonts w:ascii="Georgia" w:cs="Georgia" w:eastAsia="Georgia" w:hAnsi="Georgia"/>
          <w:color w:val="212529"/>
          <w:sz w:val="24"/>
          <w:szCs w:val="24"/>
          <w:rtl w:val="0"/>
        </w:rPr>
        <w:t xml:space="preserve">. It is released under the </w:t>
      </w:r>
      <w:hyperlink r:id="rId9">
        <w:r w:rsidDel="00000000" w:rsidR="00000000" w:rsidRPr="00000000">
          <w:rPr>
            <w:rFonts w:ascii="Georgia" w:cs="Georgia" w:eastAsia="Georgia" w:hAnsi="Georgia"/>
            <w:color w:val="1155cc"/>
            <w:sz w:val="24"/>
            <w:szCs w:val="24"/>
            <w:u w:val="single"/>
            <w:rtl w:val="0"/>
          </w:rPr>
          <w:t xml:space="preserve">CC0</w:t>
        </w:r>
      </w:hyperlink>
      <w:r w:rsidDel="00000000" w:rsidR="00000000" w:rsidRPr="00000000">
        <w:rPr>
          <w:rFonts w:ascii="Georgia" w:cs="Georgia" w:eastAsia="Georgia" w:hAnsi="Georgia"/>
          <w:color w:val="212529"/>
          <w:sz w:val="24"/>
          <w:szCs w:val="24"/>
          <w:rtl w:val="0"/>
        </w:rPr>
        <w:t xml:space="preserve"> license.</w:t>
      </w:r>
    </w:p>
    <w:p w:rsidR="00000000" w:rsidDel="00000000" w:rsidP="00000000" w:rsidRDefault="00000000" w:rsidRPr="00000000" w14:paraId="0000006D">
      <w:pPr>
        <w:pStyle w:val="Heading3"/>
        <w:keepNext w:val="0"/>
        <w:keepLines w:val="0"/>
        <w:spacing w:before="0" w:line="288" w:lineRule="auto"/>
        <w:jc w:val="both"/>
        <w:rPr>
          <w:rFonts w:ascii="Georgia" w:cs="Georgia" w:eastAsia="Georgia" w:hAnsi="Georgia"/>
          <w:color w:val="212529"/>
          <w:sz w:val="26"/>
          <w:szCs w:val="26"/>
        </w:rPr>
      </w:pPr>
      <w:bookmarkStart w:colFirst="0" w:colLast="0" w:name="_xwdsg9vzln1z" w:id="1"/>
      <w:bookmarkEnd w:id="1"/>
      <w:r w:rsidDel="00000000" w:rsidR="00000000" w:rsidRPr="00000000">
        <w:rPr>
          <w:rFonts w:ascii="Georgia" w:cs="Georgia" w:eastAsia="Georgia" w:hAnsi="Georgia"/>
          <w:color w:val="212529"/>
          <w:sz w:val="26"/>
          <w:szCs w:val="26"/>
          <w:rtl w:val="0"/>
        </w:rPr>
        <w:t xml:space="preserve">References</w:t>
      </w:r>
    </w:p>
    <w:p w:rsidR="00000000" w:rsidDel="00000000" w:rsidP="00000000" w:rsidRDefault="00000000" w:rsidRPr="00000000" w14:paraId="0000006E">
      <w:pPr>
        <w:jc w:val="both"/>
        <w:rPr>
          <w:rFonts w:ascii="Georgia" w:cs="Georgia" w:eastAsia="Georgia" w:hAnsi="Georgia"/>
          <w:color w:val="212529"/>
          <w:sz w:val="24"/>
          <w:szCs w:val="24"/>
        </w:rPr>
      </w:pPr>
      <w:r w:rsidDel="00000000" w:rsidR="00000000" w:rsidRPr="00000000">
        <w:rPr>
          <w:rFonts w:ascii="Georgia" w:cs="Georgia" w:eastAsia="Georgia" w:hAnsi="Georgia"/>
          <w:color w:val="212529"/>
          <w:sz w:val="24"/>
          <w:szCs w:val="24"/>
          <w:rtl w:val="0"/>
        </w:rPr>
        <w:t xml:space="preserve">Abraham, Alexandre, Fabian Pedregosa, Michael Eickenberg, Philippe Gervais, Andreas Mueller, Jean Kossaifi, Alexandre Gramfort, Bertrand Thirion, and Gael Varoquaux. 2014. “Machine Learning for Neuroimaging with Scikit-Learn.” </w:t>
      </w:r>
      <w:r w:rsidDel="00000000" w:rsidR="00000000" w:rsidRPr="00000000">
        <w:rPr>
          <w:rFonts w:ascii="Georgia" w:cs="Georgia" w:eastAsia="Georgia" w:hAnsi="Georgia"/>
          <w:i w:val="1"/>
          <w:iCs w:val="1"/>
          <w:color w:val="212529"/>
          <w:sz w:val="24"/>
          <w:szCs w:val="24"/>
          <w:rtl w:val="0"/>
        </w:rPr>
        <w:t xml:space="preserve">Frontiers in Neuroinformatics</w:t>
      </w:r>
      <w:r w:rsidDel="00000000" w:rsidR="00000000" w:rsidRPr="00000000">
        <w:rPr>
          <w:rFonts w:ascii="Georgia" w:cs="Georgia" w:eastAsia="Georgia" w:hAnsi="Georgia"/>
          <w:color w:val="212529"/>
          <w:sz w:val="24"/>
          <w:szCs w:val="24"/>
          <w:rtl w:val="0"/>
        </w:rPr>
        <w:t xml:space="preserve"> 8. </w:t>
      </w:r>
      <w:hyperlink r:id="rId10">
        <w:r w:rsidDel="00000000" w:rsidR="00000000" w:rsidRPr="00000000">
          <w:rPr>
            <w:rFonts w:ascii="Georgia" w:cs="Georgia" w:eastAsia="Georgia" w:hAnsi="Georgia"/>
            <w:color w:val="1155cc"/>
            <w:sz w:val="24"/>
            <w:szCs w:val="24"/>
            <w:u w:val="single"/>
            <w:rtl w:val="0"/>
          </w:rPr>
          <w:t xml:space="preserve">https://doi.org/10.3389/fninf.2014.00014</w:t>
        </w:r>
      </w:hyperlink>
      <w:r w:rsidDel="00000000" w:rsidR="00000000" w:rsidRPr="00000000">
        <w:rPr>
          <w:rFonts w:ascii="Georgia" w:cs="Georgia" w:eastAsia="Georgia" w:hAnsi="Georgia"/>
          <w:color w:val="212529"/>
          <w:sz w:val="24"/>
          <w:szCs w:val="24"/>
          <w:rtl w:val="0"/>
        </w:rPr>
        <w:t xml:space="preserve">.</w:t>
      </w:r>
    </w:p>
    <w:p w:rsidR="00000000" w:rsidDel="00000000" w:rsidP="00000000" w:rsidRDefault="00000000" w:rsidRPr="00000000" w14:paraId="0000006F">
      <w:pPr>
        <w:jc w:val="both"/>
        <w:rPr>
          <w:rFonts w:ascii="Georgia" w:cs="Georgia" w:eastAsia="Georgia" w:hAnsi="Georgia"/>
          <w:color w:val="212529"/>
          <w:sz w:val="24"/>
          <w:szCs w:val="24"/>
        </w:rPr>
      </w:pPr>
      <w:r w:rsidDel="00000000" w:rsidR="00000000" w:rsidRPr="00000000">
        <w:rPr>
          <w:rFonts w:ascii="Georgia" w:cs="Georgia" w:eastAsia="Georgia" w:hAnsi="Georgia"/>
          <w:color w:val="212529"/>
          <w:sz w:val="24"/>
          <w:szCs w:val="24"/>
          <w:rtl w:val="0"/>
        </w:rPr>
        <w:t xml:space="preserve">Avants, B. B., C. L. Epstein, M. Grossman, and J. C. Gee. 2008. “Symmetric Diffeomorphic Image Registration with Cross-Correlation: Evaluating Automated Labeling of Elderly and Neurodegenerative Brain.” </w:t>
      </w:r>
      <w:r w:rsidDel="00000000" w:rsidR="00000000" w:rsidRPr="00000000">
        <w:rPr>
          <w:rFonts w:ascii="Georgia" w:cs="Georgia" w:eastAsia="Georgia" w:hAnsi="Georgia"/>
          <w:i w:val="1"/>
          <w:iCs w:val="1"/>
          <w:color w:val="212529"/>
          <w:sz w:val="24"/>
          <w:szCs w:val="24"/>
          <w:rtl w:val="0"/>
        </w:rPr>
        <w:t xml:space="preserve">Medical Image Analysis</w:t>
      </w:r>
      <w:r w:rsidDel="00000000" w:rsidR="00000000" w:rsidRPr="00000000">
        <w:rPr>
          <w:rFonts w:ascii="Georgia" w:cs="Georgia" w:eastAsia="Georgia" w:hAnsi="Georgia"/>
          <w:color w:val="212529"/>
          <w:sz w:val="24"/>
          <w:szCs w:val="24"/>
          <w:rtl w:val="0"/>
        </w:rPr>
        <w:t xml:space="preserve"> 12 (1): 26–41. </w:t>
      </w:r>
      <w:hyperlink r:id="rId11">
        <w:r w:rsidDel="00000000" w:rsidR="00000000" w:rsidRPr="00000000">
          <w:rPr>
            <w:rFonts w:ascii="Georgia" w:cs="Georgia" w:eastAsia="Georgia" w:hAnsi="Georgia"/>
            <w:color w:val="1155cc"/>
            <w:sz w:val="24"/>
            <w:szCs w:val="24"/>
            <w:u w:val="single"/>
            <w:rtl w:val="0"/>
          </w:rPr>
          <w:t xml:space="preserve">https://doi.org/10.1016/j.media.2007.06.004</w:t>
        </w:r>
      </w:hyperlink>
      <w:r w:rsidDel="00000000" w:rsidR="00000000" w:rsidRPr="00000000">
        <w:rPr>
          <w:rFonts w:ascii="Georgia" w:cs="Georgia" w:eastAsia="Georgia" w:hAnsi="Georgia"/>
          <w:color w:val="212529"/>
          <w:sz w:val="24"/>
          <w:szCs w:val="24"/>
          <w:rtl w:val="0"/>
        </w:rPr>
        <w:t xml:space="preserve">.</w:t>
      </w:r>
    </w:p>
    <w:p w:rsidR="00000000" w:rsidDel="00000000" w:rsidP="00000000" w:rsidRDefault="00000000" w:rsidRPr="00000000" w14:paraId="00000070">
      <w:pPr>
        <w:jc w:val="both"/>
        <w:rPr>
          <w:rFonts w:ascii="Georgia" w:cs="Georgia" w:eastAsia="Georgia" w:hAnsi="Georgia"/>
          <w:color w:val="212529"/>
          <w:sz w:val="24"/>
          <w:szCs w:val="24"/>
        </w:rPr>
      </w:pPr>
      <w:r w:rsidDel="00000000" w:rsidR="00000000" w:rsidRPr="00000000">
        <w:rPr>
          <w:rFonts w:ascii="Georgia" w:cs="Georgia" w:eastAsia="Georgia" w:hAnsi="Georgia"/>
          <w:color w:val="212529"/>
          <w:sz w:val="24"/>
          <w:szCs w:val="24"/>
          <w:rtl w:val="0"/>
        </w:rPr>
        <w:t xml:space="preserve">Behzadi, Yashar, Khaled Restom, Joy Liau, and Thomas T. Liu. 2007. “A Component Based Noise Correction Method (CompCor) for BOLD and Perfusion Based fMRI.” </w:t>
      </w:r>
      <w:r w:rsidDel="00000000" w:rsidR="00000000" w:rsidRPr="00000000">
        <w:rPr>
          <w:rFonts w:ascii="Georgia" w:cs="Georgia" w:eastAsia="Georgia" w:hAnsi="Georgia"/>
          <w:i w:val="1"/>
          <w:iCs w:val="1"/>
          <w:color w:val="212529"/>
          <w:sz w:val="24"/>
          <w:szCs w:val="24"/>
          <w:rtl w:val="0"/>
        </w:rPr>
        <w:t xml:space="preserve">NeuroImage</w:t>
      </w:r>
      <w:r w:rsidDel="00000000" w:rsidR="00000000" w:rsidRPr="00000000">
        <w:rPr>
          <w:rFonts w:ascii="Georgia" w:cs="Georgia" w:eastAsia="Georgia" w:hAnsi="Georgia"/>
          <w:color w:val="212529"/>
          <w:sz w:val="24"/>
          <w:szCs w:val="24"/>
          <w:rtl w:val="0"/>
        </w:rPr>
        <w:t xml:space="preserve"> 37 (1): 90–101. </w:t>
      </w:r>
      <w:hyperlink r:id="rId12">
        <w:r w:rsidDel="00000000" w:rsidR="00000000" w:rsidRPr="00000000">
          <w:rPr>
            <w:rFonts w:ascii="Georgia" w:cs="Georgia" w:eastAsia="Georgia" w:hAnsi="Georgia"/>
            <w:color w:val="1155cc"/>
            <w:sz w:val="24"/>
            <w:szCs w:val="24"/>
            <w:u w:val="single"/>
            <w:rtl w:val="0"/>
          </w:rPr>
          <w:t xml:space="preserve">https://doi.org/10.1016/j.neuroimage.2007.04.042</w:t>
        </w:r>
      </w:hyperlink>
      <w:r w:rsidDel="00000000" w:rsidR="00000000" w:rsidRPr="00000000">
        <w:rPr>
          <w:rFonts w:ascii="Georgia" w:cs="Georgia" w:eastAsia="Georgia" w:hAnsi="Georgia"/>
          <w:color w:val="212529"/>
          <w:sz w:val="24"/>
          <w:szCs w:val="24"/>
          <w:rtl w:val="0"/>
        </w:rPr>
        <w:t xml:space="preserve">.</w:t>
      </w:r>
    </w:p>
    <w:p w:rsidR="00000000" w:rsidDel="00000000" w:rsidP="00000000" w:rsidRDefault="00000000" w:rsidRPr="00000000" w14:paraId="00000071">
      <w:pPr>
        <w:jc w:val="both"/>
        <w:rPr>
          <w:rFonts w:ascii="Georgia" w:cs="Georgia" w:eastAsia="Georgia" w:hAnsi="Georgia"/>
          <w:color w:val="212529"/>
          <w:sz w:val="24"/>
          <w:szCs w:val="24"/>
        </w:rPr>
      </w:pPr>
      <w:r w:rsidDel="00000000" w:rsidR="00000000" w:rsidRPr="00000000">
        <w:rPr>
          <w:rFonts w:ascii="Georgia" w:cs="Georgia" w:eastAsia="Georgia" w:hAnsi="Georgia"/>
          <w:color w:val="212529"/>
          <w:sz w:val="24"/>
          <w:szCs w:val="24"/>
          <w:rtl w:val="0"/>
        </w:rPr>
        <w:t xml:space="preserve">Ciric, R., William H. Thompson, R. Lorenz, M. Goncalves, E. MacNicol, C. J. Markiewicz, Y. O. Halchenko, et al. 2022. “TemplateFlow: FAIR-Sharing of Multi-Scale, Multi-Species Brain Models.” </w:t>
      </w:r>
      <w:r w:rsidDel="00000000" w:rsidR="00000000" w:rsidRPr="00000000">
        <w:rPr>
          <w:rFonts w:ascii="Georgia" w:cs="Georgia" w:eastAsia="Georgia" w:hAnsi="Georgia"/>
          <w:i w:val="1"/>
          <w:iCs w:val="1"/>
          <w:color w:val="212529"/>
          <w:sz w:val="24"/>
          <w:szCs w:val="24"/>
          <w:rtl w:val="0"/>
        </w:rPr>
        <w:t xml:space="preserve">Nature Methods</w:t>
      </w:r>
      <w:r w:rsidDel="00000000" w:rsidR="00000000" w:rsidRPr="00000000">
        <w:rPr>
          <w:rFonts w:ascii="Georgia" w:cs="Georgia" w:eastAsia="Georgia" w:hAnsi="Georgia"/>
          <w:color w:val="212529"/>
          <w:sz w:val="24"/>
          <w:szCs w:val="24"/>
          <w:rtl w:val="0"/>
        </w:rPr>
        <w:t xml:space="preserve"> 19: 1568–71. </w:t>
      </w:r>
      <w:hyperlink r:id="rId13">
        <w:r w:rsidDel="00000000" w:rsidR="00000000" w:rsidRPr="00000000">
          <w:rPr>
            <w:rFonts w:ascii="Georgia" w:cs="Georgia" w:eastAsia="Georgia" w:hAnsi="Georgia"/>
            <w:color w:val="1155cc"/>
            <w:sz w:val="24"/>
            <w:szCs w:val="24"/>
            <w:u w:val="single"/>
            <w:rtl w:val="0"/>
          </w:rPr>
          <w:t xml:space="preserve">https://doi.org/10.1038/s41592-022-01681-2</w:t>
        </w:r>
      </w:hyperlink>
      <w:r w:rsidDel="00000000" w:rsidR="00000000" w:rsidRPr="00000000">
        <w:rPr>
          <w:rFonts w:ascii="Georgia" w:cs="Georgia" w:eastAsia="Georgia" w:hAnsi="Georgia"/>
          <w:color w:val="212529"/>
          <w:sz w:val="24"/>
          <w:szCs w:val="24"/>
          <w:rtl w:val="0"/>
        </w:rPr>
        <w:t xml:space="preserve">.</w:t>
      </w:r>
    </w:p>
    <w:p w:rsidR="00000000" w:rsidDel="00000000" w:rsidP="00000000" w:rsidRDefault="00000000" w:rsidRPr="00000000" w14:paraId="00000072">
      <w:pPr>
        <w:jc w:val="both"/>
        <w:rPr>
          <w:rFonts w:ascii="Georgia" w:cs="Georgia" w:eastAsia="Georgia" w:hAnsi="Georgia"/>
          <w:color w:val="212529"/>
          <w:sz w:val="24"/>
          <w:szCs w:val="24"/>
        </w:rPr>
      </w:pPr>
      <w:r w:rsidDel="00000000" w:rsidR="00000000" w:rsidRPr="00000000">
        <w:rPr>
          <w:rFonts w:ascii="Georgia" w:cs="Georgia" w:eastAsia="Georgia" w:hAnsi="Georgia"/>
          <w:color w:val="212529"/>
          <w:sz w:val="24"/>
          <w:szCs w:val="24"/>
          <w:rtl w:val="0"/>
        </w:rPr>
        <w:t xml:space="preserve">Dale, Anders M., Bruce Fischl, and Martin I. Sereno. 1999. “Cortical Surface-Based Analysis: I. Segmentation and Surface Reconstruction.” </w:t>
      </w:r>
      <w:r w:rsidDel="00000000" w:rsidR="00000000" w:rsidRPr="00000000">
        <w:rPr>
          <w:rFonts w:ascii="Georgia" w:cs="Georgia" w:eastAsia="Georgia" w:hAnsi="Georgia"/>
          <w:i w:val="1"/>
          <w:iCs w:val="1"/>
          <w:color w:val="212529"/>
          <w:sz w:val="24"/>
          <w:szCs w:val="24"/>
          <w:rtl w:val="0"/>
        </w:rPr>
        <w:t xml:space="preserve">NeuroImage</w:t>
      </w:r>
      <w:r w:rsidDel="00000000" w:rsidR="00000000" w:rsidRPr="00000000">
        <w:rPr>
          <w:rFonts w:ascii="Georgia" w:cs="Georgia" w:eastAsia="Georgia" w:hAnsi="Georgia"/>
          <w:color w:val="212529"/>
          <w:sz w:val="24"/>
          <w:szCs w:val="24"/>
          <w:rtl w:val="0"/>
        </w:rPr>
        <w:t xml:space="preserve"> 9 (2): 179–94. </w:t>
      </w:r>
      <w:hyperlink r:id="rId14">
        <w:r w:rsidDel="00000000" w:rsidR="00000000" w:rsidRPr="00000000">
          <w:rPr>
            <w:rFonts w:ascii="Georgia" w:cs="Georgia" w:eastAsia="Georgia" w:hAnsi="Georgia"/>
            <w:color w:val="1155cc"/>
            <w:sz w:val="24"/>
            <w:szCs w:val="24"/>
            <w:u w:val="single"/>
            <w:rtl w:val="0"/>
          </w:rPr>
          <w:t xml:space="preserve">https://doi.org/10.1006/nimg.1998.0395</w:t>
        </w:r>
      </w:hyperlink>
      <w:r w:rsidDel="00000000" w:rsidR="00000000" w:rsidRPr="00000000">
        <w:rPr>
          <w:rFonts w:ascii="Georgia" w:cs="Georgia" w:eastAsia="Georgia" w:hAnsi="Georgia"/>
          <w:color w:val="212529"/>
          <w:sz w:val="24"/>
          <w:szCs w:val="24"/>
          <w:rtl w:val="0"/>
        </w:rPr>
        <w:t xml:space="preserve">.</w:t>
      </w:r>
    </w:p>
    <w:p w:rsidR="00000000" w:rsidDel="00000000" w:rsidP="00000000" w:rsidRDefault="00000000" w:rsidRPr="00000000" w14:paraId="00000073">
      <w:pPr>
        <w:jc w:val="both"/>
        <w:rPr>
          <w:rFonts w:ascii="Georgia" w:cs="Georgia" w:eastAsia="Georgia" w:hAnsi="Georgia"/>
          <w:color w:val="212529"/>
          <w:sz w:val="24"/>
          <w:szCs w:val="24"/>
        </w:rPr>
      </w:pPr>
      <w:r w:rsidDel="00000000" w:rsidR="00000000" w:rsidRPr="00000000">
        <w:rPr>
          <w:rFonts w:ascii="Georgia" w:cs="Georgia" w:eastAsia="Georgia" w:hAnsi="Georgia"/>
          <w:color w:val="212529"/>
          <w:sz w:val="24"/>
          <w:szCs w:val="24"/>
          <w:rtl w:val="0"/>
        </w:rPr>
        <w:t xml:space="preserve">Esteban, Oscar, Ross Blair, Christopher J. Markiewicz, Shoshana L. Berleant, Craig Moodie, Feilong Ma, Ayse Ilkay Isik, et al. 2018. “fMRIPrep 25.1.1.” </w:t>
      </w:r>
      <w:r w:rsidDel="00000000" w:rsidR="00000000" w:rsidRPr="00000000">
        <w:rPr>
          <w:rFonts w:ascii="Georgia" w:cs="Georgia" w:eastAsia="Georgia" w:hAnsi="Georgia"/>
          <w:i w:val="1"/>
          <w:iCs w:val="1"/>
          <w:color w:val="212529"/>
          <w:sz w:val="24"/>
          <w:szCs w:val="24"/>
          <w:rtl w:val="0"/>
        </w:rPr>
        <w:t xml:space="preserve">Software</w:t>
      </w:r>
      <w:r w:rsidDel="00000000" w:rsidR="00000000" w:rsidRPr="00000000">
        <w:rPr>
          <w:rFonts w:ascii="Georgia" w:cs="Georgia" w:eastAsia="Georgia" w:hAnsi="Georgia"/>
          <w:color w:val="212529"/>
          <w:sz w:val="24"/>
          <w:szCs w:val="24"/>
          <w:rtl w:val="0"/>
        </w:rPr>
        <w:t xml:space="preserve">. </w:t>
      </w:r>
      <w:hyperlink r:id="rId15">
        <w:r w:rsidDel="00000000" w:rsidR="00000000" w:rsidRPr="00000000">
          <w:rPr>
            <w:rFonts w:ascii="Georgia" w:cs="Georgia" w:eastAsia="Georgia" w:hAnsi="Georgia"/>
            <w:color w:val="1155cc"/>
            <w:sz w:val="24"/>
            <w:szCs w:val="24"/>
            <w:u w:val="single"/>
            <w:rtl w:val="0"/>
          </w:rPr>
          <w:t xml:space="preserve">https://doi.org/10.5281/zenodo.852659</w:t>
        </w:r>
      </w:hyperlink>
      <w:r w:rsidDel="00000000" w:rsidR="00000000" w:rsidRPr="00000000">
        <w:rPr>
          <w:rFonts w:ascii="Georgia" w:cs="Georgia" w:eastAsia="Georgia" w:hAnsi="Georgia"/>
          <w:color w:val="212529"/>
          <w:sz w:val="24"/>
          <w:szCs w:val="24"/>
          <w:rtl w:val="0"/>
        </w:rPr>
        <w:t xml:space="preserve">.</w:t>
      </w:r>
    </w:p>
    <w:p w:rsidR="00000000" w:rsidDel="00000000" w:rsidP="00000000" w:rsidRDefault="00000000" w:rsidRPr="00000000" w14:paraId="00000074">
      <w:pPr>
        <w:jc w:val="both"/>
        <w:rPr>
          <w:rFonts w:ascii="Georgia" w:cs="Georgia" w:eastAsia="Georgia" w:hAnsi="Georgia"/>
          <w:color w:val="212529"/>
          <w:sz w:val="24"/>
          <w:szCs w:val="24"/>
        </w:rPr>
      </w:pPr>
      <w:r w:rsidDel="00000000" w:rsidR="00000000" w:rsidRPr="00000000">
        <w:rPr>
          <w:rFonts w:ascii="Georgia" w:cs="Georgia" w:eastAsia="Georgia" w:hAnsi="Georgia"/>
          <w:color w:val="212529"/>
          <w:sz w:val="24"/>
          <w:szCs w:val="24"/>
          <w:rtl w:val="0"/>
        </w:rPr>
        <w:t xml:space="preserve">Esteban, Oscar, Christopher Markiewicz, Ross W Blair, Craig Moodie, Ayse Ilkay Isik, Asier Erramuzpe Aliaga, James Kent, et al. 2019. “fMRIPrep: A Robust Preprocessing Pipeline for Functional MRI.” </w:t>
      </w:r>
      <w:r w:rsidDel="00000000" w:rsidR="00000000" w:rsidRPr="00000000">
        <w:rPr>
          <w:rFonts w:ascii="Georgia" w:cs="Georgia" w:eastAsia="Georgia" w:hAnsi="Georgia"/>
          <w:i w:val="1"/>
          <w:iCs w:val="1"/>
          <w:color w:val="212529"/>
          <w:sz w:val="24"/>
          <w:szCs w:val="24"/>
          <w:rtl w:val="0"/>
        </w:rPr>
        <w:t xml:space="preserve">Nature Methods</w:t>
      </w:r>
      <w:r w:rsidDel="00000000" w:rsidR="00000000" w:rsidRPr="00000000">
        <w:rPr>
          <w:rFonts w:ascii="Georgia" w:cs="Georgia" w:eastAsia="Georgia" w:hAnsi="Georgia"/>
          <w:color w:val="212529"/>
          <w:sz w:val="24"/>
          <w:szCs w:val="24"/>
          <w:rtl w:val="0"/>
        </w:rPr>
        <w:t xml:space="preserve"> 16: 111–16. </w:t>
      </w:r>
      <w:hyperlink r:id="rId16">
        <w:r w:rsidDel="00000000" w:rsidR="00000000" w:rsidRPr="00000000">
          <w:rPr>
            <w:rFonts w:ascii="Georgia" w:cs="Georgia" w:eastAsia="Georgia" w:hAnsi="Georgia"/>
            <w:color w:val="1155cc"/>
            <w:sz w:val="24"/>
            <w:szCs w:val="24"/>
            <w:u w:val="single"/>
            <w:rtl w:val="0"/>
          </w:rPr>
          <w:t xml:space="preserve">https://doi.org/10.1038/s41592-018-0235-4</w:t>
        </w:r>
      </w:hyperlink>
      <w:r w:rsidDel="00000000" w:rsidR="00000000" w:rsidRPr="00000000">
        <w:rPr>
          <w:rFonts w:ascii="Georgia" w:cs="Georgia" w:eastAsia="Georgia" w:hAnsi="Georgia"/>
          <w:color w:val="212529"/>
          <w:sz w:val="24"/>
          <w:szCs w:val="24"/>
          <w:rtl w:val="0"/>
        </w:rPr>
        <w:t xml:space="preserve">.</w:t>
      </w:r>
    </w:p>
    <w:p w:rsidR="00000000" w:rsidDel="00000000" w:rsidP="00000000" w:rsidRDefault="00000000" w:rsidRPr="00000000" w14:paraId="00000075">
      <w:pPr>
        <w:jc w:val="both"/>
        <w:rPr>
          <w:rFonts w:ascii="Georgia" w:cs="Georgia" w:eastAsia="Georgia" w:hAnsi="Georgia"/>
          <w:color w:val="212529"/>
          <w:sz w:val="24"/>
          <w:szCs w:val="24"/>
        </w:rPr>
      </w:pPr>
      <w:r w:rsidDel="00000000" w:rsidR="00000000" w:rsidRPr="00000000">
        <w:rPr>
          <w:rFonts w:ascii="Georgia" w:cs="Georgia" w:eastAsia="Georgia" w:hAnsi="Georgia"/>
          <w:color w:val="212529"/>
          <w:sz w:val="24"/>
          <w:szCs w:val="24"/>
          <w:rtl w:val="0"/>
        </w:rPr>
        <w:t xml:space="preserve">Fonov, VS, AC Evans, RC McKinstry, CR Almli, and DL Collins. 2009. “Unbiased Nonlinear Average Age-Appropriate Brain Templates from Birth to Adulthood.” </w:t>
      </w:r>
      <w:r w:rsidDel="00000000" w:rsidR="00000000" w:rsidRPr="00000000">
        <w:rPr>
          <w:rFonts w:ascii="Georgia" w:cs="Georgia" w:eastAsia="Georgia" w:hAnsi="Georgia"/>
          <w:i w:val="1"/>
          <w:iCs w:val="1"/>
          <w:color w:val="212529"/>
          <w:sz w:val="24"/>
          <w:szCs w:val="24"/>
          <w:rtl w:val="0"/>
        </w:rPr>
        <w:t xml:space="preserve">NeuroImage</w:t>
      </w:r>
      <w:r w:rsidDel="00000000" w:rsidR="00000000" w:rsidRPr="00000000">
        <w:rPr>
          <w:rFonts w:ascii="Georgia" w:cs="Georgia" w:eastAsia="Georgia" w:hAnsi="Georgia"/>
          <w:color w:val="212529"/>
          <w:sz w:val="24"/>
          <w:szCs w:val="24"/>
          <w:rtl w:val="0"/>
        </w:rPr>
        <w:t xml:space="preserve"> 47, Supplement 1: S102. </w:t>
      </w:r>
      <w:hyperlink r:id="rId17">
        <w:r w:rsidDel="00000000" w:rsidR="00000000" w:rsidRPr="00000000">
          <w:rPr>
            <w:rFonts w:ascii="Georgia" w:cs="Georgia" w:eastAsia="Georgia" w:hAnsi="Georgia"/>
            <w:color w:val="1155cc"/>
            <w:sz w:val="24"/>
            <w:szCs w:val="24"/>
            <w:u w:val="single"/>
            <w:rtl w:val="0"/>
          </w:rPr>
          <w:t xml:space="preserve">https://doi.org/10.1016/S1053-8119(09)70884-5</w:t>
        </w:r>
      </w:hyperlink>
      <w:r w:rsidDel="00000000" w:rsidR="00000000" w:rsidRPr="00000000">
        <w:rPr>
          <w:rFonts w:ascii="Georgia" w:cs="Georgia" w:eastAsia="Georgia" w:hAnsi="Georgia"/>
          <w:color w:val="212529"/>
          <w:sz w:val="24"/>
          <w:szCs w:val="24"/>
          <w:rtl w:val="0"/>
        </w:rPr>
        <w:t xml:space="preserve">.</w:t>
      </w:r>
    </w:p>
    <w:p w:rsidR="00000000" w:rsidDel="00000000" w:rsidP="00000000" w:rsidRDefault="00000000" w:rsidRPr="00000000" w14:paraId="00000076">
      <w:pPr>
        <w:jc w:val="both"/>
        <w:rPr>
          <w:rFonts w:ascii="Georgia" w:cs="Georgia" w:eastAsia="Georgia" w:hAnsi="Georgia"/>
          <w:color w:val="212529"/>
          <w:sz w:val="24"/>
          <w:szCs w:val="24"/>
        </w:rPr>
      </w:pPr>
      <w:r w:rsidDel="00000000" w:rsidR="00000000" w:rsidRPr="00000000">
        <w:rPr>
          <w:rFonts w:ascii="Georgia" w:cs="Georgia" w:eastAsia="Georgia" w:hAnsi="Georgia"/>
          <w:color w:val="212529"/>
          <w:sz w:val="24"/>
          <w:szCs w:val="24"/>
          <w:rtl w:val="0"/>
        </w:rPr>
        <w:t xml:space="preserve">Gorgolewski, K., C. D. Burns, C. Madison, D. Clark, Y. O. Halchenko, M. L. Waskom, and S. Ghosh. 2011. “Nipype: A Flexible, Lightweight and Extensible Neuroimaging Data Processing Framework in Python.” </w:t>
      </w:r>
      <w:r w:rsidDel="00000000" w:rsidR="00000000" w:rsidRPr="00000000">
        <w:rPr>
          <w:rFonts w:ascii="Georgia" w:cs="Georgia" w:eastAsia="Georgia" w:hAnsi="Georgia"/>
          <w:i w:val="1"/>
          <w:iCs w:val="1"/>
          <w:color w:val="212529"/>
          <w:sz w:val="24"/>
          <w:szCs w:val="24"/>
          <w:rtl w:val="0"/>
        </w:rPr>
        <w:t xml:space="preserve">Frontiers in Neuroinformatics</w:t>
      </w:r>
      <w:r w:rsidDel="00000000" w:rsidR="00000000" w:rsidRPr="00000000">
        <w:rPr>
          <w:rFonts w:ascii="Georgia" w:cs="Georgia" w:eastAsia="Georgia" w:hAnsi="Georgia"/>
          <w:color w:val="212529"/>
          <w:sz w:val="24"/>
          <w:szCs w:val="24"/>
          <w:rtl w:val="0"/>
        </w:rPr>
        <w:t xml:space="preserve"> 5: 13. </w:t>
      </w:r>
      <w:hyperlink r:id="rId18">
        <w:r w:rsidDel="00000000" w:rsidR="00000000" w:rsidRPr="00000000">
          <w:rPr>
            <w:rFonts w:ascii="Georgia" w:cs="Georgia" w:eastAsia="Georgia" w:hAnsi="Georgia"/>
            <w:color w:val="1155cc"/>
            <w:sz w:val="24"/>
            <w:szCs w:val="24"/>
            <w:u w:val="single"/>
            <w:rtl w:val="0"/>
          </w:rPr>
          <w:t xml:space="preserve">https://doi.org/10.3389/fninf.2011.00013</w:t>
        </w:r>
      </w:hyperlink>
      <w:r w:rsidDel="00000000" w:rsidR="00000000" w:rsidRPr="00000000">
        <w:rPr>
          <w:rFonts w:ascii="Georgia" w:cs="Georgia" w:eastAsia="Georgia" w:hAnsi="Georgia"/>
          <w:color w:val="212529"/>
          <w:sz w:val="24"/>
          <w:szCs w:val="24"/>
          <w:rtl w:val="0"/>
        </w:rPr>
        <w:t xml:space="preserve">.</w:t>
      </w:r>
    </w:p>
    <w:p w:rsidR="00000000" w:rsidDel="00000000" w:rsidP="00000000" w:rsidRDefault="00000000" w:rsidRPr="00000000" w14:paraId="00000077">
      <w:pPr>
        <w:jc w:val="both"/>
        <w:rPr>
          <w:rFonts w:ascii="Georgia" w:cs="Georgia" w:eastAsia="Georgia" w:hAnsi="Georgia"/>
          <w:color w:val="212529"/>
          <w:sz w:val="24"/>
          <w:szCs w:val="24"/>
        </w:rPr>
      </w:pPr>
      <w:r w:rsidDel="00000000" w:rsidR="00000000" w:rsidRPr="00000000">
        <w:rPr>
          <w:rFonts w:ascii="Georgia" w:cs="Georgia" w:eastAsia="Georgia" w:hAnsi="Georgia"/>
          <w:color w:val="212529"/>
          <w:sz w:val="24"/>
          <w:szCs w:val="24"/>
          <w:rtl w:val="0"/>
        </w:rPr>
        <w:t xml:space="preserve">Gorgolewski, Krzysztof J., Oscar Esteban, Christopher J. Markiewicz, Erik Ziegler, David Gage Ellis, Michael Philipp Notter, Dorota Jarecka, et al. 2018. “Nipype.” </w:t>
      </w:r>
      <w:r w:rsidDel="00000000" w:rsidR="00000000" w:rsidRPr="00000000">
        <w:rPr>
          <w:rFonts w:ascii="Georgia" w:cs="Georgia" w:eastAsia="Georgia" w:hAnsi="Georgia"/>
          <w:i w:val="1"/>
          <w:iCs w:val="1"/>
          <w:color w:val="212529"/>
          <w:sz w:val="24"/>
          <w:szCs w:val="24"/>
          <w:rtl w:val="0"/>
        </w:rPr>
        <w:t xml:space="preserve">Software</w:t>
      </w:r>
      <w:r w:rsidDel="00000000" w:rsidR="00000000" w:rsidRPr="00000000">
        <w:rPr>
          <w:rFonts w:ascii="Georgia" w:cs="Georgia" w:eastAsia="Georgia" w:hAnsi="Georgia"/>
          <w:color w:val="212529"/>
          <w:sz w:val="24"/>
          <w:szCs w:val="24"/>
          <w:rtl w:val="0"/>
        </w:rPr>
        <w:t xml:space="preserve">. </w:t>
      </w:r>
      <w:hyperlink r:id="rId19">
        <w:r w:rsidDel="00000000" w:rsidR="00000000" w:rsidRPr="00000000">
          <w:rPr>
            <w:rFonts w:ascii="Georgia" w:cs="Georgia" w:eastAsia="Georgia" w:hAnsi="Georgia"/>
            <w:color w:val="1155cc"/>
            <w:sz w:val="24"/>
            <w:szCs w:val="24"/>
            <w:u w:val="single"/>
            <w:rtl w:val="0"/>
          </w:rPr>
          <w:t xml:space="preserve">https://doi.org/10.5281/zenodo.596855</w:t>
        </w:r>
      </w:hyperlink>
      <w:r w:rsidDel="00000000" w:rsidR="00000000" w:rsidRPr="00000000">
        <w:rPr>
          <w:rFonts w:ascii="Georgia" w:cs="Georgia" w:eastAsia="Georgia" w:hAnsi="Georgia"/>
          <w:color w:val="212529"/>
          <w:sz w:val="24"/>
          <w:szCs w:val="24"/>
          <w:rtl w:val="0"/>
        </w:rPr>
        <w:t xml:space="preserve">.</w:t>
      </w:r>
    </w:p>
    <w:p w:rsidR="00000000" w:rsidDel="00000000" w:rsidP="00000000" w:rsidRDefault="00000000" w:rsidRPr="00000000" w14:paraId="00000078">
      <w:pPr>
        <w:jc w:val="both"/>
        <w:rPr>
          <w:rFonts w:ascii="Georgia" w:cs="Georgia" w:eastAsia="Georgia" w:hAnsi="Georgia"/>
          <w:color w:val="212529"/>
          <w:sz w:val="24"/>
          <w:szCs w:val="24"/>
        </w:rPr>
      </w:pPr>
      <w:r w:rsidDel="00000000" w:rsidR="00000000" w:rsidRPr="00000000">
        <w:rPr>
          <w:rFonts w:ascii="Georgia" w:cs="Georgia" w:eastAsia="Georgia" w:hAnsi="Georgia"/>
          <w:color w:val="212529"/>
          <w:sz w:val="24"/>
          <w:szCs w:val="24"/>
          <w:rtl w:val="0"/>
        </w:rPr>
        <w:t xml:space="preserve">Greve, Douglas N, and Bruce Fischl. 2009. “Accurate and Robust Brain Image Alignment Using Boundary-Based Registration.” </w:t>
      </w:r>
      <w:r w:rsidDel="00000000" w:rsidR="00000000" w:rsidRPr="00000000">
        <w:rPr>
          <w:rFonts w:ascii="Georgia" w:cs="Georgia" w:eastAsia="Georgia" w:hAnsi="Georgia"/>
          <w:i w:val="1"/>
          <w:iCs w:val="1"/>
          <w:color w:val="212529"/>
          <w:sz w:val="24"/>
          <w:szCs w:val="24"/>
          <w:rtl w:val="0"/>
        </w:rPr>
        <w:t xml:space="preserve">NeuroImage</w:t>
      </w:r>
      <w:r w:rsidDel="00000000" w:rsidR="00000000" w:rsidRPr="00000000">
        <w:rPr>
          <w:rFonts w:ascii="Georgia" w:cs="Georgia" w:eastAsia="Georgia" w:hAnsi="Georgia"/>
          <w:color w:val="212529"/>
          <w:sz w:val="24"/>
          <w:szCs w:val="24"/>
          <w:rtl w:val="0"/>
        </w:rPr>
        <w:t xml:space="preserve"> 48 (1): 63–72. </w:t>
      </w:r>
      <w:hyperlink r:id="rId20">
        <w:r w:rsidDel="00000000" w:rsidR="00000000" w:rsidRPr="00000000">
          <w:rPr>
            <w:rFonts w:ascii="Georgia" w:cs="Georgia" w:eastAsia="Georgia" w:hAnsi="Georgia"/>
            <w:color w:val="1155cc"/>
            <w:sz w:val="24"/>
            <w:szCs w:val="24"/>
            <w:u w:val="single"/>
            <w:rtl w:val="0"/>
          </w:rPr>
          <w:t xml:space="preserve">https://doi.org/10.1016/j.neuroimage.2009.06.060</w:t>
        </w:r>
      </w:hyperlink>
      <w:r w:rsidDel="00000000" w:rsidR="00000000" w:rsidRPr="00000000">
        <w:rPr>
          <w:rFonts w:ascii="Georgia" w:cs="Georgia" w:eastAsia="Georgia" w:hAnsi="Georgia"/>
          <w:color w:val="212529"/>
          <w:sz w:val="24"/>
          <w:szCs w:val="24"/>
          <w:rtl w:val="0"/>
        </w:rPr>
        <w:t xml:space="preserve">.</w:t>
      </w:r>
    </w:p>
    <w:p w:rsidR="00000000" w:rsidDel="00000000" w:rsidP="00000000" w:rsidRDefault="00000000" w:rsidRPr="00000000" w14:paraId="00000079">
      <w:pPr>
        <w:jc w:val="both"/>
        <w:rPr>
          <w:rFonts w:ascii="Georgia" w:cs="Georgia" w:eastAsia="Georgia" w:hAnsi="Georgia"/>
          <w:color w:val="212529"/>
          <w:sz w:val="24"/>
          <w:szCs w:val="24"/>
        </w:rPr>
      </w:pPr>
      <w:r w:rsidDel="00000000" w:rsidR="00000000" w:rsidRPr="00000000">
        <w:rPr>
          <w:rFonts w:ascii="Georgia" w:cs="Georgia" w:eastAsia="Georgia" w:hAnsi="Georgia"/>
          <w:color w:val="212529"/>
          <w:sz w:val="24"/>
          <w:szCs w:val="24"/>
          <w:rtl w:val="0"/>
        </w:rPr>
        <w:t xml:space="preserve">Jenkinson, Mark, Peter Bannister, Michael Brady, and Stephen Smith. 2002. “Improved Optimization for the Robust and Accurate Linear Registration and Motion Correction of Brain Images.” </w:t>
      </w:r>
      <w:r w:rsidDel="00000000" w:rsidR="00000000" w:rsidRPr="00000000">
        <w:rPr>
          <w:rFonts w:ascii="Georgia" w:cs="Georgia" w:eastAsia="Georgia" w:hAnsi="Georgia"/>
          <w:i w:val="1"/>
          <w:iCs w:val="1"/>
          <w:color w:val="212529"/>
          <w:sz w:val="24"/>
          <w:szCs w:val="24"/>
          <w:rtl w:val="0"/>
        </w:rPr>
        <w:t xml:space="preserve">NeuroImage</w:t>
      </w:r>
      <w:r w:rsidDel="00000000" w:rsidR="00000000" w:rsidRPr="00000000">
        <w:rPr>
          <w:rFonts w:ascii="Georgia" w:cs="Georgia" w:eastAsia="Georgia" w:hAnsi="Georgia"/>
          <w:color w:val="212529"/>
          <w:sz w:val="24"/>
          <w:szCs w:val="24"/>
          <w:rtl w:val="0"/>
        </w:rPr>
        <w:t xml:space="preserve"> 17 (2): 825–41. </w:t>
      </w:r>
      <w:hyperlink r:id="rId21">
        <w:r w:rsidDel="00000000" w:rsidR="00000000" w:rsidRPr="00000000">
          <w:rPr>
            <w:rFonts w:ascii="Georgia" w:cs="Georgia" w:eastAsia="Georgia" w:hAnsi="Georgia"/>
            <w:color w:val="1155cc"/>
            <w:sz w:val="24"/>
            <w:szCs w:val="24"/>
            <w:u w:val="single"/>
            <w:rtl w:val="0"/>
          </w:rPr>
          <w:t xml:space="preserve">https://doi.org/10.1006/nimg.2002.1132</w:t>
        </w:r>
      </w:hyperlink>
      <w:r w:rsidDel="00000000" w:rsidR="00000000" w:rsidRPr="00000000">
        <w:rPr>
          <w:rFonts w:ascii="Georgia" w:cs="Georgia" w:eastAsia="Georgia" w:hAnsi="Georgia"/>
          <w:color w:val="212529"/>
          <w:sz w:val="24"/>
          <w:szCs w:val="24"/>
          <w:rtl w:val="0"/>
        </w:rPr>
        <w:t xml:space="preserve">.</w:t>
      </w:r>
    </w:p>
    <w:p w:rsidR="00000000" w:rsidDel="00000000" w:rsidP="00000000" w:rsidRDefault="00000000" w:rsidRPr="00000000" w14:paraId="0000007A">
      <w:pPr>
        <w:jc w:val="both"/>
        <w:rPr>
          <w:rFonts w:ascii="Georgia" w:cs="Georgia" w:eastAsia="Georgia" w:hAnsi="Georgia"/>
          <w:color w:val="212529"/>
          <w:sz w:val="24"/>
          <w:szCs w:val="24"/>
        </w:rPr>
      </w:pPr>
      <w:r w:rsidDel="00000000" w:rsidR="00000000" w:rsidRPr="00000000">
        <w:rPr>
          <w:rFonts w:ascii="Georgia" w:cs="Georgia" w:eastAsia="Georgia" w:hAnsi="Georgia"/>
          <w:color w:val="212529"/>
          <w:sz w:val="24"/>
          <w:szCs w:val="24"/>
          <w:rtl w:val="0"/>
        </w:rPr>
        <w:t xml:space="preserve">Klein, Arno, Satrajit S. Ghosh, Forrest S. Bao, Joachim Giard, Yrjö Häme, Eliezer Stavsky, Noah Lee, et al. 2017. “Mindboggling Morphometry of Human Brains.” </w:t>
      </w:r>
      <w:r w:rsidDel="00000000" w:rsidR="00000000" w:rsidRPr="00000000">
        <w:rPr>
          <w:rFonts w:ascii="Georgia" w:cs="Georgia" w:eastAsia="Georgia" w:hAnsi="Georgia"/>
          <w:i w:val="1"/>
          <w:iCs w:val="1"/>
          <w:color w:val="212529"/>
          <w:sz w:val="24"/>
          <w:szCs w:val="24"/>
          <w:rtl w:val="0"/>
        </w:rPr>
        <w:t xml:space="preserve">PLOS Computational Biology</w:t>
      </w:r>
      <w:r w:rsidDel="00000000" w:rsidR="00000000" w:rsidRPr="00000000">
        <w:rPr>
          <w:rFonts w:ascii="Georgia" w:cs="Georgia" w:eastAsia="Georgia" w:hAnsi="Georgia"/>
          <w:color w:val="212529"/>
          <w:sz w:val="24"/>
          <w:szCs w:val="24"/>
          <w:rtl w:val="0"/>
        </w:rPr>
        <w:t xml:space="preserve"> 13 (2): e1005350. </w:t>
      </w:r>
      <w:hyperlink r:id="rId22">
        <w:r w:rsidDel="00000000" w:rsidR="00000000" w:rsidRPr="00000000">
          <w:rPr>
            <w:rFonts w:ascii="Georgia" w:cs="Georgia" w:eastAsia="Georgia" w:hAnsi="Georgia"/>
            <w:color w:val="1155cc"/>
            <w:sz w:val="24"/>
            <w:szCs w:val="24"/>
            <w:u w:val="single"/>
            <w:rtl w:val="0"/>
          </w:rPr>
          <w:t xml:space="preserve">https://doi.org/10.1371/journal.pcbi.1005350</w:t>
        </w:r>
      </w:hyperlink>
      <w:r w:rsidDel="00000000" w:rsidR="00000000" w:rsidRPr="00000000">
        <w:rPr>
          <w:rFonts w:ascii="Georgia" w:cs="Georgia" w:eastAsia="Georgia" w:hAnsi="Georgia"/>
          <w:color w:val="212529"/>
          <w:sz w:val="24"/>
          <w:szCs w:val="24"/>
          <w:rtl w:val="0"/>
        </w:rPr>
        <w:t xml:space="preserve">.</w:t>
      </w:r>
    </w:p>
    <w:p w:rsidR="00000000" w:rsidDel="00000000" w:rsidP="00000000" w:rsidRDefault="00000000" w:rsidRPr="00000000" w14:paraId="0000007B">
      <w:pPr>
        <w:jc w:val="both"/>
        <w:rPr>
          <w:rFonts w:ascii="Georgia" w:cs="Georgia" w:eastAsia="Georgia" w:hAnsi="Georgia"/>
          <w:color w:val="212529"/>
          <w:sz w:val="24"/>
          <w:szCs w:val="24"/>
        </w:rPr>
      </w:pPr>
      <w:r w:rsidDel="00000000" w:rsidR="00000000" w:rsidRPr="00000000">
        <w:rPr>
          <w:rFonts w:ascii="Georgia" w:cs="Georgia" w:eastAsia="Georgia" w:hAnsi="Georgia"/>
          <w:color w:val="212529"/>
          <w:sz w:val="24"/>
          <w:szCs w:val="24"/>
          <w:rtl w:val="0"/>
        </w:rPr>
        <w:t xml:space="preserve">Patriat, Rémi, Richard C. Reynolds, and Rasmus M. Birn. 2017. “An Improved Model of Motion-Related Signal Changes in fMRI.” </w:t>
      </w:r>
      <w:r w:rsidDel="00000000" w:rsidR="00000000" w:rsidRPr="00000000">
        <w:rPr>
          <w:rFonts w:ascii="Georgia" w:cs="Georgia" w:eastAsia="Georgia" w:hAnsi="Georgia"/>
          <w:i w:val="1"/>
          <w:iCs w:val="1"/>
          <w:color w:val="212529"/>
          <w:sz w:val="24"/>
          <w:szCs w:val="24"/>
          <w:rtl w:val="0"/>
        </w:rPr>
        <w:t xml:space="preserve">NeuroImage</w:t>
      </w:r>
      <w:r w:rsidDel="00000000" w:rsidR="00000000" w:rsidRPr="00000000">
        <w:rPr>
          <w:rFonts w:ascii="Georgia" w:cs="Georgia" w:eastAsia="Georgia" w:hAnsi="Georgia"/>
          <w:color w:val="212529"/>
          <w:sz w:val="24"/>
          <w:szCs w:val="24"/>
          <w:rtl w:val="0"/>
        </w:rPr>
        <w:t xml:space="preserve"> 144, Part A (January): 74–82. </w:t>
      </w:r>
      <w:hyperlink r:id="rId23">
        <w:r w:rsidDel="00000000" w:rsidR="00000000" w:rsidRPr="00000000">
          <w:rPr>
            <w:rFonts w:ascii="Georgia" w:cs="Georgia" w:eastAsia="Georgia" w:hAnsi="Georgia"/>
            <w:color w:val="1155cc"/>
            <w:sz w:val="24"/>
            <w:szCs w:val="24"/>
            <w:u w:val="single"/>
            <w:rtl w:val="0"/>
          </w:rPr>
          <w:t xml:space="preserve">https://doi.org/10.1016/j.neuroimage.2016.08.051</w:t>
        </w:r>
      </w:hyperlink>
      <w:r w:rsidDel="00000000" w:rsidR="00000000" w:rsidRPr="00000000">
        <w:rPr>
          <w:rFonts w:ascii="Georgia" w:cs="Georgia" w:eastAsia="Georgia" w:hAnsi="Georgia"/>
          <w:color w:val="212529"/>
          <w:sz w:val="24"/>
          <w:szCs w:val="24"/>
          <w:rtl w:val="0"/>
        </w:rPr>
        <w:t xml:space="preserve">.</w:t>
      </w:r>
    </w:p>
    <w:p w:rsidR="00000000" w:rsidDel="00000000" w:rsidP="00000000" w:rsidRDefault="00000000" w:rsidRPr="00000000" w14:paraId="0000007C">
      <w:pPr>
        <w:jc w:val="both"/>
        <w:rPr>
          <w:rFonts w:ascii="Georgia" w:cs="Georgia" w:eastAsia="Georgia" w:hAnsi="Georgia"/>
          <w:color w:val="212529"/>
          <w:sz w:val="24"/>
          <w:szCs w:val="24"/>
        </w:rPr>
      </w:pPr>
      <w:r w:rsidDel="00000000" w:rsidR="00000000" w:rsidRPr="00000000">
        <w:rPr>
          <w:rFonts w:ascii="Georgia" w:cs="Georgia" w:eastAsia="Georgia" w:hAnsi="Georgia"/>
          <w:color w:val="212529"/>
          <w:sz w:val="24"/>
          <w:szCs w:val="24"/>
          <w:rtl w:val="0"/>
        </w:rPr>
        <w:t xml:space="preserve">Power, Jonathan D., Anish Mitra, Timothy O. Laumann, Abraham Z. Snyder, Bradley L. Schlaggar, and Steven E. Petersen. 2014. “Methods to Detect, Characterize, and Remove Motion Artifact in Resting State fMRI.” </w:t>
      </w:r>
      <w:r w:rsidDel="00000000" w:rsidR="00000000" w:rsidRPr="00000000">
        <w:rPr>
          <w:rFonts w:ascii="Georgia" w:cs="Georgia" w:eastAsia="Georgia" w:hAnsi="Georgia"/>
          <w:i w:val="1"/>
          <w:iCs w:val="1"/>
          <w:color w:val="212529"/>
          <w:sz w:val="24"/>
          <w:szCs w:val="24"/>
          <w:rtl w:val="0"/>
        </w:rPr>
        <w:t xml:space="preserve">NeuroImage</w:t>
      </w:r>
      <w:r w:rsidDel="00000000" w:rsidR="00000000" w:rsidRPr="00000000">
        <w:rPr>
          <w:rFonts w:ascii="Georgia" w:cs="Georgia" w:eastAsia="Georgia" w:hAnsi="Georgia"/>
          <w:color w:val="212529"/>
          <w:sz w:val="24"/>
          <w:szCs w:val="24"/>
          <w:rtl w:val="0"/>
        </w:rPr>
        <w:t xml:space="preserve"> 84 (Supplement C): 320–41. </w:t>
      </w:r>
      <w:hyperlink r:id="rId24">
        <w:r w:rsidDel="00000000" w:rsidR="00000000" w:rsidRPr="00000000">
          <w:rPr>
            <w:rFonts w:ascii="Georgia" w:cs="Georgia" w:eastAsia="Georgia" w:hAnsi="Georgia"/>
            <w:color w:val="1155cc"/>
            <w:sz w:val="24"/>
            <w:szCs w:val="24"/>
            <w:u w:val="single"/>
            <w:rtl w:val="0"/>
          </w:rPr>
          <w:t xml:space="preserve">https://doi.org/10.1016/j.neuroimage.2013.08.048</w:t>
        </w:r>
      </w:hyperlink>
      <w:r w:rsidDel="00000000" w:rsidR="00000000" w:rsidRPr="00000000">
        <w:rPr>
          <w:rFonts w:ascii="Georgia" w:cs="Georgia" w:eastAsia="Georgia" w:hAnsi="Georgia"/>
          <w:color w:val="212529"/>
          <w:sz w:val="24"/>
          <w:szCs w:val="24"/>
          <w:rtl w:val="0"/>
        </w:rPr>
        <w:t xml:space="preserve">.</w:t>
      </w:r>
    </w:p>
    <w:p w:rsidR="00000000" w:rsidDel="00000000" w:rsidP="00000000" w:rsidRDefault="00000000" w:rsidRPr="00000000" w14:paraId="0000007D">
      <w:pPr>
        <w:jc w:val="both"/>
        <w:rPr>
          <w:rFonts w:ascii="Georgia" w:cs="Georgia" w:eastAsia="Georgia" w:hAnsi="Georgia"/>
          <w:color w:val="212529"/>
          <w:sz w:val="24"/>
          <w:szCs w:val="24"/>
        </w:rPr>
      </w:pPr>
      <w:r w:rsidDel="00000000" w:rsidR="00000000" w:rsidRPr="00000000">
        <w:rPr>
          <w:rFonts w:ascii="Georgia" w:cs="Georgia" w:eastAsia="Georgia" w:hAnsi="Georgia"/>
          <w:color w:val="212529"/>
          <w:sz w:val="24"/>
          <w:szCs w:val="24"/>
          <w:rtl w:val="0"/>
        </w:rPr>
        <w:t xml:space="preserve">Satterthwaite, Theodore D., Mark A. Elliott, Raphael T. Gerraty, Kosha Ruparel, James Loughead, Monica E. Calkins, Simon B. Eickhoff, et al. 2013. “An improved framework for confound regression and filtering for control of motion artifact in the preprocessing of resting-state functional connectivity data.” </w:t>
      </w:r>
      <w:r w:rsidDel="00000000" w:rsidR="00000000" w:rsidRPr="00000000">
        <w:rPr>
          <w:rFonts w:ascii="Georgia" w:cs="Georgia" w:eastAsia="Georgia" w:hAnsi="Georgia"/>
          <w:i w:val="1"/>
          <w:iCs w:val="1"/>
          <w:color w:val="212529"/>
          <w:sz w:val="24"/>
          <w:szCs w:val="24"/>
          <w:rtl w:val="0"/>
        </w:rPr>
        <w:t xml:space="preserve">NeuroImage</w:t>
      </w:r>
      <w:r w:rsidDel="00000000" w:rsidR="00000000" w:rsidRPr="00000000">
        <w:rPr>
          <w:rFonts w:ascii="Georgia" w:cs="Georgia" w:eastAsia="Georgia" w:hAnsi="Georgia"/>
          <w:color w:val="212529"/>
          <w:sz w:val="24"/>
          <w:szCs w:val="24"/>
          <w:rtl w:val="0"/>
        </w:rPr>
        <w:t xml:space="preserve"> 64 (1): 240–56. </w:t>
      </w:r>
      <w:hyperlink r:id="rId25">
        <w:r w:rsidDel="00000000" w:rsidR="00000000" w:rsidRPr="00000000">
          <w:rPr>
            <w:rFonts w:ascii="Georgia" w:cs="Georgia" w:eastAsia="Georgia" w:hAnsi="Georgia"/>
            <w:color w:val="1155cc"/>
            <w:sz w:val="24"/>
            <w:szCs w:val="24"/>
            <w:u w:val="single"/>
            <w:rtl w:val="0"/>
          </w:rPr>
          <w:t xml:space="preserve">https://doi.org/10.1016/j.neuroimage.2012.08.052</w:t>
        </w:r>
      </w:hyperlink>
      <w:r w:rsidDel="00000000" w:rsidR="00000000" w:rsidRPr="00000000">
        <w:rPr>
          <w:rFonts w:ascii="Georgia" w:cs="Georgia" w:eastAsia="Georgia" w:hAnsi="Georgia"/>
          <w:color w:val="212529"/>
          <w:sz w:val="24"/>
          <w:szCs w:val="24"/>
          <w:rtl w:val="0"/>
        </w:rPr>
        <w:t xml:space="preserve">.</w:t>
      </w:r>
    </w:p>
    <w:p w:rsidR="00000000" w:rsidDel="00000000" w:rsidP="00000000" w:rsidRDefault="00000000" w:rsidRPr="00000000" w14:paraId="0000007E">
      <w:pPr>
        <w:jc w:val="both"/>
        <w:rPr>
          <w:rFonts w:ascii="Georgia" w:cs="Georgia" w:eastAsia="Georgia" w:hAnsi="Georgia"/>
          <w:color w:val="212529"/>
          <w:sz w:val="24"/>
          <w:szCs w:val="24"/>
        </w:rPr>
      </w:pPr>
      <w:r w:rsidDel="00000000" w:rsidR="00000000" w:rsidRPr="00000000">
        <w:rPr>
          <w:rFonts w:ascii="Georgia" w:cs="Georgia" w:eastAsia="Georgia" w:hAnsi="Georgia"/>
          <w:color w:val="212529"/>
          <w:sz w:val="24"/>
          <w:szCs w:val="24"/>
          <w:rtl w:val="0"/>
        </w:rPr>
        <w:t xml:space="preserve">Tustison, N. J., B. B. Avants, P. A. Cook, Y. Zheng, A. Egan, P. A. Yushkevich, and J. C. Gee. 2010. “N4ITK: Improved N3 Bias Correction.” </w:t>
      </w:r>
      <w:r w:rsidDel="00000000" w:rsidR="00000000" w:rsidRPr="00000000">
        <w:rPr>
          <w:rFonts w:ascii="Georgia" w:cs="Georgia" w:eastAsia="Georgia" w:hAnsi="Georgia"/>
          <w:i w:val="1"/>
          <w:iCs w:val="1"/>
          <w:color w:val="212529"/>
          <w:sz w:val="24"/>
          <w:szCs w:val="24"/>
          <w:rtl w:val="0"/>
        </w:rPr>
        <w:t xml:space="preserve">IEEE Transactions on Medical Imaging</w:t>
      </w:r>
      <w:r w:rsidDel="00000000" w:rsidR="00000000" w:rsidRPr="00000000">
        <w:rPr>
          <w:rFonts w:ascii="Georgia" w:cs="Georgia" w:eastAsia="Georgia" w:hAnsi="Georgia"/>
          <w:color w:val="212529"/>
          <w:sz w:val="24"/>
          <w:szCs w:val="24"/>
          <w:rtl w:val="0"/>
        </w:rPr>
        <w:t xml:space="preserve"> 29 (6): 1310–20. </w:t>
      </w:r>
      <w:hyperlink r:id="rId26">
        <w:r w:rsidDel="00000000" w:rsidR="00000000" w:rsidRPr="00000000">
          <w:rPr>
            <w:rFonts w:ascii="Georgia" w:cs="Georgia" w:eastAsia="Georgia" w:hAnsi="Georgia"/>
            <w:color w:val="1155cc"/>
            <w:sz w:val="24"/>
            <w:szCs w:val="24"/>
            <w:u w:val="single"/>
            <w:rtl w:val="0"/>
          </w:rPr>
          <w:t xml:space="preserve">https://doi.org/10.1109/TMI.2010.2046908</w:t>
        </w:r>
      </w:hyperlink>
      <w:r w:rsidDel="00000000" w:rsidR="00000000" w:rsidRPr="00000000">
        <w:rPr>
          <w:rFonts w:ascii="Georgia" w:cs="Georgia" w:eastAsia="Georgia" w:hAnsi="Georgia"/>
          <w:color w:val="212529"/>
          <w:sz w:val="24"/>
          <w:szCs w:val="24"/>
          <w:rtl w:val="0"/>
        </w:rPr>
        <w:t xml:space="preserve">.</w:t>
      </w:r>
    </w:p>
    <w:p w:rsidR="00000000" w:rsidDel="00000000" w:rsidP="00000000" w:rsidRDefault="00000000" w:rsidRPr="00000000" w14:paraId="0000007F">
      <w:pPr>
        <w:jc w:val="both"/>
        <w:rPr>
          <w:rFonts w:ascii="Georgia" w:cs="Georgia" w:eastAsia="Georgia" w:hAnsi="Georgia"/>
          <w:color w:val="212529"/>
          <w:sz w:val="24"/>
          <w:szCs w:val="24"/>
        </w:rPr>
      </w:pPr>
      <w:r w:rsidDel="00000000" w:rsidR="00000000" w:rsidRPr="00000000">
        <w:rPr>
          <w:rFonts w:ascii="Georgia" w:cs="Georgia" w:eastAsia="Georgia" w:hAnsi="Georgia"/>
          <w:color w:val="212529"/>
          <w:sz w:val="24"/>
          <w:szCs w:val="24"/>
          <w:rtl w:val="0"/>
        </w:rPr>
        <w:t xml:space="preserve">Zhang, Y., M. Brady, and S. Smith. 2001. “Segmentation of Brain MR Images Through a Hidden Markov Random Field Model and the Expectation-Maximization Algorithm.” </w:t>
      </w:r>
      <w:r w:rsidDel="00000000" w:rsidR="00000000" w:rsidRPr="00000000">
        <w:rPr>
          <w:rFonts w:ascii="Georgia" w:cs="Georgia" w:eastAsia="Georgia" w:hAnsi="Georgia"/>
          <w:i w:val="1"/>
          <w:iCs w:val="1"/>
          <w:color w:val="212529"/>
          <w:sz w:val="24"/>
          <w:szCs w:val="24"/>
          <w:rtl w:val="0"/>
        </w:rPr>
        <w:t xml:space="preserve">IEEE Transactions on Medical Imaging</w:t>
      </w:r>
      <w:r w:rsidDel="00000000" w:rsidR="00000000" w:rsidRPr="00000000">
        <w:rPr>
          <w:rFonts w:ascii="Georgia" w:cs="Georgia" w:eastAsia="Georgia" w:hAnsi="Georgia"/>
          <w:color w:val="212529"/>
          <w:sz w:val="24"/>
          <w:szCs w:val="24"/>
          <w:rtl w:val="0"/>
        </w:rPr>
        <w:t xml:space="preserve"> 20 (1): 45–57. </w:t>
      </w:r>
      <w:hyperlink r:id="rId27">
        <w:r w:rsidDel="00000000" w:rsidR="00000000" w:rsidRPr="00000000">
          <w:rPr>
            <w:rFonts w:ascii="Georgia" w:cs="Georgia" w:eastAsia="Georgia" w:hAnsi="Georgia"/>
            <w:color w:val="1155cc"/>
            <w:sz w:val="24"/>
            <w:szCs w:val="24"/>
            <w:u w:val="single"/>
            <w:rtl w:val="0"/>
          </w:rPr>
          <w:t xml:space="preserve">https://doi.org/10.1109/42.906424</w:t>
        </w:r>
      </w:hyperlink>
      <w:r w:rsidDel="00000000" w:rsidR="00000000" w:rsidRPr="00000000">
        <w:rPr>
          <w:rFonts w:ascii="Georgia" w:cs="Georgia" w:eastAsia="Georgia" w:hAnsi="Georgia"/>
          <w:color w:val="212529"/>
          <w:sz w:val="24"/>
          <w:szCs w:val="24"/>
          <w:rtl w:val="0"/>
        </w:rPr>
        <w:t xml:space="preserve">.</w:t>
      </w:r>
    </w:p>
    <w:p w:rsidR="00000000" w:rsidDel="00000000" w:rsidP="00000000" w:rsidRDefault="00000000" w:rsidRPr="00000000" w14:paraId="00000080">
      <w:pPr>
        <w:jc w:val="both"/>
        <w:rPr/>
      </w:pPr>
      <w:r w:rsidDel="00000000" w:rsidR="00000000" w:rsidRPr="00000000">
        <w:rPr>
          <w:rtl w:val="0"/>
        </w:rPr>
      </w:r>
    </w:p>
    <w:p w:rsidR="00000000" w:rsidDel="00000000" w:rsidP="00000000" w:rsidRDefault="00000000" w:rsidRPr="00000000" w14:paraId="00000081">
      <w:pPr>
        <w:jc w:val="both"/>
        <w:rPr/>
      </w:pPr>
      <w:r w:rsidDel="00000000" w:rsidR="00000000" w:rsidRPr="00000000">
        <w:rPr>
          <w:rtl w:val="0"/>
        </w:rPr>
      </w:r>
    </w:p>
    <w:p w:rsidR="00000000" w:rsidDel="00000000" w:rsidP="00000000" w:rsidRDefault="00000000" w:rsidRPr="00000000" w14:paraId="00000082">
      <w:pPr>
        <w:jc w:val="both"/>
        <w:rPr/>
      </w:pPr>
      <w:r w:rsidDel="00000000" w:rsidR="00000000" w:rsidRPr="00000000">
        <w:rPr>
          <w:rtl w:val="0"/>
        </w:rPr>
      </w:r>
    </w:p>
    <w:p w:rsidR="00000000" w:rsidDel="00000000" w:rsidP="00000000" w:rsidRDefault="00000000" w:rsidRPr="00000000" w14:paraId="00000083">
      <w:pPr>
        <w:jc w:val="both"/>
        <w:rPr/>
      </w:pPr>
      <w:r w:rsidDel="00000000" w:rsidR="00000000" w:rsidRPr="00000000">
        <w:rPr>
          <w:rtl w:val="0"/>
        </w:rPr>
      </w:r>
    </w:p>
    <w:p w:rsidR="00000000" w:rsidDel="00000000" w:rsidP="00000000" w:rsidRDefault="00000000" w:rsidRPr="00000000" w14:paraId="00000084">
      <w:pPr>
        <w:jc w:val="both"/>
        <w:rPr/>
      </w:pPr>
      <w:r w:rsidDel="00000000" w:rsidR="00000000" w:rsidRPr="00000000">
        <w:rPr>
          <w:rtl w:val="0"/>
        </w:rPr>
      </w:r>
    </w:p>
    <w:p w:rsidR="00000000" w:rsidDel="00000000" w:rsidP="00000000" w:rsidRDefault="00000000" w:rsidRPr="00000000" w14:paraId="00000085">
      <w:pPr>
        <w:jc w:val="both"/>
        <w:rPr/>
      </w:pPr>
      <w:r w:rsidDel="00000000" w:rsidR="00000000" w:rsidRPr="00000000">
        <w:rPr>
          <w:rtl w:val="0"/>
        </w:rPr>
      </w:r>
    </w:p>
    <w:p w:rsidR="00000000" w:rsidDel="00000000" w:rsidP="00000000" w:rsidRDefault="00000000" w:rsidRPr="00000000" w14:paraId="00000086">
      <w:pPr>
        <w:jc w:val="both"/>
        <w:rPr/>
      </w:pPr>
      <w:r w:rsidDel="00000000" w:rsidR="00000000" w:rsidRPr="00000000">
        <w:rPr>
          <w:rtl w:val="0"/>
        </w:rPr>
      </w:r>
    </w:p>
    <w:p w:rsidR="00000000" w:rsidDel="00000000" w:rsidP="00000000" w:rsidRDefault="00000000" w:rsidRPr="00000000" w14:paraId="00000087">
      <w:pPr>
        <w:jc w:val="both"/>
        <w:rPr/>
      </w:pPr>
      <w:r w:rsidDel="00000000" w:rsidR="00000000" w:rsidRPr="00000000">
        <w:rPr>
          <w:rtl w:val="0"/>
        </w:rPr>
      </w:r>
    </w:p>
    <w:p w:rsidR="00000000" w:rsidDel="00000000" w:rsidP="00000000" w:rsidRDefault="00000000" w:rsidRPr="00000000" w14:paraId="00000088">
      <w:pPr>
        <w:jc w:val="both"/>
        <w:rPr/>
      </w:pPr>
      <w:r w:rsidDel="00000000" w:rsidR="00000000" w:rsidRPr="00000000">
        <w:rPr>
          <w:rtl w:val="0"/>
        </w:rPr>
      </w:r>
    </w:p>
    <w:p w:rsidR="00000000" w:rsidDel="00000000" w:rsidP="00000000" w:rsidRDefault="00000000" w:rsidRPr="00000000" w14:paraId="00000089">
      <w:pPr>
        <w:jc w:val="both"/>
        <w:rPr/>
      </w:pPr>
      <w:r w:rsidDel="00000000" w:rsidR="00000000" w:rsidRPr="00000000">
        <w:rPr>
          <w:rtl w:val="0"/>
        </w:rPr>
      </w:r>
    </w:p>
    <w:p w:rsidR="00000000" w:rsidDel="00000000" w:rsidP="00000000" w:rsidRDefault="00000000" w:rsidRPr="00000000" w14:paraId="0000008A">
      <w:pPr>
        <w:jc w:val="both"/>
        <w:rPr/>
      </w:pPr>
      <w:r w:rsidDel="00000000" w:rsidR="00000000" w:rsidRPr="00000000">
        <w:rPr>
          <w:rtl w:val="0"/>
        </w:rPr>
      </w:r>
    </w:p>
    <w:p w:rsidR="00000000" w:rsidDel="00000000" w:rsidP="00000000" w:rsidRDefault="00000000" w:rsidRPr="00000000" w14:paraId="0000008B">
      <w:pPr>
        <w:jc w:val="both"/>
        <w:rPr/>
      </w:pPr>
      <w:r w:rsidDel="00000000" w:rsidR="00000000" w:rsidRPr="00000000">
        <w:rPr>
          <w:rtl w:val="0"/>
        </w:rPr>
      </w:r>
    </w:p>
    <w:p w:rsidR="00000000" w:rsidDel="00000000" w:rsidP="00000000" w:rsidRDefault="00000000" w:rsidRPr="00000000" w14:paraId="0000008C">
      <w:pPr>
        <w:jc w:val="both"/>
        <w:rPr/>
      </w:pPr>
      <w:r w:rsidDel="00000000" w:rsidR="00000000" w:rsidRPr="00000000">
        <w:rPr>
          <w:rtl w:val="0"/>
        </w:rPr>
      </w:r>
    </w:p>
    <w:p w:rsidR="00000000" w:rsidDel="00000000" w:rsidP="00000000" w:rsidRDefault="00000000" w:rsidRPr="00000000" w14:paraId="0000008D">
      <w:pPr>
        <w:jc w:val="both"/>
        <w:rPr/>
      </w:pPr>
      <w:r w:rsidDel="00000000" w:rsidR="00000000" w:rsidRPr="00000000">
        <w:rPr>
          <w:rtl w:val="0"/>
        </w:rPr>
      </w:r>
    </w:p>
    <w:p w:rsidR="00000000" w:rsidDel="00000000" w:rsidP="00000000" w:rsidRDefault="00000000" w:rsidRPr="00000000" w14:paraId="0000008E">
      <w:pPr>
        <w:jc w:val="both"/>
        <w:rPr/>
      </w:pPr>
      <w:r w:rsidDel="00000000" w:rsidR="00000000" w:rsidRPr="00000000">
        <w:rPr>
          <w:rtl w:val="0"/>
        </w:rPr>
      </w:r>
    </w:p>
    <w:p w:rsidR="00000000" w:rsidDel="00000000" w:rsidP="00000000" w:rsidRDefault="00000000" w:rsidRPr="00000000" w14:paraId="0000008F">
      <w:pPr>
        <w:jc w:val="both"/>
        <w:rPr/>
      </w:pPr>
      <w:r w:rsidDel="00000000" w:rsidR="00000000" w:rsidRPr="00000000">
        <w:rPr>
          <w:rtl w:val="0"/>
        </w:rPr>
      </w:r>
    </w:p>
    <w:p w:rsidR="00000000" w:rsidDel="00000000" w:rsidP="00000000" w:rsidRDefault="00000000" w:rsidRPr="00000000" w14:paraId="00000090">
      <w:pPr>
        <w:jc w:val="both"/>
        <w:rPr/>
      </w:pPr>
      <w:r w:rsidDel="00000000" w:rsidR="00000000" w:rsidRPr="00000000">
        <w:rPr>
          <w:rtl w:val="0"/>
        </w:rPr>
      </w:r>
    </w:p>
    <w:p w:rsidR="00000000" w:rsidDel="00000000" w:rsidP="00000000" w:rsidRDefault="00000000" w:rsidRPr="00000000" w14:paraId="00000091">
      <w:pPr>
        <w:jc w:val="both"/>
        <w:rPr/>
      </w:pPr>
      <w:r w:rsidDel="00000000" w:rsidR="00000000" w:rsidRPr="00000000">
        <w:rPr>
          <w:rtl w:val="0"/>
        </w:rPr>
      </w:r>
    </w:p>
    <w:p w:rsidR="00000000" w:rsidDel="00000000" w:rsidP="00000000" w:rsidRDefault="00000000" w:rsidRPr="00000000" w14:paraId="00000092">
      <w:pPr>
        <w:jc w:val="both"/>
        <w:rPr/>
      </w:pPr>
      <w:r w:rsidDel="00000000" w:rsidR="00000000" w:rsidRPr="00000000">
        <w:rPr>
          <w:rtl w:val="0"/>
        </w:rPr>
      </w:r>
    </w:p>
    <w:p w:rsidR="00000000" w:rsidDel="00000000" w:rsidP="00000000" w:rsidRDefault="00000000" w:rsidRPr="00000000" w14:paraId="00000093">
      <w:pPr>
        <w:jc w:val="both"/>
        <w:rPr/>
      </w:pPr>
      <w:r w:rsidDel="00000000" w:rsidR="00000000" w:rsidRPr="00000000">
        <w:rPr>
          <w:rtl w:val="0"/>
        </w:rPr>
      </w:r>
    </w:p>
    <w:p w:rsidR="00000000" w:rsidDel="00000000" w:rsidP="00000000" w:rsidRDefault="00000000" w:rsidRPr="00000000" w14:paraId="00000094">
      <w:pPr>
        <w:jc w:val="both"/>
        <w:rPr/>
      </w:pPr>
      <w:r w:rsidDel="00000000" w:rsidR="00000000" w:rsidRPr="00000000">
        <w:rPr>
          <w:rtl w:val="0"/>
        </w:rPr>
      </w:r>
    </w:p>
    <w:p w:rsidR="00000000" w:rsidDel="00000000" w:rsidP="00000000" w:rsidRDefault="00000000" w:rsidRPr="00000000" w14:paraId="00000095">
      <w:pPr>
        <w:jc w:val="both"/>
        <w:rPr/>
      </w:pPr>
      <w:r w:rsidDel="00000000" w:rsidR="00000000" w:rsidRPr="00000000">
        <w:rPr>
          <w:rtl w:val="0"/>
        </w:rPr>
      </w:r>
    </w:p>
    <w:p w:rsidR="00000000" w:rsidDel="00000000" w:rsidP="00000000" w:rsidRDefault="00000000" w:rsidRPr="00000000" w14:paraId="00000096">
      <w:pPr>
        <w:jc w:val="both"/>
        <w:rPr/>
      </w:pPr>
      <w:r w:rsidDel="00000000" w:rsidR="00000000" w:rsidRPr="00000000">
        <w:rPr>
          <w:rtl w:val="0"/>
        </w:rPr>
      </w:r>
    </w:p>
    <w:p w:rsidR="00000000" w:rsidDel="00000000" w:rsidP="00000000" w:rsidRDefault="00000000" w:rsidRPr="00000000" w14:paraId="00000097">
      <w:pPr>
        <w:jc w:val="both"/>
        <w:rPr/>
      </w:pPr>
      <w:r w:rsidDel="00000000" w:rsidR="00000000" w:rsidRPr="00000000">
        <w:rPr>
          <w:rtl w:val="0"/>
        </w:rPr>
      </w:r>
    </w:p>
    <w:p w:rsidR="00000000" w:rsidDel="00000000" w:rsidP="00000000" w:rsidRDefault="00000000" w:rsidRPr="00000000" w14:paraId="00000098">
      <w:pPr>
        <w:jc w:val="both"/>
        <w:rPr/>
      </w:pPr>
      <w:r w:rsidDel="00000000" w:rsidR="00000000" w:rsidRPr="00000000">
        <w:rPr>
          <w:rtl w:val="0"/>
        </w:rPr>
      </w:r>
    </w:p>
    <w:p w:rsidR="00000000" w:rsidDel="00000000" w:rsidP="00000000" w:rsidRDefault="00000000" w:rsidRPr="00000000" w14:paraId="00000099">
      <w:pPr>
        <w:jc w:val="both"/>
        <w:rPr/>
      </w:pPr>
      <w:r w:rsidDel="00000000" w:rsidR="00000000" w:rsidRPr="00000000">
        <w:rPr>
          <w:rtl w:val="0"/>
        </w:rPr>
      </w:r>
    </w:p>
    <w:p w:rsidR="00000000" w:rsidDel="00000000" w:rsidP="00000000" w:rsidRDefault="00000000" w:rsidRPr="00000000" w14:paraId="0000009A">
      <w:pPr>
        <w:jc w:val="both"/>
        <w:rPr/>
      </w:pPr>
      <w:r w:rsidDel="00000000" w:rsidR="00000000" w:rsidRPr="00000000">
        <w:rPr>
          <w:rtl w:val="0"/>
        </w:rPr>
      </w:r>
    </w:p>
    <w:p w:rsidR="00000000" w:rsidDel="00000000" w:rsidP="00000000" w:rsidRDefault="00000000" w:rsidRPr="00000000" w14:paraId="0000009B">
      <w:pPr>
        <w:jc w:val="both"/>
        <w:rPr/>
      </w:pPr>
      <w:r w:rsidDel="00000000" w:rsidR="00000000" w:rsidRPr="00000000">
        <w:rPr>
          <w:rtl w:val="0"/>
        </w:rPr>
      </w:r>
    </w:p>
    <w:p w:rsidR="00000000" w:rsidDel="00000000" w:rsidP="00000000" w:rsidRDefault="00000000" w:rsidRPr="00000000" w14:paraId="0000009C">
      <w:pPr>
        <w:jc w:val="both"/>
        <w:rPr/>
      </w:pPr>
      <w:r w:rsidDel="00000000" w:rsidR="00000000" w:rsidRPr="00000000">
        <w:rPr>
          <w:rtl w:val="0"/>
        </w:rPr>
      </w:r>
    </w:p>
    <w:p w:rsidR="00000000" w:rsidDel="00000000" w:rsidP="00000000" w:rsidRDefault="00000000" w:rsidRPr="00000000" w14:paraId="0000009D">
      <w:pPr>
        <w:jc w:val="both"/>
        <w:rPr/>
      </w:pPr>
      <w:r w:rsidDel="00000000" w:rsidR="00000000" w:rsidRPr="00000000">
        <w:rPr>
          <w:rtl w:val="0"/>
        </w:rPr>
      </w:r>
    </w:p>
    <w:p w:rsidR="00000000" w:rsidDel="00000000" w:rsidP="00000000" w:rsidRDefault="00000000" w:rsidRPr="00000000" w14:paraId="0000009E">
      <w:pPr>
        <w:jc w:val="both"/>
        <w:rPr/>
      </w:pPr>
      <w:r w:rsidDel="00000000" w:rsidR="00000000" w:rsidRPr="00000000">
        <w:rPr>
          <w:rtl w:val="0"/>
        </w:rPr>
      </w:r>
    </w:p>
    <w:p w:rsidR="00000000" w:rsidDel="00000000" w:rsidP="00000000" w:rsidRDefault="00000000" w:rsidRPr="00000000" w14:paraId="0000009F">
      <w:pPr>
        <w:jc w:val="both"/>
        <w:rPr/>
      </w:pPr>
      <w:r w:rsidDel="00000000" w:rsidR="00000000" w:rsidRPr="00000000">
        <w:rPr>
          <w:rtl w:val="0"/>
        </w:rPr>
      </w:r>
    </w:p>
    <w:p w:rsidR="00000000" w:rsidDel="00000000" w:rsidP="00000000" w:rsidRDefault="00000000" w:rsidRPr="00000000" w14:paraId="000000A0">
      <w:pPr>
        <w:jc w:val="both"/>
        <w:rPr/>
      </w:pPr>
      <w:r w:rsidDel="00000000" w:rsidR="00000000" w:rsidRPr="00000000">
        <w:rPr>
          <w:rtl w:val="0"/>
        </w:rPr>
      </w:r>
    </w:p>
    <w:p w:rsidR="00000000" w:rsidDel="00000000" w:rsidP="00000000" w:rsidRDefault="00000000" w:rsidRPr="00000000" w14:paraId="000000A1">
      <w:pPr>
        <w:jc w:val="both"/>
        <w:rPr/>
      </w:pPr>
      <w:r w:rsidDel="00000000" w:rsidR="00000000" w:rsidRPr="00000000">
        <w:rPr>
          <w:rtl w:val="0"/>
        </w:rPr>
      </w:r>
    </w:p>
    <w:p w:rsidR="00000000" w:rsidDel="00000000" w:rsidP="00000000" w:rsidRDefault="00000000" w:rsidRPr="00000000" w14:paraId="000000A2">
      <w:pPr>
        <w:jc w:val="both"/>
        <w:rPr/>
      </w:pPr>
      <w:r w:rsidDel="00000000" w:rsidR="00000000" w:rsidRPr="00000000">
        <w:rPr>
          <w:rtl w:val="0"/>
        </w:rPr>
      </w:r>
    </w:p>
    <w:p w:rsidR="00000000" w:rsidDel="00000000" w:rsidP="00000000" w:rsidRDefault="00000000" w:rsidRPr="00000000" w14:paraId="000000A3">
      <w:pPr>
        <w:jc w:val="both"/>
        <w:rPr/>
      </w:pPr>
      <w:r w:rsidDel="00000000" w:rsidR="00000000" w:rsidRPr="00000000">
        <w:rPr>
          <w:rtl w:val="0"/>
        </w:rPr>
      </w:r>
    </w:p>
    <w:p w:rsidR="00000000" w:rsidDel="00000000" w:rsidP="00000000" w:rsidRDefault="00000000" w:rsidRPr="00000000" w14:paraId="000000A4">
      <w:pPr>
        <w:jc w:val="both"/>
        <w:rPr/>
      </w:pPr>
      <w:r w:rsidDel="00000000" w:rsidR="00000000" w:rsidRPr="00000000">
        <w:rPr>
          <w:rtl w:val="0"/>
        </w:rPr>
      </w:r>
    </w:p>
    <w:p w:rsidR="00000000" w:rsidDel="00000000" w:rsidP="00000000" w:rsidRDefault="00000000" w:rsidRPr="00000000" w14:paraId="000000A5">
      <w:pPr>
        <w:jc w:val="both"/>
        <w:rPr/>
      </w:pPr>
      <w:r w:rsidDel="00000000" w:rsidR="00000000" w:rsidRPr="00000000">
        <w:rPr>
          <w:rtl w:val="0"/>
        </w:rPr>
      </w:r>
    </w:p>
    <w:p w:rsidR="00000000" w:rsidDel="00000000" w:rsidP="00000000" w:rsidRDefault="00000000" w:rsidRPr="00000000" w14:paraId="000000A6">
      <w:pPr>
        <w:jc w:val="both"/>
        <w:rPr/>
      </w:pPr>
      <w:r w:rsidDel="00000000" w:rsidR="00000000" w:rsidRPr="00000000">
        <w:rPr>
          <w:rtl w:val="0"/>
        </w:rPr>
      </w:r>
    </w:p>
    <w:p w:rsidR="00000000" w:rsidDel="00000000" w:rsidP="00000000" w:rsidRDefault="00000000" w:rsidRPr="00000000" w14:paraId="000000A7">
      <w:pPr>
        <w:jc w:val="both"/>
        <w:rPr/>
      </w:pPr>
      <w:r w:rsidDel="00000000" w:rsidR="00000000" w:rsidRPr="00000000">
        <w:rPr>
          <w:rtl w:val="0"/>
        </w:rPr>
      </w:r>
    </w:p>
    <w:p w:rsidR="00000000" w:rsidDel="00000000" w:rsidP="00000000" w:rsidRDefault="00000000" w:rsidRPr="00000000" w14:paraId="000000A8">
      <w:pPr>
        <w:jc w:val="both"/>
        <w:rPr/>
      </w:pPr>
      <w:r w:rsidDel="00000000" w:rsidR="00000000" w:rsidRPr="00000000">
        <w:rPr>
          <w:rtl w:val="0"/>
        </w:rPr>
      </w:r>
    </w:p>
    <w:p w:rsidR="00000000" w:rsidDel="00000000" w:rsidP="00000000" w:rsidRDefault="00000000" w:rsidRPr="00000000" w14:paraId="000000A9">
      <w:pPr>
        <w:jc w:val="both"/>
        <w:rPr/>
      </w:pPr>
      <w:r w:rsidDel="00000000" w:rsidR="00000000" w:rsidRPr="00000000">
        <w:rPr>
          <w:rtl w:val="0"/>
        </w:rPr>
      </w:r>
    </w:p>
    <w:p w:rsidR="00000000" w:rsidDel="00000000" w:rsidP="00000000" w:rsidRDefault="00000000" w:rsidRPr="00000000" w14:paraId="000000AA">
      <w:pPr>
        <w:jc w:val="both"/>
        <w:rPr/>
      </w:pPr>
      <w:r w:rsidDel="00000000" w:rsidR="00000000" w:rsidRPr="00000000">
        <w:rPr>
          <w:rtl w:val="0"/>
        </w:rPr>
      </w:r>
    </w:p>
    <w:p w:rsidR="00000000" w:rsidDel="00000000" w:rsidP="00000000" w:rsidRDefault="00000000" w:rsidRPr="00000000" w14:paraId="000000AB">
      <w:pPr>
        <w:jc w:val="both"/>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ourier New"/>
  <w:font w:name="Georgia"/>
  <w:font w:name="Roboto Mon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20" Type="http://schemas.openxmlformats.org/officeDocument/2006/relationships/hyperlink" Target="https://doi.org/10.1016/j.neuroimage.2009.06.060" TargetMode="External"/><Relationship Id="rId22" Type="http://schemas.openxmlformats.org/officeDocument/2006/relationships/hyperlink" Target="https://doi.org/10.1371/journal.pcbi.1005350" TargetMode="External"/><Relationship Id="rId21" Type="http://schemas.openxmlformats.org/officeDocument/2006/relationships/hyperlink" Target="https://doi.org/10.1006/nimg.2002.1132" TargetMode="External"/><Relationship Id="rId24" Type="http://schemas.openxmlformats.org/officeDocument/2006/relationships/hyperlink" Target="https://doi.org/10.1016/j.neuroimage.2013.08.048" TargetMode="External"/><Relationship Id="rId23" Type="http://schemas.openxmlformats.org/officeDocument/2006/relationships/hyperlink" Target="https://doi.org/10.1016/j.neuroimage.2016.08.051"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creativecommons.org/publicdomain/zero/1.0/" TargetMode="External"/><Relationship Id="rId26" Type="http://schemas.openxmlformats.org/officeDocument/2006/relationships/hyperlink" Target="https://doi.org/10.1109/TMI.2010.2046908" TargetMode="External"/><Relationship Id="rId25" Type="http://schemas.openxmlformats.org/officeDocument/2006/relationships/hyperlink" Target="https://doi.org/10.1016/j.neuroimage.2012.08.052" TargetMode="External"/><Relationship Id="rId27" Type="http://schemas.openxmlformats.org/officeDocument/2006/relationships/hyperlink" Target="https://doi.org/10.1109/42.906424" TargetMode="External"/><Relationship Id="rId5" Type="http://schemas.openxmlformats.org/officeDocument/2006/relationships/styles" Target="styles.xml"/><Relationship Id="rId6" Type="http://schemas.openxmlformats.org/officeDocument/2006/relationships/hyperlink" Target="https://fmriprep.readthedocs.io/en/latest/workflows.html" TargetMode="External"/><Relationship Id="rId7" Type="http://schemas.openxmlformats.org/officeDocument/2006/relationships/hyperlink" Target="https://fmriprep.readthedocs.io/en/latest/workflows.html" TargetMode="External"/><Relationship Id="rId8" Type="http://schemas.openxmlformats.org/officeDocument/2006/relationships/hyperlink" Target="https://fmriprep.readthedocs.io/en/latest/workflows.html" TargetMode="External"/><Relationship Id="rId11" Type="http://schemas.openxmlformats.org/officeDocument/2006/relationships/hyperlink" Target="https://doi.org/10.1016/j.media.2007.06.004" TargetMode="External"/><Relationship Id="rId10" Type="http://schemas.openxmlformats.org/officeDocument/2006/relationships/hyperlink" Target="https://doi.org/10.3389/fninf.2014.00014" TargetMode="External"/><Relationship Id="rId13" Type="http://schemas.openxmlformats.org/officeDocument/2006/relationships/hyperlink" Target="https://doi.org/10.1038/s41592-022-01681-2" TargetMode="External"/><Relationship Id="rId12" Type="http://schemas.openxmlformats.org/officeDocument/2006/relationships/hyperlink" Target="https://doi.org/10.1016/j.neuroimage.2007.04.042" TargetMode="External"/><Relationship Id="rId15" Type="http://schemas.openxmlformats.org/officeDocument/2006/relationships/hyperlink" Target="https://doi.org/10.5281/zenodo.852659" TargetMode="External"/><Relationship Id="rId14" Type="http://schemas.openxmlformats.org/officeDocument/2006/relationships/hyperlink" Target="https://doi.org/10.1006/nimg.1998.0395" TargetMode="External"/><Relationship Id="rId17" Type="http://schemas.openxmlformats.org/officeDocument/2006/relationships/hyperlink" Target="https://doi.org/10.1016/S1053-8119(09)70884-5" TargetMode="External"/><Relationship Id="rId16" Type="http://schemas.openxmlformats.org/officeDocument/2006/relationships/hyperlink" Target="https://doi.org/10.1038/s41592-018-0235-4" TargetMode="External"/><Relationship Id="rId19" Type="http://schemas.openxmlformats.org/officeDocument/2006/relationships/hyperlink" Target="https://doi.org/10.5281/zenodo.596855" TargetMode="External"/><Relationship Id="rId18" Type="http://schemas.openxmlformats.org/officeDocument/2006/relationships/hyperlink" Target="https://doi.org/10.3389/fninf.2011.00013"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Mono-regular.ttf"/><Relationship Id="rId2" Type="http://schemas.openxmlformats.org/officeDocument/2006/relationships/font" Target="fonts/RobotoMono-bold.ttf"/><Relationship Id="rId3" Type="http://schemas.openxmlformats.org/officeDocument/2006/relationships/font" Target="fonts/RobotoMono-italic.ttf"/><Relationship Id="rId4" Type="http://schemas.openxmlformats.org/officeDocument/2006/relationships/font" Target="fonts/RobotoMon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