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2057" w:rsidRDefault="00212057" w:rsidP="00C46969">
      <w:pPr>
        <w:pStyle w:val="Heading1"/>
        <w:jc w:val="both"/>
        <w:rPr>
          <w:lang w:val="en-US"/>
        </w:rPr>
      </w:pPr>
      <w:r>
        <w:rPr>
          <w:lang w:val="en-US"/>
        </w:rPr>
        <w:t>Appendix</w:t>
      </w:r>
    </w:p>
    <w:p w:rsidR="00C46969" w:rsidRDefault="00C46969" w:rsidP="00212057">
      <w:pPr>
        <w:pStyle w:val="Heading2"/>
        <w:rPr>
          <w:lang w:val="en-US"/>
        </w:rPr>
      </w:pPr>
      <w:r>
        <w:rPr>
          <w:lang w:val="en-US"/>
        </w:rPr>
        <w:t>Post-COVID Coal Power Capacity Scenarios</w:t>
      </w:r>
    </w:p>
    <w:p w:rsidR="00C46969" w:rsidRDefault="00C46969" w:rsidP="00C46969">
      <w:pPr>
        <w:jc w:val="both"/>
        <w:rPr>
          <w:lang w:val="en-US"/>
        </w:rPr>
      </w:pPr>
      <w:r w:rsidRPr="00797641">
        <w:rPr>
          <w:lang w:val="en-US"/>
        </w:rPr>
        <w:t xml:space="preserve">This </w:t>
      </w:r>
      <w:r w:rsidR="00A61FC1">
        <w:rPr>
          <w:lang w:val="en-US"/>
        </w:rPr>
        <w:t>Appendix</w:t>
      </w:r>
      <w:r w:rsidRPr="00797641">
        <w:rPr>
          <w:lang w:val="en-US"/>
        </w:rPr>
        <w:t xml:space="preserve"> describes the methodology employed to </w:t>
      </w:r>
      <w:r>
        <w:rPr>
          <w:lang w:val="en-US"/>
        </w:rPr>
        <w:t xml:space="preserve">extrapolate historical </w:t>
      </w:r>
      <w:r w:rsidRPr="00797641">
        <w:rPr>
          <w:lang w:val="en-US"/>
        </w:rPr>
        <w:t>c</w:t>
      </w:r>
      <w:r>
        <w:rPr>
          <w:lang w:val="en-US"/>
        </w:rPr>
        <w:t xml:space="preserve">ountry-level coal power capacity data </w:t>
      </w:r>
      <w:r w:rsidR="00BA7ABB">
        <w:rPr>
          <w:lang w:val="en-US"/>
        </w:rPr>
        <w:t xml:space="preserve">to generate bottom-up </w:t>
      </w:r>
      <w:r w:rsidRPr="00797641">
        <w:rPr>
          <w:lang w:val="en-US"/>
        </w:rPr>
        <w:t xml:space="preserve">scenarios </w:t>
      </w:r>
      <w:r>
        <w:rPr>
          <w:lang w:val="en-US"/>
        </w:rPr>
        <w:t xml:space="preserve">for </w:t>
      </w:r>
      <w:r w:rsidRPr="00797641">
        <w:rPr>
          <w:lang w:val="en-US"/>
        </w:rPr>
        <w:t xml:space="preserve">2025, the REMIND </w:t>
      </w:r>
      <w:r>
        <w:rPr>
          <w:lang w:val="en-US"/>
        </w:rPr>
        <w:t>model period</w:t>
      </w:r>
      <w:r w:rsidRPr="00797641">
        <w:rPr>
          <w:lang w:val="en-US"/>
        </w:rPr>
        <w:t xml:space="preserve"> immediately following the </w:t>
      </w:r>
      <w:r>
        <w:rPr>
          <w:lang w:val="en-US"/>
        </w:rPr>
        <w:t>COVID-19</w:t>
      </w:r>
      <w:r w:rsidRPr="00797641">
        <w:rPr>
          <w:lang w:val="en-US"/>
        </w:rPr>
        <w:t xml:space="preserve"> crisis.</w:t>
      </w:r>
      <w:r>
        <w:rPr>
          <w:lang w:val="en-US"/>
        </w:rPr>
        <w:t xml:space="preserve"> The intention is to estimate an uncertainty range </w:t>
      </w:r>
      <w:r w:rsidR="005419F6">
        <w:rPr>
          <w:lang w:val="en-US"/>
        </w:rPr>
        <w:t xml:space="preserve">– not a projection – </w:t>
      </w:r>
      <w:r>
        <w:rPr>
          <w:lang w:val="en-US"/>
        </w:rPr>
        <w:t xml:space="preserve">of the aggregate effect of national COVID recovery programs on near-term trajectories for the global coal power sector. REMIND takes these stylized scenarios – </w:t>
      </w:r>
      <w:r w:rsidR="00A61FC1" w:rsidRPr="00A61FC1">
        <w:rPr>
          <w:i/>
          <w:lang w:val="en-US"/>
        </w:rPr>
        <w:t>n</w:t>
      </w:r>
      <w:r w:rsidR="00DB6B47" w:rsidRPr="00A61FC1">
        <w:rPr>
          <w:i/>
          <w:lang w:val="en-US"/>
        </w:rPr>
        <w:t>eutral</w:t>
      </w:r>
      <w:r>
        <w:rPr>
          <w:lang w:val="en-US"/>
        </w:rPr>
        <w:t xml:space="preserve">, </w:t>
      </w:r>
      <w:r w:rsidRPr="00A61FC1">
        <w:rPr>
          <w:i/>
          <w:lang w:val="en-US"/>
        </w:rPr>
        <w:t>green</w:t>
      </w:r>
      <w:r w:rsidR="00A61FC1">
        <w:rPr>
          <w:lang w:val="en-US"/>
        </w:rPr>
        <w:t>,</w:t>
      </w:r>
      <w:r>
        <w:rPr>
          <w:lang w:val="en-US"/>
        </w:rPr>
        <w:t xml:space="preserve"> and </w:t>
      </w:r>
      <w:r w:rsidRPr="00A61FC1">
        <w:rPr>
          <w:i/>
          <w:lang w:val="en-US"/>
        </w:rPr>
        <w:t>brown</w:t>
      </w:r>
      <w:r>
        <w:rPr>
          <w:lang w:val="en-US"/>
        </w:rPr>
        <w:t xml:space="preserve"> recoveries – as various </w:t>
      </w:r>
      <w:r w:rsidR="005419F6">
        <w:rPr>
          <w:lang w:val="en-US"/>
        </w:rPr>
        <w:t>starting points for the energy system. Our analysis aims to determine the sensitivity – or path-dependency – of long-term scenario results to these initial conditions.</w:t>
      </w:r>
    </w:p>
    <w:p w:rsidR="00C46969" w:rsidRDefault="00C46969" w:rsidP="00C46969">
      <w:pPr>
        <w:pStyle w:val="Heading3"/>
        <w:jc w:val="both"/>
        <w:rPr>
          <w:lang w:val="en-US"/>
        </w:rPr>
      </w:pPr>
      <w:r>
        <w:rPr>
          <w:lang w:val="en-US"/>
        </w:rPr>
        <w:t>Data Procurement</w:t>
      </w:r>
    </w:p>
    <w:p w:rsidR="00C46969" w:rsidRDefault="00C46969" w:rsidP="00C46969">
      <w:pPr>
        <w:pStyle w:val="FirstParagraph"/>
        <w:jc w:val="both"/>
        <w:rPr>
          <w:sz w:val="22"/>
        </w:rPr>
      </w:pPr>
      <w:r w:rsidRPr="00F532D9">
        <w:rPr>
          <w:sz w:val="22"/>
        </w:rPr>
        <w:t>The Global Energy Monitor’s Global Coal Plant Tracker</w:t>
      </w:r>
      <w:r w:rsidRPr="00F532D9">
        <w:rPr>
          <w:sz w:val="22"/>
        </w:rPr>
        <w:fldChar w:fldCharType="begin"/>
      </w:r>
      <w:r w:rsidR="00694E70">
        <w:rPr>
          <w:sz w:val="22"/>
        </w:rPr>
        <w:instrText xml:space="preserve"> ADDIN ZOTERO_ITEM CSL_CITATION {"citationID":"022UPoJh","properties":{"formattedCitation":"\\super 1\\nosupersub{}","plainCitation":"1","noteIndex":0},"citationItems":[{"id":25124,"uris":["http://zotero.org/groups/52011/items/4JESC9GM"],"uri":["http://zotero.org/groups/52011/items/4JESC9GM"],"itemData":{"id":25124,"type":"webpage","abstract":"Global Energy Monitor","container-title":"EndCoal.org","genre":"Database","title":"Global Coal Plant Tracker January 2021","title-short":"GCPT 2021","URL":"https://endcoal.org/global-coal-plant-tracker/","author":[{"family":"Global Energy Monitor","given":""}],"issued":{"date-parts":[["2021",2,2]]}}}],"schema":"https://github.com/citation-style-language/schema/raw/master/csl-citation.json"} </w:instrText>
      </w:r>
      <w:r w:rsidRPr="00F532D9">
        <w:rPr>
          <w:sz w:val="22"/>
        </w:rPr>
        <w:fldChar w:fldCharType="separate"/>
      </w:r>
      <w:r w:rsidR="00694E70" w:rsidRPr="00694E70">
        <w:rPr>
          <w:rFonts w:ascii="Cambria" w:hAnsi="Cambria" w:cs="Times New Roman"/>
          <w:sz w:val="22"/>
          <w:vertAlign w:val="superscript"/>
        </w:rPr>
        <w:t>1</w:t>
      </w:r>
      <w:r w:rsidRPr="00F532D9">
        <w:rPr>
          <w:sz w:val="22"/>
        </w:rPr>
        <w:fldChar w:fldCharType="end"/>
      </w:r>
      <w:r>
        <w:rPr>
          <w:sz w:val="22"/>
        </w:rPr>
        <w:t xml:space="preserve"> (GCPT) </w:t>
      </w:r>
      <w:r w:rsidRPr="00F532D9">
        <w:rPr>
          <w:sz w:val="22"/>
        </w:rPr>
        <w:t xml:space="preserve">is an open source database with coverage of </w:t>
      </w:r>
      <w:r>
        <w:rPr>
          <w:sz w:val="22"/>
        </w:rPr>
        <w:t xml:space="preserve">effectively </w:t>
      </w:r>
      <w:r w:rsidRPr="00F532D9">
        <w:rPr>
          <w:sz w:val="22"/>
        </w:rPr>
        <w:t>all coal power plants larger than 30 MW</w:t>
      </w:r>
      <w:r>
        <w:rPr>
          <w:sz w:val="22"/>
        </w:rPr>
        <w:t>, currently operating or not,</w:t>
      </w:r>
      <w:r w:rsidRPr="00F532D9">
        <w:rPr>
          <w:sz w:val="22"/>
        </w:rPr>
        <w:t xml:space="preserve"> dating back to 1927. </w:t>
      </w:r>
      <w:r>
        <w:rPr>
          <w:sz w:val="22"/>
        </w:rPr>
        <w:t xml:space="preserve">The data used for this study is from the January 2021 release. </w:t>
      </w:r>
      <w:r w:rsidRPr="00F532D9">
        <w:rPr>
          <w:sz w:val="22"/>
        </w:rPr>
        <w:t xml:space="preserve">The publicly disseminated </w:t>
      </w:r>
      <w:hyperlink r:id="rId8">
        <w:r w:rsidRPr="00F532D9">
          <w:rPr>
            <w:rStyle w:val="Hyperlink"/>
            <w:sz w:val="22"/>
          </w:rPr>
          <w:t>‘Summary Statistics’</w:t>
        </w:r>
      </w:hyperlink>
      <w:r w:rsidRPr="00F532D9">
        <w:rPr>
          <w:sz w:val="22"/>
        </w:rPr>
        <w:t xml:space="preserve"> report existing and planned capacity by country, categorized by status into ‘Operating’, ‘Announced’, ‘Pre-permit’, ‘Permitted’, ‘Under Construction’, ‘Shelved’, ‘Mothballed’, ‘Cancelled’ and ‘Retired’ assets. Additional datasets, </w:t>
      </w:r>
      <w:r>
        <w:rPr>
          <w:sz w:val="22"/>
        </w:rPr>
        <w:t>distributed</w:t>
      </w:r>
      <w:r w:rsidRPr="00F532D9">
        <w:rPr>
          <w:sz w:val="22"/>
        </w:rPr>
        <w:t xml:space="preserve"> to mailing list subscribers</w:t>
      </w:r>
      <w:r>
        <w:rPr>
          <w:sz w:val="22"/>
        </w:rPr>
        <w:t xml:space="preserve"> and freely available upon request</w:t>
      </w:r>
      <w:r w:rsidRPr="00F532D9">
        <w:rPr>
          <w:sz w:val="22"/>
        </w:rPr>
        <w:t>, contain information at the individual plant level, such as plant age, year of retirement or planned retirement, conversion</w:t>
      </w:r>
      <w:r>
        <w:rPr>
          <w:sz w:val="22"/>
        </w:rPr>
        <w:t xml:space="preserve"> efficiency and lifetime emissions. A separate plant-level datasheet which provides </w:t>
      </w:r>
      <w:r w:rsidRPr="00F532D9">
        <w:rPr>
          <w:sz w:val="22"/>
        </w:rPr>
        <w:t>semi-annual updates to plant status</w:t>
      </w:r>
      <w:r>
        <w:rPr>
          <w:sz w:val="22"/>
        </w:rPr>
        <w:t xml:space="preserve"> since 2014 was received upon request</w:t>
      </w:r>
      <w:r w:rsidRPr="00F532D9">
        <w:rPr>
          <w:sz w:val="22"/>
        </w:rPr>
        <w:t>.</w:t>
      </w:r>
    </w:p>
    <w:p w:rsidR="00C46969" w:rsidRPr="00C46969" w:rsidRDefault="00C46969" w:rsidP="00C46969">
      <w:pPr>
        <w:pStyle w:val="Heading3"/>
        <w:rPr>
          <w:lang w:val="en-US"/>
        </w:rPr>
      </w:pPr>
      <w:r w:rsidRPr="00C46969">
        <w:rPr>
          <w:lang w:val="en-US"/>
        </w:rPr>
        <w:t>Data Manipulation</w:t>
      </w:r>
    </w:p>
    <w:p w:rsidR="00C46969" w:rsidRDefault="00C46969" w:rsidP="00C46969">
      <w:pPr>
        <w:pStyle w:val="BodyText"/>
        <w:jc w:val="both"/>
        <w:rPr>
          <w:sz w:val="22"/>
        </w:rPr>
      </w:pPr>
      <w:r w:rsidRPr="00F532D9">
        <w:rPr>
          <w:sz w:val="22"/>
        </w:rPr>
        <w:t xml:space="preserve">All GCPT data is read into R using the </w:t>
      </w:r>
      <w:hyperlink r:id="rId9">
        <w:proofErr w:type="spellStart"/>
        <w:r w:rsidRPr="00F532D9">
          <w:rPr>
            <w:rStyle w:val="Hyperlink"/>
            <w:sz w:val="22"/>
          </w:rPr>
          <w:t>readGCPT</w:t>
        </w:r>
        <w:proofErr w:type="spellEnd"/>
      </w:hyperlink>
      <w:r w:rsidRPr="00F532D9">
        <w:rPr>
          <w:sz w:val="22"/>
        </w:rPr>
        <w:t xml:space="preserve"> function, part of the </w:t>
      </w:r>
      <w:hyperlink r:id="rId10">
        <w:r w:rsidRPr="00F532D9">
          <w:rPr>
            <w:rStyle w:val="Hyperlink"/>
            <w:sz w:val="22"/>
          </w:rPr>
          <w:t>mrremind</w:t>
        </w:r>
      </w:hyperlink>
      <w:r w:rsidRPr="00F532D9">
        <w:rPr>
          <w:rStyle w:val="Hyperlink"/>
          <w:sz w:val="22"/>
        </w:rPr>
        <w:fldChar w:fldCharType="begin"/>
      </w:r>
      <w:r w:rsidRPr="00F532D9">
        <w:rPr>
          <w:rStyle w:val="Hyperlink"/>
          <w:sz w:val="22"/>
        </w:rPr>
        <w:instrText xml:space="preserve"> ADDIN ZOTERO_ITEM CSL_CITATION {"citationID":"2g7CByOk","properties":{"formattedCitation":"\\super 2\\nosupersub{}","plainCitation":"2","noteIndex":0},"citationItems":[{"id":24782,"uris":["http://zotero.org/groups/52011/items/8D7ZJ7XW"],"uri":["http://zotero.org/groups/52011/items/8D7ZJ7XW"],"itemData":{"id":24782,"type":"book","abstract":"The mrremind package (https://github.com/pik-piam/mrremind) contains data preprocessing for the REMIND model (https://github.com/remindmodel/remind)","note":"DOI: 10.5281/zenodo.4309197","publisher":"Zenodo","source":"Zenodo","title":"mrremind: MadRat REMIND Input Data Library","title-short":"mrremind","URL":"https://zenodo.org/record/4309197#.X84ExRO2nUI","author":[{"family":"Baumstark","given":"Lavinia"},{"family":"Giannousakis","given":"Anastasis"},{"family":"Rodrigues","given":"Renato"},{"family":"Levesque","given":"Antoine"},{"family":"Oeser","given":"Jonas"},{"family":"Bertram","given":"Christoph"},{"family":"Mouratiadou","given":"Ioanna"},{"family":"Malik","given":"Aman"},{"family":"Schreyer","given":"Felix"},{"family":"Soergel","given":"Bjoern"},{"family":"Rottoli","given":"Marianna"},{"family":"Mishra","given":"Abhijeet"},{"family":"Dirnaichner","given":"Alois"},{"family":"Pehl","given":"Michaja"},{"family":"Klein","given":"David"},{"family":"Strefler","given":"Jessica"},{"family":"Feldhaus","given":"Lukas"},{"family":"Brecha","given":"Regina"},{"family":"Dietrich","given":"Jan Philipp"},{"family":"Bi","given":"Stephen"}],"accessed":{"date-parts":[["2020",12,7]]},"issued":{"date-parts":[["2020",12,7]]}}}],"schema":"https://github.com/citation-style-language/schema/raw/master/csl-citation.json"} </w:instrText>
      </w:r>
      <w:r w:rsidRPr="00F532D9">
        <w:rPr>
          <w:rStyle w:val="Hyperlink"/>
          <w:sz w:val="22"/>
        </w:rPr>
        <w:fldChar w:fldCharType="separate"/>
      </w:r>
      <w:r w:rsidRPr="00F532D9">
        <w:rPr>
          <w:rFonts w:ascii="Cambria" w:hAnsi="Cambria" w:cs="Times New Roman"/>
          <w:sz w:val="22"/>
          <w:vertAlign w:val="superscript"/>
        </w:rPr>
        <w:t>2</w:t>
      </w:r>
      <w:r w:rsidRPr="00F532D9">
        <w:rPr>
          <w:rStyle w:val="Hyperlink"/>
          <w:sz w:val="22"/>
        </w:rPr>
        <w:fldChar w:fldCharType="end"/>
      </w:r>
      <w:r w:rsidRPr="00F532D9">
        <w:rPr>
          <w:sz w:val="22"/>
        </w:rPr>
        <w:t xml:space="preserve"> package developed by the Potsdam Institute for Climate Impact Research. The function is used to consolidate historical capacity data into specialized array format (</w:t>
      </w:r>
      <w:hyperlink r:id="rId11" w:history="1">
        <w:r w:rsidRPr="00F532D9">
          <w:rPr>
            <w:rStyle w:val="Hyperlink"/>
            <w:sz w:val="22"/>
          </w:rPr>
          <w:t>magclass</w:t>
        </w:r>
      </w:hyperlink>
      <w:r w:rsidRPr="00F532D9">
        <w:rPr>
          <w:sz w:val="22"/>
        </w:rPr>
        <w:fldChar w:fldCharType="begin"/>
      </w:r>
      <w:r w:rsidRPr="00F532D9">
        <w:rPr>
          <w:sz w:val="22"/>
        </w:rPr>
        <w:instrText xml:space="preserve"> ADDIN ZOTERO_ITEM CSL_CITATION {"citationID":"9WX625yI","properties":{"formattedCitation":"\\super 3\\nosupersub{}","plainCitation":"3","noteIndex":0},"citationItems":[{"id":24979,"uris":["http://zotero.org/groups/52011/items/V3TIBXRT"],"uri":["http://zotero.org/groups/52011/items/V3TIBXRT"],"itemData":{"id":24979,"type":"book","abstract":"Data class for increased interoperability working with spatial- temporal data together with corresponding functions and methods (conversions, basic calculations and basic data manipulation). The class distinguishes between spatial, temporal and other dimensions to facilitate the development and interoperability of tools build for it. Additional features are name-based addressing of data and internal consistency checks (e.g. checking for the right data order in calculations).","note":"DOI: 10.5281/ZENODO.1158580","publisher":"Zenodo","source":"DOI.org (Datacite)","title":"magclass: Data Class and Tools for Handling Spatial-Temporal Data","title-short":"magclass","URL":"https://zenodo.org/record/1158580","version":"5.15.6","author":[{"family":"Dietrich, Jan Philipp","given":""},{"family":"Bodirsky, Benjamin Leon","given":""},{"family":"Bonsch, Markus","given":""},{"family":"Humpenoeder, Florian","given":""},{"family":"Bi, Stephen","given":""},{"family":"Karstens, Kristine","given":""},{"family":"Baumstark, Lavinia","given":""},{"family":"Bertram, Christoph","given":""},{"family":"Giannousakis, Anastasis","given":""},{"family":"Klein, David","given":""},{"family":"Neher, Ina","given":""},{"family":"Pehl, Michaja","given":""},{"family":"Schultes, Anselm","given":""},{"family":"Stevanovic, Miodrag","given":""},{"family":"Wang, Xiaoxi","given":""},{"family":"Beier, Felicitas","given":""}],"accessed":{"date-parts":[["2021",2,3]]},"issued":{"date-parts":[["2020",12,14]]}}}],"schema":"https://github.com/citation-style-language/schema/raw/master/csl-citation.json"} </w:instrText>
      </w:r>
      <w:r w:rsidRPr="00F532D9">
        <w:rPr>
          <w:sz w:val="22"/>
        </w:rPr>
        <w:fldChar w:fldCharType="separate"/>
      </w:r>
      <w:r w:rsidRPr="00F532D9">
        <w:rPr>
          <w:rFonts w:ascii="Cambria" w:hAnsi="Cambria" w:cs="Times New Roman"/>
          <w:sz w:val="22"/>
          <w:vertAlign w:val="superscript"/>
        </w:rPr>
        <w:t>3</w:t>
      </w:r>
      <w:r w:rsidRPr="00F532D9">
        <w:rPr>
          <w:sz w:val="22"/>
        </w:rPr>
        <w:fldChar w:fldCharType="end"/>
      </w:r>
      <w:r w:rsidRPr="00F532D9">
        <w:rPr>
          <w:sz w:val="22"/>
        </w:rPr>
        <w:t xml:space="preserve"> objects) and to calculate national mean plant lifespans, project completion rate </w:t>
      </w:r>
      <w:r>
        <w:rPr>
          <w:sz w:val="22"/>
        </w:rPr>
        <w:t>of each</w:t>
      </w:r>
      <w:r w:rsidRPr="00F532D9">
        <w:rPr>
          <w:sz w:val="22"/>
        </w:rPr>
        <w:t xml:space="preserve"> pipeline phase, and scenarios for future capacity and associated emissions.</w:t>
      </w:r>
      <w:r>
        <w:rPr>
          <w:sz w:val="22"/>
        </w:rPr>
        <w:t xml:space="preserve"> National plant lifespans are calculated as the mean age at which power plants in each country are retired, weighted by the megawatt-capacity of the plant. The GCPT plant-level datasheet provides 100% coverage of the retirement age of retired plants and 99.9% coverage of their capacities. </w:t>
      </w:r>
    </w:p>
    <w:p w:rsidR="00C46969" w:rsidRPr="005525C9" w:rsidRDefault="00C46969" w:rsidP="00C46969">
      <w:pPr>
        <w:pStyle w:val="BodyText"/>
        <w:jc w:val="both"/>
        <w:rPr>
          <w:sz w:val="22"/>
        </w:rPr>
      </w:pPr>
      <w:r>
        <w:rPr>
          <w:sz w:val="22"/>
        </w:rPr>
        <w:t xml:space="preserve">The calculation of phase-specific national project completion rates is – to our knowledge – a novelty of this study. </w:t>
      </w:r>
      <w:r w:rsidRPr="00B9611D">
        <w:rPr>
          <w:sz w:val="22"/>
        </w:rPr>
        <w:t xml:space="preserve">This </w:t>
      </w:r>
      <w:r>
        <w:rPr>
          <w:sz w:val="22"/>
        </w:rPr>
        <w:t xml:space="preserve">consists of several steps. First, </w:t>
      </w:r>
      <w:r w:rsidR="000F0354">
        <w:rPr>
          <w:sz w:val="22"/>
        </w:rPr>
        <w:t xml:space="preserve">a plant-level </w:t>
      </w:r>
      <w:r>
        <w:rPr>
          <w:sz w:val="22"/>
        </w:rPr>
        <w:t xml:space="preserve">datasheet </w:t>
      </w:r>
      <w:r w:rsidR="000F0354">
        <w:rPr>
          <w:sz w:val="22"/>
        </w:rPr>
        <w:t xml:space="preserve">tracking the lifecycle stage of each asset </w:t>
      </w:r>
      <w:r>
        <w:rPr>
          <w:sz w:val="22"/>
        </w:rPr>
        <w:t xml:space="preserve">is parsed to compile transition flows, i.e. the number of plants which changed from announced to operating, from permitted to canceled or from construction to shelved to operating, for example. In total, 36 flow permutations are tracked and aggregated to the country level. Second, these flows are used to compute </w:t>
      </w:r>
      <w:r w:rsidRPr="00B9611D">
        <w:rPr>
          <w:sz w:val="22"/>
        </w:rPr>
        <w:t xml:space="preserve">the rates with which projects in each </w:t>
      </w:r>
      <w:r>
        <w:rPr>
          <w:sz w:val="22"/>
        </w:rPr>
        <w:t xml:space="preserve">phase have been cancelled or shelved in each country. Importantly, since shelved construction projects are much more likely to eventually reach completion than shelved pre-permit projects, we derive the cancellation rates of </w:t>
      </w:r>
      <w:r w:rsidRPr="00B9611D">
        <w:rPr>
          <w:sz w:val="22"/>
        </w:rPr>
        <w:t>she</w:t>
      </w:r>
      <w:r>
        <w:rPr>
          <w:sz w:val="22"/>
        </w:rPr>
        <w:t xml:space="preserve">lved projects specific to each previous stage of development. </w:t>
      </w:r>
    </w:p>
    <w:p w:rsidR="00C46969" w:rsidRDefault="00C46969" w:rsidP="00DB6B47">
      <w:pPr>
        <w:jc w:val="both"/>
        <w:rPr>
          <w:lang w:val="en-US"/>
        </w:rPr>
      </w:pPr>
      <w:r>
        <w:rPr>
          <w:lang w:val="en-US"/>
        </w:rPr>
        <w:t>Third, a significant fraction of the coal pipeline can be found in developing nations with a nascent coal power industry, hence their historical project data are either unreliable or nonexistent. Thus, we calculate the weighted mean cancellation and shelving rates of each of REMIND’s 12 world regions</w:t>
      </w:r>
      <w:r w:rsidR="00682F42">
        <w:rPr>
          <w:lang w:val="en-US"/>
        </w:rPr>
        <w:t xml:space="preserve"> (Figure M1)</w:t>
      </w:r>
      <w:r>
        <w:rPr>
          <w:lang w:val="en-US"/>
        </w:rPr>
        <w:t>, and any nation with over 50% of its entire coal history in the planning phases are assigned their region’s value. Finally, national completion rates are calculated by subtracting the phase-specific cancellation and shelving rates from 100%.</w:t>
      </w:r>
    </w:p>
    <w:p w:rsidR="00155B0C" w:rsidRDefault="00155B0C" w:rsidP="00155B0C">
      <w:pPr>
        <w:jc w:val="both"/>
        <w:rPr>
          <w:rFonts w:eastAsiaTheme="minorEastAsia"/>
          <w:sz w:val="20"/>
          <w:lang w:val="en-US"/>
        </w:rPr>
      </w:pPr>
    </w:p>
    <w:tbl>
      <w:tblPr>
        <w:tblW w:w="0" w:type="auto"/>
        <w:tblLayout w:type="fixed"/>
        <w:tblCellMar>
          <w:left w:w="70" w:type="dxa"/>
          <w:right w:w="70" w:type="dxa"/>
        </w:tblCellMar>
        <w:tblLook w:val="04A0" w:firstRow="1" w:lastRow="0" w:firstColumn="1" w:lastColumn="0" w:noHBand="0" w:noVBand="1"/>
      </w:tblPr>
      <w:tblGrid>
        <w:gridCol w:w="1350"/>
        <w:gridCol w:w="810"/>
        <w:gridCol w:w="720"/>
        <w:gridCol w:w="810"/>
        <w:gridCol w:w="694"/>
        <w:gridCol w:w="836"/>
        <w:gridCol w:w="727"/>
        <w:gridCol w:w="781"/>
        <w:gridCol w:w="781"/>
        <w:gridCol w:w="781"/>
        <w:gridCol w:w="782"/>
      </w:tblGrid>
      <w:tr w:rsidR="00155B0C" w:rsidRPr="0070281C" w:rsidTr="00CE2C91">
        <w:trPr>
          <w:trHeight w:val="290"/>
        </w:trPr>
        <w:tc>
          <w:tcPr>
            <w:tcW w:w="1350" w:type="dxa"/>
            <w:tcBorders>
              <w:top w:val="nil"/>
              <w:left w:val="nil"/>
              <w:bottom w:val="single" w:sz="4" w:space="0" w:color="auto"/>
              <w:right w:val="single" w:sz="4" w:space="0" w:color="auto"/>
            </w:tcBorders>
            <w:shd w:val="clear" w:color="auto" w:fill="auto"/>
            <w:noWrap/>
            <w:vAlign w:val="bottom"/>
            <w:hideMark/>
          </w:tcPr>
          <w:p w:rsidR="00155B0C" w:rsidRPr="00300F4C" w:rsidRDefault="00155B0C" w:rsidP="00CE2C91">
            <w:pPr>
              <w:spacing w:after="0" w:line="240" w:lineRule="auto"/>
              <w:rPr>
                <w:rFonts w:ascii="Calibri" w:eastAsia="Times New Roman" w:hAnsi="Calibri" w:cs="Calibri"/>
                <w:b/>
                <w:color w:val="000000"/>
                <w:sz w:val="18"/>
                <w:lang w:val="en-US" w:eastAsia="de-DE"/>
              </w:rPr>
            </w:pPr>
            <w:r w:rsidRPr="00300F4C">
              <w:rPr>
                <w:rFonts w:ascii="Calibri" w:eastAsia="Times New Roman" w:hAnsi="Calibri" w:cs="Calibri"/>
                <w:b/>
                <w:color w:val="000000"/>
                <w:sz w:val="18"/>
                <w:lang w:val="en-US" w:eastAsia="de-DE"/>
              </w:rPr>
              <w:lastRenderedPageBreak/>
              <w:t> </w:t>
            </w:r>
          </w:p>
        </w:tc>
        <w:tc>
          <w:tcPr>
            <w:tcW w:w="1530" w:type="dxa"/>
            <w:gridSpan w:val="2"/>
            <w:tcBorders>
              <w:top w:val="nil"/>
              <w:left w:val="nil"/>
              <w:bottom w:val="single" w:sz="4" w:space="0" w:color="auto"/>
              <w:right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20"/>
                <w:lang w:eastAsia="de-DE"/>
              </w:rPr>
            </w:pPr>
            <w:proofErr w:type="spellStart"/>
            <w:r w:rsidRPr="0070281C">
              <w:rPr>
                <w:rFonts w:ascii="Calibri" w:eastAsia="Times New Roman" w:hAnsi="Calibri" w:cs="Calibri"/>
                <w:b/>
                <w:color w:val="000000"/>
                <w:sz w:val="20"/>
                <w:lang w:eastAsia="de-DE"/>
              </w:rPr>
              <w:t>Announced</w:t>
            </w:r>
            <w:proofErr w:type="spellEnd"/>
          </w:p>
        </w:tc>
        <w:tc>
          <w:tcPr>
            <w:tcW w:w="1504" w:type="dxa"/>
            <w:gridSpan w:val="2"/>
            <w:tcBorders>
              <w:top w:val="nil"/>
              <w:left w:val="nil"/>
              <w:bottom w:val="single" w:sz="4" w:space="0" w:color="auto"/>
              <w:right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20"/>
                <w:lang w:eastAsia="de-DE"/>
              </w:rPr>
            </w:pPr>
            <w:proofErr w:type="spellStart"/>
            <w:r w:rsidRPr="0070281C">
              <w:rPr>
                <w:rFonts w:ascii="Calibri" w:eastAsia="Times New Roman" w:hAnsi="Calibri" w:cs="Calibri"/>
                <w:b/>
                <w:color w:val="000000"/>
                <w:sz w:val="20"/>
                <w:lang w:eastAsia="de-DE"/>
              </w:rPr>
              <w:t>Pre</w:t>
            </w:r>
            <w:proofErr w:type="spellEnd"/>
            <w:r w:rsidRPr="0070281C">
              <w:rPr>
                <w:rFonts w:ascii="Calibri" w:eastAsia="Times New Roman" w:hAnsi="Calibri" w:cs="Calibri"/>
                <w:b/>
                <w:color w:val="000000"/>
                <w:sz w:val="20"/>
                <w:lang w:eastAsia="de-DE"/>
              </w:rPr>
              <w:t>-permit</w:t>
            </w:r>
          </w:p>
        </w:tc>
        <w:tc>
          <w:tcPr>
            <w:tcW w:w="1563" w:type="dxa"/>
            <w:gridSpan w:val="2"/>
            <w:tcBorders>
              <w:top w:val="nil"/>
              <w:left w:val="nil"/>
              <w:bottom w:val="single" w:sz="4" w:space="0" w:color="auto"/>
              <w:right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20"/>
                <w:lang w:eastAsia="de-DE"/>
              </w:rPr>
            </w:pPr>
            <w:proofErr w:type="spellStart"/>
            <w:r w:rsidRPr="0070281C">
              <w:rPr>
                <w:rFonts w:ascii="Calibri" w:eastAsia="Times New Roman" w:hAnsi="Calibri" w:cs="Calibri"/>
                <w:b/>
                <w:color w:val="000000"/>
                <w:sz w:val="20"/>
                <w:lang w:eastAsia="de-DE"/>
              </w:rPr>
              <w:t>Permitted</w:t>
            </w:r>
            <w:proofErr w:type="spellEnd"/>
          </w:p>
        </w:tc>
        <w:tc>
          <w:tcPr>
            <w:tcW w:w="1562" w:type="dxa"/>
            <w:gridSpan w:val="2"/>
            <w:tcBorders>
              <w:top w:val="nil"/>
              <w:left w:val="nil"/>
              <w:bottom w:val="single" w:sz="4" w:space="0" w:color="auto"/>
              <w:right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20"/>
                <w:lang w:eastAsia="de-DE"/>
              </w:rPr>
            </w:pPr>
            <w:proofErr w:type="spellStart"/>
            <w:r w:rsidRPr="0070281C">
              <w:rPr>
                <w:rFonts w:ascii="Calibri" w:eastAsia="Times New Roman" w:hAnsi="Calibri" w:cs="Calibri"/>
                <w:b/>
                <w:color w:val="000000"/>
                <w:sz w:val="20"/>
                <w:lang w:eastAsia="de-DE"/>
              </w:rPr>
              <w:t>Construction</w:t>
            </w:r>
            <w:proofErr w:type="spellEnd"/>
          </w:p>
        </w:tc>
        <w:tc>
          <w:tcPr>
            <w:tcW w:w="1563" w:type="dxa"/>
            <w:gridSpan w:val="2"/>
            <w:tcBorders>
              <w:top w:val="nil"/>
              <w:left w:val="nil"/>
              <w:bottom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20"/>
                <w:lang w:eastAsia="de-DE"/>
              </w:rPr>
            </w:pPr>
            <w:proofErr w:type="spellStart"/>
            <w:r w:rsidRPr="0070281C">
              <w:rPr>
                <w:rFonts w:ascii="Calibri" w:eastAsia="Times New Roman" w:hAnsi="Calibri" w:cs="Calibri"/>
                <w:b/>
                <w:color w:val="000000"/>
                <w:sz w:val="20"/>
                <w:lang w:eastAsia="de-DE"/>
              </w:rPr>
              <w:t>Shelved</w:t>
            </w:r>
            <w:proofErr w:type="spellEnd"/>
          </w:p>
        </w:tc>
      </w:tr>
      <w:tr w:rsidR="00155B0C" w:rsidRPr="0070281C" w:rsidTr="00CE2C91">
        <w:trPr>
          <w:trHeight w:val="290"/>
        </w:trPr>
        <w:tc>
          <w:tcPr>
            <w:tcW w:w="1350" w:type="dxa"/>
            <w:tcBorders>
              <w:top w:val="nil"/>
              <w:left w:val="nil"/>
              <w:bottom w:val="single" w:sz="4" w:space="0" w:color="auto"/>
              <w:right w:val="single" w:sz="4" w:space="0" w:color="auto"/>
            </w:tcBorders>
            <w:shd w:val="clear" w:color="auto" w:fill="auto"/>
            <w:noWrap/>
            <w:vAlign w:val="center"/>
            <w:hideMark/>
          </w:tcPr>
          <w:p w:rsidR="00155B0C" w:rsidRPr="0070281C" w:rsidRDefault="00155B0C" w:rsidP="00CE2C91">
            <w:pPr>
              <w:spacing w:after="0" w:line="240" w:lineRule="auto"/>
              <w:jc w:val="center"/>
              <w:rPr>
                <w:rFonts w:ascii="Calibri" w:eastAsia="Times New Roman" w:hAnsi="Calibri" w:cs="Calibri"/>
                <w:b/>
                <w:color w:val="000000"/>
                <w:sz w:val="18"/>
                <w:lang w:eastAsia="de-DE"/>
              </w:rPr>
            </w:pPr>
            <w:r w:rsidRPr="0070281C">
              <w:rPr>
                <w:rFonts w:ascii="Calibri" w:eastAsia="Times New Roman" w:hAnsi="Calibri" w:cs="Calibri"/>
                <w:b/>
                <w:color w:val="000000"/>
                <w:sz w:val="20"/>
                <w:lang w:eastAsia="de-DE"/>
              </w:rPr>
              <w:t>Region</w:t>
            </w:r>
          </w:p>
        </w:tc>
        <w:tc>
          <w:tcPr>
            <w:tcW w:w="8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18"/>
                <w:lang w:eastAsia="de-DE"/>
              </w:rPr>
            </w:pPr>
            <w:proofErr w:type="spellStart"/>
            <w:r w:rsidRPr="0070281C">
              <w:rPr>
                <w:rFonts w:ascii="Calibri" w:eastAsia="Times New Roman" w:hAnsi="Calibri" w:cs="Calibri"/>
                <w:b/>
                <w:color w:val="000000"/>
                <w:sz w:val="18"/>
                <w:lang w:eastAsia="de-DE"/>
              </w:rPr>
              <w:t>Capacity</w:t>
            </w:r>
            <w:proofErr w:type="spellEnd"/>
            <w:r w:rsidRPr="0070281C">
              <w:rPr>
                <w:rFonts w:ascii="Calibri" w:eastAsia="Times New Roman" w:hAnsi="Calibri" w:cs="Calibri"/>
                <w:b/>
                <w:color w:val="000000"/>
                <w:sz w:val="18"/>
                <w:lang w:eastAsia="de-DE"/>
              </w:rPr>
              <w:t xml:space="preserve"> (GW)</w:t>
            </w:r>
          </w:p>
        </w:tc>
        <w:tc>
          <w:tcPr>
            <w:tcW w:w="720" w:type="dxa"/>
            <w:tcBorders>
              <w:top w:val="single" w:sz="4" w:space="0" w:color="auto"/>
              <w:left w:val="nil"/>
              <w:bottom w:val="single" w:sz="4" w:space="0" w:color="auto"/>
              <w:right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18"/>
                <w:lang w:val="en-US" w:eastAsia="de-DE"/>
              </w:rPr>
            </w:pPr>
            <w:r w:rsidRPr="0070281C">
              <w:rPr>
                <w:rFonts w:ascii="Calibri" w:eastAsia="Times New Roman" w:hAnsi="Calibri" w:cs="Calibri"/>
                <w:b/>
                <w:color w:val="000000"/>
                <w:sz w:val="18"/>
                <w:lang w:val="en-US" w:eastAsia="de-DE"/>
              </w:rPr>
              <w:t>Comp. Rate</w:t>
            </w:r>
          </w:p>
        </w:tc>
        <w:tc>
          <w:tcPr>
            <w:tcW w:w="810" w:type="dxa"/>
            <w:tcBorders>
              <w:top w:val="single" w:sz="4" w:space="0" w:color="auto"/>
              <w:left w:val="nil"/>
              <w:bottom w:val="single" w:sz="4" w:space="0" w:color="auto"/>
              <w:right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18"/>
                <w:lang w:val="en-US" w:eastAsia="de-DE"/>
              </w:rPr>
            </w:pPr>
            <w:r w:rsidRPr="0070281C">
              <w:rPr>
                <w:rFonts w:ascii="Calibri" w:eastAsia="Times New Roman" w:hAnsi="Calibri" w:cs="Calibri"/>
                <w:b/>
                <w:color w:val="000000"/>
                <w:sz w:val="18"/>
                <w:lang w:val="en-US" w:eastAsia="de-DE"/>
              </w:rPr>
              <w:t>Capacity (GW)</w:t>
            </w:r>
          </w:p>
        </w:tc>
        <w:tc>
          <w:tcPr>
            <w:tcW w:w="694" w:type="dxa"/>
            <w:tcBorders>
              <w:top w:val="single" w:sz="4" w:space="0" w:color="auto"/>
              <w:left w:val="nil"/>
              <w:bottom w:val="single" w:sz="4" w:space="0" w:color="auto"/>
              <w:right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18"/>
                <w:lang w:val="en-US" w:eastAsia="de-DE"/>
              </w:rPr>
            </w:pPr>
            <w:r w:rsidRPr="0070281C">
              <w:rPr>
                <w:rFonts w:ascii="Calibri" w:eastAsia="Times New Roman" w:hAnsi="Calibri" w:cs="Calibri"/>
                <w:b/>
                <w:color w:val="000000"/>
                <w:sz w:val="18"/>
                <w:lang w:val="en-US" w:eastAsia="de-DE"/>
              </w:rPr>
              <w:t>Comp. Rate</w:t>
            </w:r>
          </w:p>
        </w:tc>
        <w:tc>
          <w:tcPr>
            <w:tcW w:w="836" w:type="dxa"/>
            <w:tcBorders>
              <w:top w:val="single" w:sz="4" w:space="0" w:color="auto"/>
              <w:left w:val="nil"/>
              <w:bottom w:val="single" w:sz="4" w:space="0" w:color="auto"/>
              <w:right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18"/>
                <w:lang w:val="en-US" w:eastAsia="de-DE"/>
              </w:rPr>
            </w:pPr>
            <w:r w:rsidRPr="0070281C">
              <w:rPr>
                <w:rFonts w:ascii="Calibri" w:eastAsia="Times New Roman" w:hAnsi="Calibri" w:cs="Calibri"/>
                <w:b/>
                <w:color w:val="000000"/>
                <w:sz w:val="18"/>
                <w:lang w:val="en-US" w:eastAsia="de-DE"/>
              </w:rPr>
              <w:t>Capacity (GW)</w:t>
            </w:r>
          </w:p>
        </w:tc>
        <w:tc>
          <w:tcPr>
            <w:tcW w:w="727" w:type="dxa"/>
            <w:tcBorders>
              <w:top w:val="single" w:sz="4" w:space="0" w:color="auto"/>
              <w:left w:val="nil"/>
              <w:bottom w:val="single" w:sz="4" w:space="0" w:color="auto"/>
              <w:right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18"/>
                <w:lang w:val="en-US" w:eastAsia="de-DE"/>
              </w:rPr>
            </w:pPr>
            <w:r w:rsidRPr="0070281C">
              <w:rPr>
                <w:rFonts w:ascii="Calibri" w:eastAsia="Times New Roman" w:hAnsi="Calibri" w:cs="Calibri"/>
                <w:b/>
                <w:color w:val="000000"/>
                <w:sz w:val="18"/>
                <w:lang w:val="en-US" w:eastAsia="de-DE"/>
              </w:rPr>
              <w:t>Comp. Rate</w:t>
            </w:r>
          </w:p>
        </w:tc>
        <w:tc>
          <w:tcPr>
            <w:tcW w:w="781" w:type="dxa"/>
            <w:tcBorders>
              <w:top w:val="single" w:sz="4" w:space="0" w:color="auto"/>
              <w:left w:val="nil"/>
              <w:bottom w:val="single" w:sz="4" w:space="0" w:color="auto"/>
              <w:right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18"/>
                <w:lang w:val="en-US" w:eastAsia="de-DE"/>
              </w:rPr>
            </w:pPr>
            <w:r w:rsidRPr="0070281C">
              <w:rPr>
                <w:rFonts w:ascii="Calibri" w:eastAsia="Times New Roman" w:hAnsi="Calibri" w:cs="Calibri"/>
                <w:b/>
                <w:color w:val="000000"/>
                <w:sz w:val="18"/>
                <w:lang w:val="en-US" w:eastAsia="de-DE"/>
              </w:rPr>
              <w:t>Capacity (GW)</w:t>
            </w:r>
          </w:p>
        </w:tc>
        <w:tc>
          <w:tcPr>
            <w:tcW w:w="781" w:type="dxa"/>
            <w:tcBorders>
              <w:top w:val="single" w:sz="4" w:space="0" w:color="auto"/>
              <w:left w:val="nil"/>
              <w:bottom w:val="single" w:sz="4" w:space="0" w:color="auto"/>
              <w:right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18"/>
                <w:lang w:val="en-US" w:eastAsia="de-DE"/>
              </w:rPr>
            </w:pPr>
            <w:r w:rsidRPr="0070281C">
              <w:rPr>
                <w:rFonts w:ascii="Calibri" w:eastAsia="Times New Roman" w:hAnsi="Calibri" w:cs="Calibri"/>
                <w:b/>
                <w:color w:val="000000"/>
                <w:sz w:val="18"/>
                <w:lang w:val="en-US" w:eastAsia="de-DE"/>
              </w:rPr>
              <w:t>Comp. Rate</w:t>
            </w:r>
          </w:p>
        </w:tc>
        <w:tc>
          <w:tcPr>
            <w:tcW w:w="781" w:type="dxa"/>
            <w:tcBorders>
              <w:top w:val="single" w:sz="4" w:space="0" w:color="auto"/>
              <w:left w:val="nil"/>
              <w:bottom w:val="single" w:sz="4" w:space="0" w:color="auto"/>
              <w:right w:val="single" w:sz="4" w:space="0" w:color="auto"/>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18"/>
                <w:lang w:val="en-US" w:eastAsia="de-DE"/>
              </w:rPr>
            </w:pPr>
            <w:r w:rsidRPr="0070281C">
              <w:rPr>
                <w:rFonts w:ascii="Calibri" w:eastAsia="Times New Roman" w:hAnsi="Calibri" w:cs="Calibri"/>
                <w:b/>
                <w:color w:val="000000"/>
                <w:sz w:val="18"/>
                <w:lang w:val="en-US" w:eastAsia="de-DE"/>
              </w:rPr>
              <w:t>Capacity (GW)</w:t>
            </w:r>
          </w:p>
        </w:tc>
        <w:tc>
          <w:tcPr>
            <w:tcW w:w="782" w:type="dxa"/>
            <w:tcBorders>
              <w:top w:val="nil"/>
              <w:left w:val="single" w:sz="4" w:space="0" w:color="auto"/>
              <w:bottom w:val="single" w:sz="4" w:space="0" w:color="auto"/>
              <w:right w:val="nil"/>
            </w:tcBorders>
            <w:shd w:val="clear" w:color="auto" w:fill="auto"/>
            <w:noWrap/>
            <w:vAlign w:val="bottom"/>
            <w:hideMark/>
          </w:tcPr>
          <w:p w:rsidR="00155B0C" w:rsidRPr="0070281C" w:rsidRDefault="00155B0C" w:rsidP="00CE2C91">
            <w:pPr>
              <w:spacing w:after="0" w:line="240" w:lineRule="auto"/>
              <w:jc w:val="center"/>
              <w:rPr>
                <w:rFonts w:ascii="Calibri" w:eastAsia="Times New Roman" w:hAnsi="Calibri" w:cs="Calibri"/>
                <w:b/>
                <w:color w:val="000000"/>
                <w:sz w:val="18"/>
                <w:lang w:val="en-US" w:eastAsia="de-DE"/>
              </w:rPr>
            </w:pPr>
            <w:r w:rsidRPr="0070281C">
              <w:rPr>
                <w:rFonts w:ascii="Calibri" w:eastAsia="Times New Roman" w:hAnsi="Calibri" w:cs="Calibri"/>
                <w:b/>
                <w:color w:val="000000"/>
                <w:sz w:val="18"/>
                <w:lang w:val="en-US" w:eastAsia="de-DE"/>
              </w:rPr>
              <w:t>Comp. Rate</w:t>
            </w:r>
          </w:p>
        </w:tc>
      </w:tr>
      <w:tr w:rsidR="00155B0C" w:rsidRPr="0070281C" w:rsidTr="004673F4">
        <w:trPr>
          <w:trHeight w:val="290"/>
        </w:trPr>
        <w:tc>
          <w:tcPr>
            <w:tcW w:w="1350" w:type="dxa"/>
            <w:tcBorders>
              <w:top w:val="single" w:sz="4" w:space="0" w:color="auto"/>
              <w:bottom w:val="single" w:sz="4" w:space="0" w:color="auto"/>
              <w:right w:val="single" w:sz="4" w:space="0" w:color="auto"/>
            </w:tcBorders>
            <w:shd w:val="clear" w:color="auto" w:fill="E7E6E6" w:themeFill="background2"/>
            <w:noWrap/>
            <w:vAlign w:val="center"/>
            <w:hideMark/>
          </w:tcPr>
          <w:p w:rsidR="00155B0C" w:rsidRPr="0070281C" w:rsidRDefault="00155B0C" w:rsidP="00CE2C91">
            <w:pPr>
              <w:spacing w:after="0" w:line="240" w:lineRule="auto"/>
              <w:rPr>
                <w:rFonts w:ascii="Calibri" w:eastAsia="Times New Roman" w:hAnsi="Calibri" w:cs="Calibri"/>
                <w:b/>
                <w:color w:val="000000"/>
                <w:sz w:val="18"/>
                <w:lang w:eastAsia="de-DE"/>
              </w:rPr>
            </w:pPr>
            <w:r w:rsidRPr="0070281C">
              <w:rPr>
                <w:rFonts w:ascii="Calibri" w:eastAsia="Times New Roman" w:hAnsi="Calibri" w:cs="Calibri"/>
                <w:b/>
                <w:color w:val="000000"/>
                <w:sz w:val="18"/>
                <w:lang w:val="en-US" w:eastAsia="de-DE"/>
              </w:rPr>
              <w:t>Canada, AUS, N</w:t>
            </w:r>
            <w:proofErr w:type="spellStart"/>
            <w:r>
              <w:rPr>
                <w:rFonts w:ascii="Calibri" w:eastAsia="Times New Roman" w:hAnsi="Calibri" w:cs="Calibri"/>
                <w:b/>
                <w:color w:val="000000"/>
                <w:sz w:val="18"/>
                <w:lang w:eastAsia="de-DE"/>
              </w:rPr>
              <w:t>ew</w:t>
            </w:r>
            <w:proofErr w:type="spellEnd"/>
            <w:r>
              <w:rPr>
                <w:rFonts w:ascii="Calibri" w:eastAsia="Times New Roman" w:hAnsi="Calibri" w:cs="Calibri"/>
                <w:b/>
                <w:color w:val="000000"/>
                <w:sz w:val="18"/>
                <w:lang w:eastAsia="de-DE"/>
              </w:rPr>
              <w:t xml:space="preserve"> </w:t>
            </w:r>
            <w:proofErr w:type="spellStart"/>
            <w:r>
              <w:rPr>
                <w:rFonts w:ascii="Calibri" w:eastAsia="Times New Roman" w:hAnsi="Calibri" w:cs="Calibri"/>
                <w:b/>
                <w:color w:val="000000"/>
                <w:sz w:val="18"/>
                <w:lang w:eastAsia="de-DE"/>
              </w:rPr>
              <w:t>Zealand</w:t>
            </w:r>
            <w:proofErr w:type="spellEnd"/>
          </w:p>
        </w:tc>
        <w:tc>
          <w:tcPr>
            <w:tcW w:w="81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2.0</w:t>
            </w:r>
          </w:p>
        </w:tc>
        <w:tc>
          <w:tcPr>
            <w:tcW w:w="72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70.9%</w:t>
            </w:r>
          </w:p>
        </w:tc>
        <w:tc>
          <w:tcPr>
            <w:tcW w:w="81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1.0</w:t>
            </w:r>
          </w:p>
        </w:tc>
        <w:tc>
          <w:tcPr>
            <w:tcW w:w="694"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836"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27"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7.2%</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7.2%</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2.2</w:t>
            </w:r>
          </w:p>
        </w:tc>
        <w:tc>
          <w:tcPr>
            <w:tcW w:w="782" w:type="dxa"/>
            <w:tcBorders>
              <w:top w:val="nil"/>
              <w:left w:val="single" w:sz="4" w:space="0" w:color="auto"/>
              <w:bottom w:val="single" w:sz="4" w:space="0" w:color="auto"/>
              <w:right w:val="nil"/>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r>
      <w:tr w:rsidR="00155B0C" w:rsidRPr="0070281C" w:rsidTr="00CE2C91">
        <w:trPr>
          <w:trHeight w:val="290"/>
        </w:trPr>
        <w:tc>
          <w:tcPr>
            <w:tcW w:w="1350" w:type="dxa"/>
            <w:tcBorders>
              <w:top w:val="nil"/>
              <w:bottom w:val="single" w:sz="4" w:space="0" w:color="auto"/>
              <w:right w:val="single" w:sz="4" w:space="0" w:color="auto"/>
            </w:tcBorders>
            <w:shd w:val="clear" w:color="auto" w:fill="auto"/>
            <w:noWrap/>
            <w:vAlign w:val="center"/>
            <w:hideMark/>
          </w:tcPr>
          <w:p w:rsidR="00155B0C" w:rsidRPr="0070281C" w:rsidRDefault="00155B0C" w:rsidP="00CE2C91">
            <w:pPr>
              <w:spacing w:after="0" w:line="240" w:lineRule="auto"/>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China</w:t>
            </w:r>
          </w:p>
        </w:tc>
        <w:tc>
          <w:tcPr>
            <w:tcW w:w="81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57.4</w:t>
            </w:r>
          </w:p>
        </w:tc>
        <w:tc>
          <w:tcPr>
            <w:tcW w:w="72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28.1%</w:t>
            </w:r>
          </w:p>
        </w:tc>
        <w:tc>
          <w:tcPr>
            <w:tcW w:w="81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48.2</w:t>
            </w:r>
          </w:p>
        </w:tc>
        <w:tc>
          <w:tcPr>
            <w:tcW w:w="694"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51.4%</w:t>
            </w:r>
          </w:p>
        </w:tc>
        <w:tc>
          <w:tcPr>
            <w:tcW w:w="836"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53.2</w:t>
            </w:r>
          </w:p>
        </w:tc>
        <w:tc>
          <w:tcPr>
            <w:tcW w:w="727"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72.0%</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88.1</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91.6%</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38.8</w:t>
            </w:r>
          </w:p>
        </w:tc>
        <w:tc>
          <w:tcPr>
            <w:tcW w:w="782" w:type="dxa"/>
            <w:tcBorders>
              <w:top w:val="nil"/>
              <w:left w:val="single" w:sz="4" w:space="0" w:color="auto"/>
              <w:bottom w:val="single" w:sz="4" w:space="0" w:color="auto"/>
              <w:right w:val="nil"/>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5.9%</w:t>
            </w:r>
          </w:p>
        </w:tc>
      </w:tr>
      <w:tr w:rsidR="00155B0C" w:rsidRPr="0070281C" w:rsidTr="004673F4">
        <w:trPr>
          <w:trHeight w:val="290"/>
        </w:trPr>
        <w:tc>
          <w:tcPr>
            <w:tcW w:w="1350" w:type="dxa"/>
            <w:tcBorders>
              <w:top w:val="nil"/>
              <w:bottom w:val="single" w:sz="4" w:space="0" w:color="auto"/>
              <w:right w:val="single" w:sz="4" w:space="0" w:color="auto"/>
            </w:tcBorders>
            <w:shd w:val="clear" w:color="auto" w:fill="E7E6E6" w:themeFill="background2"/>
            <w:noWrap/>
            <w:vAlign w:val="center"/>
            <w:hideMark/>
          </w:tcPr>
          <w:p w:rsidR="00155B0C" w:rsidRPr="0070281C" w:rsidRDefault="00155B0C" w:rsidP="00CE2C91">
            <w:pPr>
              <w:spacing w:after="0" w:line="240" w:lineRule="auto"/>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EU-28</w:t>
            </w:r>
          </w:p>
        </w:tc>
        <w:tc>
          <w:tcPr>
            <w:tcW w:w="81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2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26.3%</w:t>
            </w:r>
          </w:p>
        </w:tc>
        <w:tc>
          <w:tcPr>
            <w:tcW w:w="81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0.5</w:t>
            </w:r>
          </w:p>
        </w:tc>
        <w:tc>
          <w:tcPr>
            <w:tcW w:w="694"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24.1%</w:t>
            </w:r>
          </w:p>
        </w:tc>
        <w:tc>
          <w:tcPr>
            <w:tcW w:w="836"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0.1</w:t>
            </w:r>
          </w:p>
        </w:tc>
        <w:tc>
          <w:tcPr>
            <w:tcW w:w="727"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76.9%</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1.2</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95.3%</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82" w:type="dxa"/>
            <w:tcBorders>
              <w:top w:val="nil"/>
              <w:left w:val="single" w:sz="4" w:space="0" w:color="auto"/>
              <w:bottom w:val="single" w:sz="4" w:space="0" w:color="auto"/>
              <w:right w:val="nil"/>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4.7%</w:t>
            </w:r>
          </w:p>
        </w:tc>
      </w:tr>
      <w:tr w:rsidR="00155B0C" w:rsidRPr="0070281C" w:rsidTr="00CE2C91">
        <w:trPr>
          <w:trHeight w:val="290"/>
        </w:trPr>
        <w:tc>
          <w:tcPr>
            <w:tcW w:w="1350" w:type="dxa"/>
            <w:tcBorders>
              <w:top w:val="nil"/>
              <w:bottom w:val="single" w:sz="4" w:space="0" w:color="auto"/>
              <w:right w:val="single" w:sz="4" w:space="0" w:color="auto"/>
            </w:tcBorders>
            <w:shd w:val="clear" w:color="auto" w:fill="auto"/>
            <w:noWrap/>
            <w:vAlign w:val="center"/>
            <w:hideMark/>
          </w:tcPr>
          <w:p w:rsidR="00155B0C" w:rsidRPr="0070281C" w:rsidRDefault="00155B0C" w:rsidP="00CE2C91">
            <w:pPr>
              <w:spacing w:after="0" w:line="240" w:lineRule="auto"/>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 xml:space="preserve">Former </w:t>
            </w:r>
            <w:proofErr w:type="spellStart"/>
            <w:r w:rsidRPr="0070281C">
              <w:rPr>
                <w:rFonts w:ascii="Calibri" w:eastAsia="Times New Roman" w:hAnsi="Calibri" w:cs="Calibri"/>
                <w:b/>
                <w:color w:val="000000"/>
                <w:sz w:val="18"/>
                <w:lang w:eastAsia="de-DE"/>
              </w:rPr>
              <w:t>Soviet</w:t>
            </w:r>
            <w:proofErr w:type="spellEnd"/>
            <w:r w:rsidRPr="0070281C">
              <w:rPr>
                <w:rFonts w:ascii="Calibri" w:eastAsia="Times New Roman" w:hAnsi="Calibri" w:cs="Calibri"/>
                <w:b/>
                <w:color w:val="000000"/>
                <w:sz w:val="18"/>
                <w:lang w:eastAsia="de-DE"/>
              </w:rPr>
              <w:t xml:space="preserve"> Union</w:t>
            </w:r>
          </w:p>
        </w:tc>
        <w:tc>
          <w:tcPr>
            <w:tcW w:w="81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0.8</w:t>
            </w:r>
          </w:p>
        </w:tc>
        <w:tc>
          <w:tcPr>
            <w:tcW w:w="72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44.9%</w:t>
            </w:r>
          </w:p>
        </w:tc>
        <w:tc>
          <w:tcPr>
            <w:tcW w:w="81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1.0</w:t>
            </w:r>
          </w:p>
        </w:tc>
        <w:tc>
          <w:tcPr>
            <w:tcW w:w="694"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73.5%</w:t>
            </w:r>
          </w:p>
        </w:tc>
        <w:tc>
          <w:tcPr>
            <w:tcW w:w="836"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27"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32.5%</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1.0</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94.4%</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2.8</w:t>
            </w:r>
          </w:p>
        </w:tc>
        <w:tc>
          <w:tcPr>
            <w:tcW w:w="782" w:type="dxa"/>
            <w:tcBorders>
              <w:top w:val="nil"/>
              <w:left w:val="single" w:sz="4" w:space="0" w:color="auto"/>
              <w:bottom w:val="single" w:sz="4" w:space="0" w:color="auto"/>
              <w:right w:val="nil"/>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6.4%</w:t>
            </w:r>
          </w:p>
        </w:tc>
      </w:tr>
      <w:tr w:rsidR="00155B0C" w:rsidRPr="0070281C" w:rsidTr="004673F4">
        <w:trPr>
          <w:trHeight w:val="290"/>
        </w:trPr>
        <w:tc>
          <w:tcPr>
            <w:tcW w:w="1350" w:type="dxa"/>
            <w:tcBorders>
              <w:top w:val="nil"/>
              <w:bottom w:val="single" w:sz="4" w:space="0" w:color="auto"/>
              <w:right w:val="single" w:sz="4" w:space="0" w:color="auto"/>
            </w:tcBorders>
            <w:shd w:val="clear" w:color="auto" w:fill="E7E6E6" w:themeFill="background2"/>
            <w:noWrap/>
            <w:vAlign w:val="center"/>
            <w:hideMark/>
          </w:tcPr>
          <w:p w:rsidR="00155B0C" w:rsidRPr="0070281C" w:rsidRDefault="00155B0C" w:rsidP="00CE2C91">
            <w:pPr>
              <w:spacing w:after="0" w:line="240" w:lineRule="auto"/>
              <w:rPr>
                <w:rFonts w:ascii="Calibri" w:eastAsia="Times New Roman" w:hAnsi="Calibri" w:cs="Calibri"/>
                <w:b/>
                <w:color w:val="000000"/>
                <w:sz w:val="18"/>
                <w:lang w:eastAsia="de-DE"/>
              </w:rPr>
            </w:pPr>
            <w:proofErr w:type="spellStart"/>
            <w:r w:rsidRPr="0070281C">
              <w:rPr>
                <w:rFonts w:ascii="Calibri" w:eastAsia="Times New Roman" w:hAnsi="Calibri" w:cs="Calibri"/>
                <w:b/>
                <w:color w:val="000000"/>
                <w:sz w:val="18"/>
                <w:lang w:eastAsia="de-DE"/>
              </w:rPr>
              <w:t>India</w:t>
            </w:r>
            <w:proofErr w:type="spellEnd"/>
          </w:p>
        </w:tc>
        <w:tc>
          <w:tcPr>
            <w:tcW w:w="81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6.0</w:t>
            </w:r>
          </w:p>
        </w:tc>
        <w:tc>
          <w:tcPr>
            <w:tcW w:w="72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20.0%</w:t>
            </w:r>
          </w:p>
        </w:tc>
        <w:tc>
          <w:tcPr>
            <w:tcW w:w="81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13.9</w:t>
            </w:r>
          </w:p>
        </w:tc>
        <w:tc>
          <w:tcPr>
            <w:tcW w:w="694"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26.0%</w:t>
            </w:r>
          </w:p>
        </w:tc>
        <w:tc>
          <w:tcPr>
            <w:tcW w:w="836"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9.4</w:t>
            </w:r>
          </w:p>
        </w:tc>
        <w:tc>
          <w:tcPr>
            <w:tcW w:w="727"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37.5%</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36.6</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83.9%</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36.8</w:t>
            </w:r>
          </w:p>
        </w:tc>
        <w:tc>
          <w:tcPr>
            <w:tcW w:w="782" w:type="dxa"/>
            <w:tcBorders>
              <w:top w:val="nil"/>
              <w:left w:val="single" w:sz="4" w:space="0" w:color="auto"/>
              <w:bottom w:val="single" w:sz="4" w:space="0" w:color="auto"/>
              <w:right w:val="nil"/>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10.6%</w:t>
            </w:r>
          </w:p>
        </w:tc>
      </w:tr>
      <w:tr w:rsidR="00155B0C" w:rsidRPr="0070281C" w:rsidTr="00CE2C91">
        <w:trPr>
          <w:trHeight w:val="290"/>
        </w:trPr>
        <w:tc>
          <w:tcPr>
            <w:tcW w:w="1350" w:type="dxa"/>
            <w:tcBorders>
              <w:top w:val="nil"/>
              <w:bottom w:val="single" w:sz="4" w:space="0" w:color="auto"/>
              <w:right w:val="single" w:sz="4" w:space="0" w:color="auto"/>
            </w:tcBorders>
            <w:shd w:val="clear" w:color="auto" w:fill="auto"/>
            <w:noWrap/>
            <w:vAlign w:val="center"/>
            <w:hideMark/>
          </w:tcPr>
          <w:p w:rsidR="00155B0C" w:rsidRPr="0070281C" w:rsidRDefault="00155B0C" w:rsidP="00CE2C91">
            <w:pPr>
              <w:spacing w:after="0" w:line="240" w:lineRule="auto"/>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Japan</w:t>
            </w:r>
          </w:p>
        </w:tc>
        <w:tc>
          <w:tcPr>
            <w:tcW w:w="81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2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49.2%</w:t>
            </w:r>
          </w:p>
        </w:tc>
        <w:tc>
          <w:tcPr>
            <w:tcW w:w="81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1.2</w:t>
            </w:r>
          </w:p>
        </w:tc>
        <w:tc>
          <w:tcPr>
            <w:tcW w:w="694"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65.0%</w:t>
            </w:r>
          </w:p>
        </w:tc>
        <w:tc>
          <w:tcPr>
            <w:tcW w:w="836"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1.3</w:t>
            </w:r>
          </w:p>
        </w:tc>
        <w:tc>
          <w:tcPr>
            <w:tcW w:w="727"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70.1%</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7.3</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100.0%</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82" w:type="dxa"/>
            <w:tcBorders>
              <w:top w:val="nil"/>
              <w:left w:val="single" w:sz="4" w:space="0" w:color="auto"/>
              <w:bottom w:val="single" w:sz="4" w:space="0" w:color="auto"/>
              <w:right w:val="nil"/>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7.2%</w:t>
            </w:r>
          </w:p>
        </w:tc>
      </w:tr>
      <w:tr w:rsidR="00155B0C" w:rsidRPr="0070281C" w:rsidTr="004673F4">
        <w:trPr>
          <w:trHeight w:val="290"/>
        </w:trPr>
        <w:tc>
          <w:tcPr>
            <w:tcW w:w="1350" w:type="dxa"/>
            <w:tcBorders>
              <w:top w:val="nil"/>
              <w:bottom w:val="single" w:sz="4" w:space="0" w:color="auto"/>
              <w:right w:val="single" w:sz="4" w:space="0" w:color="auto"/>
            </w:tcBorders>
            <w:shd w:val="clear" w:color="auto" w:fill="E7E6E6" w:themeFill="background2"/>
            <w:noWrap/>
            <w:vAlign w:val="center"/>
            <w:hideMark/>
          </w:tcPr>
          <w:p w:rsidR="00155B0C" w:rsidRPr="0070281C" w:rsidRDefault="00155B0C" w:rsidP="00CE2C91">
            <w:pPr>
              <w:spacing w:after="0" w:line="240" w:lineRule="auto"/>
              <w:rPr>
                <w:rFonts w:ascii="Calibri" w:eastAsia="Times New Roman" w:hAnsi="Calibri" w:cs="Calibri"/>
                <w:b/>
                <w:color w:val="000000"/>
                <w:sz w:val="18"/>
                <w:lang w:eastAsia="de-DE"/>
              </w:rPr>
            </w:pPr>
            <w:proofErr w:type="spellStart"/>
            <w:r w:rsidRPr="0070281C">
              <w:rPr>
                <w:rFonts w:ascii="Calibri" w:eastAsia="Times New Roman" w:hAnsi="Calibri" w:cs="Calibri"/>
                <w:b/>
                <w:color w:val="000000"/>
                <w:sz w:val="18"/>
                <w:lang w:eastAsia="de-DE"/>
              </w:rPr>
              <w:t>Latin</w:t>
            </w:r>
            <w:proofErr w:type="spellEnd"/>
            <w:r w:rsidRPr="0070281C">
              <w:rPr>
                <w:rFonts w:ascii="Calibri" w:eastAsia="Times New Roman" w:hAnsi="Calibri" w:cs="Calibri"/>
                <w:b/>
                <w:color w:val="000000"/>
                <w:sz w:val="18"/>
                <w:lang w:eastAsia="de-DE"/>
              </w:rPr>
              <w:t xml:space="preserve"> </w:t>
            </w:r>
            <w:proofErr w:type="spellStart"/>
            <w:r w:rsidRPr="0070281C">
              <w:rPr>
                <w:rFonts w:ascii="Calibri" w:eastAsia="Times New Roman" w:hAnsi="Calibri" w:cs="Calibri"/>
                <w:b/>
                <w:color w:val="000000"/>
                <w:sz w:val="18"/>
                <w:lang w:eastAsia="de-DE"/>
              </w:rPr>
              <w:t>America</w:t>
            </w:r>
            <w:proofErr w:type="spellEnd"/>
          </w:p>
        </w:tc>
        <w:tc>
          <w:tcPr>
            <w:tcW w:w="81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1.4</w:t>
            </w:r>
          </w:p>
        </w:tc>
        <w:tc>
          <w:tcPr>
            <w:tcW w:w="72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36.4%</w:t>
            </w:r>
          </w:p>
        </w:tc>
        <w:tc>
          <w:tcPr>
            <w:tcW w:w="81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0.7</w:t>
            </w:r>
          </w:p>
        </w:tc>
        <w:tc>
          <w:tcPr>
            <w:tcW w:w="694"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836"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2.0</w:t>
            </w:r>
          </w:p>
        </w:tc>
        <w:tc>
          <w:tcPr>
            <w:tcW w:w="727"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25.2%</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96.9%</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1.0</w:t>
            </w:r>
          </w:p>
        </w:tc>
        <w:tc>
          <w:tcPr>
            <w:tcW w:w="782" w:type="dxa"/>
            <w:tcBorders>
              <w:top w:val="nil"/>
              <w:left w:val="single" w:sz="4" w:space="0" w:color="auto"/>
              <w:bottom w:val="single" w:sz="4" w:space="0" w:color="auto"/>
              <w:right w:val="nil"/>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15.2%</w:t>
            </w:r>
          </w:p>
        </w:tc>
      </w:tr>
      <w:tr w:rsidR="00155B0C" w:rsidRPr="0070281C" w:rsidTr="00CE2C91">
        <w:trPr>
          <w:trHeight w:val="290"/>
        </w:trPr>
        <w:tc>
          <w:tcPr>
            <w:tcW w:w="1350" w:type="dxa"/>
            <w:tcBorders>
              <w:top w:val="nil"/>
              <w:bottom w:val="single" w:sz="4" w:space="0" w:color="auto"/>
              <w:right w:val="single" w:sz="4" w:space="0" w:color="auto"/>
            </w:tcBorders>
            <w:shd w:val="clear" w:color="auto" w:fill="auto"/>
            <w:noWrap/>
            <w:vAlign w:val="center"/>
            <w:hideMark/>
          </w:tcPr>
          <w:p w:rsidR="00155B0C" w:rsidRPr="0070281C" w:rsidRDefault="00155B0C" w:rsidP="00CE2C91">
            <w:pPr>
              <w:spacing w:after="0" w:line="240" w:lineRule="auto"/>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MENA</w:t>
            </w:r>
          </w:p>
        </w:tc>
        <w:tc>
          <w:tcPr>
            <w:tcW w:w="81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2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37.1%</w:t>
            </w:r>
          </w:p>
        </w:tc>
        <w:tc>
          <w:tcPr>
            <w:tcW w:w="81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694"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836"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27"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81.6%</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2.4</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91.5%</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17.5</w:t>
            </w:r>
          </w:p>
        </w:tc>
        <w:tc>
          <w:tcPr>
            <w:tcW w:w="782" w:type="dxa"/>
            <w:tcBorders>
              <w:top w:val="nil"/>
              <w:left w:val="single" w:sz="4" w:space="0" w:color="auto"/>
              <w:bottom w:val="single" w:sz="4" w:space="0" w:color="auto"/>
              <w:right w:val="nil"/>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r>
      <w:tr w:rsidR="00155B0C" w:rsidRPr="0070281C" w:rsidTr="004673F4">
        <w:trPr>
          <w:trHeight w:val="290"/>
        </w:trPr>
        <w:tc>
          <w:tcPr>
            <w:tcW w:w="1350" w:type="dxa"/>
            <w:tcBorders>
              <w:top w:val="nil"/>
              <w:bottom w:val="single" w:sz="4" w:space="0" w:color="auto"/>
              <w:right w:val="single" w:sz="4" w:space="0" w:color="auto"/>
            </w:tcBorders>
            <w:shd w:val="clear" w:color="auto" w:fill="E7E6E6" w:themeFill="background2"/>
            <w:noWrap/>
            <w:vAlign w:val="center"/>
            <w:hideMark/>
          </w:tcPr>
          <w:p w:rsidR="00155B0C" w:rsidRPr="0070281C" w:rsidRDefault="00155B0C" w:rsidP="00CE2C91">
            <w:pPr>
              <w:spacing w:after="0" w:line="240" w:lineRule="auto"/>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Non-EU Europe</w:t>
            </w:r>
          </w:p>
        </w:tc>
        <w:tc>
          <w:tcPr>
            <w:tcW w:w="81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6.0</w:t>
            </w:r>
          </w:p>
        </w:tc>
        <w:tc>
          <w:tcPr>
            <w:tcW w:w="72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44.8%</w:t>
            </w:r>
          </w:p>
        </w:tc>
        <w:tc>
          <w:tcPr>
            <w:tcW w:w="81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11.6</w:t>
            </w:r>
          </w:p>
        </w:tc>
        <w:tc>
          <w:tcPr>
            <w:tcW w:w="694"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35.0%</w:t>
            </w:r>
          </w:p>
        </w:tc>
        <w:tc>
          <w:tcPr>
            <w:tcW w:w="836"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6.0</w:t>
            </w:r>
          </w:p>
        </w:tc>
        <w:tc>
          <w:tcPr>
            <w:tcW w:w="727"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49.8%</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2.0</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100.0%</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3.9</w:t>
            </w:r>
          </w:p>
        </w:tc>
        <w:tc>
          <w:tcPr>
            <w:tcW w:w="782" w:type="dxa"/>
            <w:tcBorders>
              <w:top w:val="nil"/>
              <w:left w:val="single" w:sz="4" w:space="0" w:color="auto"/>
              <w:bottom w:val="single" w:sz="4" w:space="0" w:color="auto"/>
              <w:right w:val="nil"/>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0.9%</w:t>
            </w:r>
          </w:p>
        </w:tc>
      </w:tr>
      <w:tr w:rsidR="00155B0C" w:rsidRPr="0070281C" w:rsidTr="00CE2C91">
        <w:trPr>
          <w:trHeight w:val="290"/>
        </w:trPr>
        <w:tc>
          <w:tcPr>
            <w:tcW w:w="1350" w:type="dxa"/>
            <w:tcBorders>
              <w:top w:val="nil"/>
              <w:bottom w:val="single" w:sz="4" w:space="0" w:color="auto"/>
              <w:right w:val="single" w:sz="4" w:space="0" w:color="auto"/>
            </w:tcBorders>
            <w:shd w:val="clear" w:color="auto" w:fill="auto"/>
            <w:noWrap/>
            <w:vAlign w:val="center"/>
            <w:hideMark/>
          </w:tcPr>
          <w:p w:rsidR="00155B0C" w:rsidRPr="0070281C" w:rsidRDefault="00155B0C" w:rsidP="00CE2C91">
            <w:pPr>
              <w:spacing w:after="0" w:line="240" w:lineRule="auto"/>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Other Asian States</w:t>
            </w:r>
          </w:p>
        </w:tc>
        <w:tc>
          <w:tcPr>
            <w:tcW w:w="81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34.4</w:t>
            </w:r>
          </w:p>
        </w:tc>
        <w:tc>
          <w:tcPr>
            <w:tcW w:w="72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33.3%</w:t>
            </w:r>
          </w:p>
        </w:tc>
        <w:tc>
          <w:tcPr>
            <w:tcW w:w="81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37.2</w:t>
            </w:r>
          </w:p>
        </w:tc>
        <w:tc>
          <w:tcPr>
            <w:tcW w:w="694"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70.8%</w:t>
            </w:r>
          </w:p>
        </w:tc>
        <w:tc>
          <w:tcPr>
            <w:tcW w:w="836"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14.5</w:t>
            </w:r>
          </w:p>
        </w:tc>
        <w:tc>
          <w:tcPr>
            <w:tcW w:w="727"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92.3%</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36.0</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99.6%</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32.8</w:t>
            </w:r>
          </w:p>
        </w:tc>
        <w:tc>
          <w:tcPr>
            <w:tcW w:w="782" w:type="dxa"/>
            <w:tcBorders>
              <w:top w:val="nil"/>
              <w:left w:val="single" w:sz="4" w:space="0" w:color="auto"/>
              <w:bottom w:val="single" w:sz="4" w:space="0" w:color="auto"/>
              <w:right w:val="nil"/>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4.1%</w:t>
            </w:r>
          </w:p>
        </w:tc>
      </w:tr>
      <w:tr w:rsidR="00155B0C" w:rsidRPr="0070281C" w:rsidTr="004673F4">
        <w:trPr>
          <w:trHeight w:val="290"/>
        </w:trPr>
        <w:tc>
          <w:tcPr>
            <w:tcW w:w="1350" w:type="dxa"/>
            <w:tcBorders>
              <w:top w:val="nil"/>
              <w:bottom w:val="single" w:sz="4" w:space="0" w:color="auto"/>
              <w:right w:val="single" w:sz="4" w:space="0" w:color="auto"/>
            </w:tcBorders>
            <w:shd w:val="clear" w:color="auto" w:fill="E7E6E6" w:themeFill="background2"/>
            <w:noWrap/>
            <w:vAlign w:val="center"/>
            <w:hideMark/>
          </w:tcPr>
          <w:p w:rsidR="00155B0C" w:rsidRPr="0070281C" w:rsidRDefault="00155B0C" w:rsidP="00CE2C91">
            <w:pPr>
              <w:spacing w:after="0" w:line="240" w:lineRule="auto"/>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Sub-</w:t>
            </w:r>
            <w:proofErr w:type="spellStart"/>
            <w:r w:rsidRPr="0070281C">
              <w:rPr>
                <w:rFonts w:ascii="Calibri" w:eastAsia="Times New Roman" w:hAnsi="Calibri" w:cs="Calibri"/>
                <w:b/>
                <w:color w:val="000000"/>
                <w:sz w:val="18"/>
                <w:lang w:eastAsia="de-DE"/>
              </w:rPr>
              <w:t>Saharan</w:t>
            </w:r>
            <w:proofErr w:type="spellEnd"/>
            <w:r w:rsidRPr="0070281C">
              <w:rPr>
                <w:rFonts w:ascii="Calibri" w:eastAsia="Times New Roman" w:hAnsi="Calibri" w:cs="Calibri"/>
                <w:b/>
                <w:color w:val="000000"/>
                <w:sz w:val="18"/>
                <w:lang w:eastAsia="de-DE"/>
              </w:rPr>
              <w:t xml:space="preserve"> </w:t>
            </w:r>
            <w:proofErr w:type="spellStart"/>
            <w:r w:rsidRPr="0070281C">
              <w:rPr>
                <w:rFonts w:ascii="Calibri" w:eastAsia="Times New Roman" w:hAnsi="Calibri" w:cs="Calibri"/>
                <w:b/>
                <w:color w:val="000000"/>
                <w:sz w:val="18"/>
                <w:lang w:eastAsia="de-DE"/>
              </w:rPr>
              <w:t>Africa</w:t>
            </w:r>
            <w:proofErr w:type="spellEnd"/>
          </w:p>
        </w:tc>
        <w:tc>
          <w:tcPr>
            <w:tcW w:w="81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8.3</w:t>
            </w:r>
          </w:p>
        </w:tc>
        <w:tc>
          <w:tcPr>
            <w:tcW w:w="72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35.7%</w:t>
            </w:r>
          </w:p>
        </w:tc>
        <w:tc>
          <w:tcPr>
            <w:tcW w:w="810"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2.5</w:t>
            </w:r>
          </w:p>
        </w:tc>
        <w:tc>
          <w:tcPr>
            <w:tcW w:w="694"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22.3%</w:t>
            </w:r>
          </w:p>
        </w:tc>
        <w:tc>
          <w:tcPr>
            <w:tcW w:w="836"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3.0</w:t>
            </w:r>
          </w:p>
        </w:tc>
        <w:tc>
          <w:tcPr>
            <w:tcW w:w="727"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47.6%</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4.9</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98.8%</w:t>
            </w:r>
          </w:p>
        </w:tc>
        <w:tc>
          <w:tcPr>
            <w:tcW w:w="781" w:type="dxa"/>
            <w:tcBorders>
              <w:top w:val="nil"/>
              <w:left w:val="nil"/>
              <w:bottom w:val="single" w:sz="4" w:space="0" w:color="auto"/>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16.2</w:t>
            </w:r>
          </w:p>
        </w:tc>
        <w:tc>
          <w:tcPr>
            <w:tcW w:w="782" w:type="dxa"/>
            <w:tcBorders>
              <w:top w:val="nil"/>
              <w:left w:val="single" w:sz="4" w:space="0" w:color="auto"/>
              <w:bottom w:val="single" w:sz="4" w:space="0" w:color="auto"/>
              <w:right w:val="nil"/>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r>
      <w:tr w:rsidR="00155B0C" w:rsidRPr="0070281C" w:rsidTr="00CE2C91">
        <w:trPr>
          <w:trHeight w:val="290"/>
        </w:trPr>
        <w:tc>
          <w:tcPr>
            <w:tcW w:w="1350" w:type="dxa"/>
            <w:tcBorders>
              <w:top w:val="nil"/>
              <w:bottom w:val="single" w:sz="4" w:space="0" w:color="auto"/>
              <w:right w:val="single" w:sz="4" w:space="0" w:color="auto"/>
            </w:tcBorders>
            <w:shd w:val="clear" w:color="auto" w:fill="auto"/>
            <w:noWrap/>
            <w:vAlign w:val="center"/>
            <w:hideMark/>
          </w:tcPr>
          <w:p w:rsidR="00155B0C" w:rsidRPr="0070281C" w:rsidRDefault="00155B0C" w:rsidP="00CE2C91">
            <w:pPr>
              <w:spacing w:after="0" w:line="240" w:lineRule="auto"/>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USA</w:t>
            </w:r>
          </w:p>
        </w:tc>
        <w:tc>
          <w:tcPr>
            <w:tcW w:w="81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2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7.2%</w:t>
            </w:r>
          </w:p>
        </w:tc>
        <w:tc>
          <w:tcPr>
            <w:tcW w:w="810"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694"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836"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27"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6.0%</w:t>
            </w:r>
          </w:p>
        </w:tc>
        <w:tc>
          <w:tcPr>
            <w:tcW w:w="781" w:type="dxa"/>
            <w:tcBorders>
              <w:top w:val="nil"/>
              <w:left w:val="nil"/>
              <w:bottom w:val="single" w:sz="4" w:space="0" w:color="auto"/>
              <w:right w:val="single" w:sz="4" w:space="0" w:color="auto"/>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c>
          <w:tcPr>
            <w:tcW w:w="782" w:type="dxa"/>
            <w:tcBorders>
              <w:top w:val="nil"/>
              <w:left w:val="single" w:sz="4" w:space="0" w:color="auto"/>
              <w:bottom w:val="single" w:sz="4" w:space="0" w:color="auto"/>
              <w:right w:val="nil"/>
            </w:tcBorders>
            <w:shd w:val="clear" w:color="auto" w:fill="auto"/>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0.0%</w:t>
            </w:r>
          </w:p>
        </w:tc>
      </w:tr>
      <w:tr w:rsidR="00155B0C" w:rsidRPr="0070281C" w:rsidTr="004673F4">
        <w:trPr>
          <w:trHeight w:val="290"/>
        </w:trPr>
        <w:tc>
          <w:tcPr>
            <w:tcW w:w="1350" w:type="dxa"/>
            <w:tcBorders>
              <w:top w:val="single" w:sz="4" w:space="0" w:color="auto"/>
              <w:bottom w:val="nil"/>
              <w:right w:val="single" w:sz="4" w:space="0" w:color="auto"/>
            </w:tcBorders>
            <w:shd w:val="clear" w:color="auto" w:fill="E7E6E6" w:themeFill="background2"/>
            <w:noWrap/>
            <w:vAlign w:val="center"/>
            <w:hideMark/>
          </w:tcPr>
          <w:p w:rsidR="00155B0C" w:rsidRPr="0070281C" w:rsidRDefault="00155B0C" w:rsidP="00CE2C91">
            <w:pPr>
              <w:spacing w:after="0" w:line="240" w:lineRule="auto"/>
              <w:rPr>
                <w:rFonts w:ascii="Calibri" w:eastAsia="Times New Roman" w:hAnsi="Calibri" w:cs="Calibri"/>
                <w:b/>
                <w:color w:val="000000"/>
                <w:sz w:val="18"/>
                <w:lang w:eastAsia="de-DE"/>
              </w:rPr>
            </w:pPr>
            <w:r>
              <w:rPr>
                <w:rFonts w:ascii="Calibri" w:eastAsia="Times New Roman" w:hAnsi="Calibri" w:cs="Calibri"/>
                <w:b/>
                <w:color w:val="000000"/>
                <w:sz w:val="18"/>
                <w:lang w:eastAsia="de-DE"/>
              </w:rPr>
              <w:t>World</w:t>
            </w:r>
          </w:p>
        </w:tc>
        <w:tc>
          <w:tcPr>
            <w:tcW w:w="810" w:type="dxa"/>
            <w:tcBorders>
              <w:top w:val="single" w:sz="4" w:space="0" w:color="auto"/>
              <w:left w:val="single" w:sz="4" w:space="0" w:color="auto"/>
              <w:bottom w:val="nil"/>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116.3</w:t>
            </w:r>
          </w:p>
        </w:tc>
        <w:tc>
          <w:tcPr>
            <w:tcW w:w="720" w:type="dxa"/>
            <w:tcBorders>
              <w:top w:val="single" w:sz="4" w:space="0" w:color="auto"/>
              <w:left w:val="single" w:sz="4" w:space="0" w:color="auto"/>
              <w:bottom w:val="nil"/>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31.6%</w:t>
            </w:r>
          </w:p>
        </w:tc>
        <w:tc>
          <w:tcPr>
            <w:tcW w:w="810" w:type="dxa"/>
            <w:tcBorders>
              <w:top w:val="single" w:sz="4" w:space="0" w:color="auto"/>
              <w:left w:val="single" w:sz="4" w:space="0" w:color="auto"/>
              <w:bottom w:val="nil"/>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117.8</w:t>
            </w:r>
          </w:p>
        </w:tc>
        <w:tc>
          <w:tcPr>
            <w:tcW w:w="694" w:type="dxa"/>
            <w:tcBorders>
              <w:top w:val="single" w:sz="4" w:space="0" w:color="auto"/>
              <w:left w:val="single" w:sz="4" w:space="0" w:color="auto"/>
              <w:bottom w:val="nil"/>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51.7%</w:t>
            </w:r>
          </w:p>
        </w:tc>
        <w:tc>
          <w:tcPr>
            <w:tcW w:w="836" w:type="dxa"/>
            <w:tcBorders>
              <w:top w:val="single" w:sz="4" w:space="0" w:color="auto"/>
              <w:left w:val="single" w:sz="4" w:space="0" w:color="auto"/>
              <w:bottom w:val="nil"/>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89.4</w:t>
            </w:r>
          </w:p>
        </w:tc>
        <w:tc>
          <w:tcPr>
            <w:tcW w:w="727" w:type="dxa"/>
            <w:tcBorders>
              <w:top w:val="single" w:sz="4" w:space="0" w:color="auto"/>
              <w:left w:val="single" w:sz="4" w:space="0" w:color="auto"/>
              <w:bottom w:val="nil"/>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68.3%</w:t>
            </w:r>
          </w:p>
        </w:tc>
        <w:tc>
          <w:tcPr>
            <w:tcW w:w="781" w:type="dxa"/>
            <w:tcBorders>
              <w:top w:val="single" w:sz="4" w:space="0" w:color="auto"/>
              <w:left w:val="single" w:sz="4" w:space="0" w:color="auto"/>
              <w:bottom w:val="nil"/>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179.7</w:t>
            </w:r>
          </w:p>
        </w:tc>
        <w:tc>
          <w:tcPr>
            <w:tcW w:w="781" w:type="dxa"/>
            <w:tcBorders>
              <w:top w:val="single" w:sz="4" w:space="0" w:color="auto"/>
              <w:left w:val="single" w:sz="4" w:space="0" w:color="auto"/>
              <w:bottom w:val="nil"/>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92.3%</w:t>
            </w:r>
          </w:p>
        </w:tc>
        <w:tc>
          <w:tcPr>
            <w:tcW w:w="781" w:type="dxa"/>
            <w:tcBorders>
              <w:top w:val="single" w:sz="4" w:space="0" w:color="auto"/>
              <w:left w:val="single" w:sz="4" w:space="0" w:color="auto"/>
              <w:bottom w:val="nil"/>
              <w:right w:val="single" w:sz="4" w:space="0" w:color="auto"/>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151.9</w:t>
            </w:r>
          </w:p>
        </w:tc>
        <w:tc>
          <w:tcPr>
            <w:tcW w:w="782" w:type="dxa"/>
            <w:tcBorders>
              <w:top w:val="nil"/>
              <w:left w:val="nil"/>
              <w:bottom w:val="nil"/>
              <w:right w:val="nil"/>
            </w:tcBorders>
            <w:shd w:val="clear" w:color="auto" w:fill="E7E6E6" w:themeFill="background2"/>
            <w:noWrap/>
            <w:vAlign w:val="center"/>
            <w:hideMark/>
          </w:tcPr>
          <w:p w:rsidR="00155B0C" w:rsidRPr="004673F4" w:rsidRDefault="00155B0C" w:rsidP="00CE2C91">
            <w:pPr>
              <w:spacing w:after="0" w:line="240" w:lineRule="auto"/>
              <w:jc w:val="center"/>
              <w:rPr>
                <w:rFonts w:ascii="Calibri" w:eastAsia="Times New Roman" w:hAnsi="Calibri" w:cs="Calibri"/>
                <w:color w:val="000000"/>
                <w:sz w:val="18"/>
                <w:szCs w:val="18"/>
                <w:lang w:eastAsia="de-DE"/>
              </w:rPr>
            </w:pPr>
            <w:r w:rsidRPr="004673F4">
              <w:rPr>
                <w:rFonts w:ascii="Calibri" w:eastAsia="Times New Roman" w:hAnsi="Calibri" w:cs="Calibri"/>
                <w:color w:val="000000"/>
                <w:sz w:val="18"/>
                <w:szCs w:val="18"/>
                <w:lang w:eastAsia="de-DE"/>
              </w:rPr>
              <w:t>5.2%</w:t>
            </w:r>
          </w:p>
        </w:tc>
      </w:tr>
    </w:tbl>
    <w:p w:rsidR="00155B0C" w:rsidRPr="00356BC5" w:rsidRDefault="006538DB" w:rsidP="00155B0C">
      <w:pPr>
        <w:pStyle w:val="BodyText"/>
        <w:jc w:val="both"/>
        <w:rPr>
          <w:sz w:val="20"/>
        </w:rPr>
      </w:pPr>
      <w:r>
        <w:rPr>
          <w:b/>
          <w:sz w:val="20"/>
        </w:rPr>
        <w:t>Table A1</w:t>
      </w:r>
      <w:r w:rsidR="00155B0C" w:rsidRPr="0070281C">
        <w:rPr>
          <w:sz w:val="20"/>
        </w:rPr>
        <w:t xml:space="preserve">. </w:t>
      </w:r>
      <w:r w:rsidR="00155B0C">
        <w:rPr>
          <w:b/>
          <w:sz w:val="20"/>
        </w:rPr>
        <w:t>Size of the coal pipeline by project cycle phase and the historical completion rates of each phase, aggregated to the REMIND regional level.</w:t>
      </w:r>
      <w:r w:rsidR="00155B0C">
        <w:rPr>
          <w:sz w:val="20"/>
        </w:rPr>
        <w:t xml:space="preserve"> Completion rates are calculated based on projects that were constructed, canceled, or shelved between 2014 and 2020. </w:t>
      </w:r>
    </w:p>
    <w:p w:rsidR="00155B0C" w:rsidRDefault="00155B0C" w:rsidP="00DB6B47">
      <w:pPr>
        <w:jc w:val="both"/>
        <w:rPr>
          <w:rFonts w:eastAsiaTheme="minorEastAsia"/>
          <w:lang w:val="en-US"/>
        </w:rPr>
      </w:pPr>
    </w:p>
    <w:tbl>
      <w:tblPr>
        <w:tblStyle w:val="TableGrid"/>
        <w:tblW w:w="0" w:type="auto"/>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233"/>
        <w:gridCol w:w="1166"/>
        <w:gridCol w:w="1116"/>
        <w:gridCol w:w="1053"/>
        <w:gridCol w:w="1282"/>
      </w:tblGrid>
      <w:tr w:rsidR="006538DB" w:rsidTr="006708EE">
        <w:trPr>
          <w:jc w:val="center"/>
        </w:trPr>
        <w:tc>
          <w:tcPr>
            <w:tcW w:w="0" w:type="auto"/>
            <w:vAlign w:val="center"/>
          </w:tcPr>
          <w:p w:rsidR="006538DB" w:rsidRPr="0070281C" w:rsidRDefault="006538DB" w:rsidP="00155B0C">
            <w:pPr>
              <w:jc w:val="center"/>
              <w:rPr>
                <w:rFonts w:ascii="Calibri" w:eastAsia="Times New Roman" w:hAnsi="Calibri" w:cs="Calibri"/>
                <w:b/>
                <w:color w:val="000000"/>
                <w:sz w:val="20"/>
                <w:lang w:eastAsia="de-DE"/>
              </w:rPr>
            </w:pPr>
          </w:p>
        </w:tc>
        <w:tc>
          <w:tcPr>
            <w:tcW w:w="0" w:type="auto"/>
            <w:gridSpan w:val="4"/>
            <w:tcBorders>
              <w:top w:val="nil"/>
              <w:right w:val="nil"/>
            </w:tcBorders>
            <w:vAlign w:val="bottom"/>
          </w:tcPr>
          <w:p w:rsidR="006538DB" w:rsidRPr="006708EE" w:rsidRDefault="006538DB" w:rsidP="00155B0C">
            <w:pPr>
              <w:jc w:val="center"/>
              <w:rPr>
                <w:rFonts w:ascii="Calibri" w:eastAsia="Times New Roman" w:hAnsi="Calibri" w:cs="Calibri"/>
                <w:b/>
                <w:color w:val="000000"/>
                <w:sz w:val="20"/>
                <w:lang w:eastAsia="de-DE"/>
              </w:rPr>
            </w:pPr>
            <w:proofErr w:type="spellStart"/>
            <w:r w:rsidRPr="006708EE">
              <w:rPr>
                <w:rFonts w:ascii="Calibri" w:eastAsia="Times New Roman" w:hAnsi="Calibri" w:cs="Calibri"/>
                <w:b/>
                <w:color w:val="000000"/>
                <w:sz w:val="20"/>
                <w:lang w:eastAsia="de-DE"/>
              </w:rPr>
              <w:t>Shelving</w:t>
            </w:r>
            <w:proofErr w:type="spellEnd"/>
            <w:r w:rsidRPr="006708EE">
              <w:rPr>
                <w:rFonts w:ascii="Calibri" w:eastAsia="Times New Roman" w:hAnsi="Calibri" w:cs="Calibri"/>
                <w:b/>
                <w:color w:val="000000"/>
                <w:sz w:val="20"/>
                <w:lang w:eastAsia="de-DE"/>
              </w:rPr>
              <w:t xml:space="preserve"> Rates</w:t>
            </w:r>
          </w:p>
        </w:tc>
      </w:tr>
      <w:tr w:rsidR="00155B0C" w:rsidTr="006708EE">
        <w:trPr>
          <w:jc w:val="center"/>
        </w:trPr>
        <w:tc>
          <w:tcPr>
            <w:tcW w:w="0" w:type="auto"/>
            <w:vAlign w:val="center"/>
          </w:tcPr>
          <w:p w:rsidR="00155B0C" w:rsidRPr="0070281C" w:rsidRDefault="00155B0C" w:rsidP="00155B0C">
            <w:pPr>
              <w:jc w:val="center"/>
              <w:rPr>
                <w:rFonts w:ascii="Calibri" w:eastAsia="Times New Roman" w:hAnsi="Calibri" w:cs="Calibri"/>
                <w:b/>
                <w:color w:val="000000"/>
                <w:sz w:val="18"/>
                <w:lang w:eastAsia="de-DE"/>
              </w:rPr>
            </w:pPr>
            <w:r w:rsidRPr="0070281C">
              <w:rPr>
                <w:rFonts w:ascii="Calibri" w:eastAsia="Times New Roman" w:hAnsi="Calibri" w:cs="Calibri"/>
                <w:b/>
                <w:color w:val="000000"/>
                <w:sz w:val="20"/>
                <w:lang w:eastAsia="de-DE"/>
              </w:rPr>
              <w:t>Region</w:t>
            </w:r>
          </w:p>
        </w:tc>
        <w:tc>
          <w:tcPr>
            <w:tcW w:w="0" w:type="auto"/>
            <w:vAlign w:val="bottom"/>
          </w:tcPr>
          <w:p w:rsidR="00155B0C" w:rsidRPr="0070281C" w:rsidRDefault="00155B0C" w:rsidP="00155B0C">
            <w:pPr>
              <w:jc w:val="center"/>
              <w:rPr>
                <w:rFonts w:ascii="Calibri" w:eastAsia="Times New Roman" w:hAnsi="Calibri" w:cs="Calibri"/>
                <w:b/>
                <w:color w:val="000000"/>
                <w:sz w:val="20"/>
                <w:lang w:eastAsia="de-DE"/>
              </w:rPr>
            </w:pPr>
            <w:proofErr w:type="spellStart"/>
            <w:r w:rsidRPr="0070281C">
              <w:rPr>
                <w:rFonts w:ascii="Calibri" w:eastAsia="Times New Roman" w:hAnsi="Calibri" w:cs="Calibri"/>
                <w:b/>
                <w:color w:val="000000"/>
                <w:sz w:val="20"/>
                <w:lang w:eastAsia="de-DE"/>
              </w:rPr>
              <w:t>Announced</w:t>
            </w:r>
            <w:proofErr w:type="spellEnd"/>
          </w:p>
        </w:tc>
        <w:tc>
          <w:tcPr>
            <w:tcW w:w="0" w:type="auto"/>
            <w:vAlign w:val="bottom"/>
          </w:tcPr>
          <w:p w:rsidR="00155B0C" w:rsidRPr="0070281C" w:rsidRDefault="00155B0C" w:rsidP="00155B0C">
            <w:pPr>
              <w:jc w:val="center"/>
              <w:rPr>
                <w:rFonts w:ascii="Calibri" w:eastAsia="Times New Roman" w:hAnsi="Calibri" w:cs="Calibri"/>
                <w:b/>
                <w:color w:val="000000"/>
                <w:sz w:val="20"/>
                <w:lang w:eastAsia="de-DE"/>
              </w:rPr>
            </w:pPr>
            <w:proofErr w:type="spellStart"/>
            <w:r w:rsidRPr="0070281C">
              <w:rPr>
                <w:rFonts w:ascii="Calibri" w:eastAsia="Times New Roman" w:hAnsi="Calibri" w:cs="Calibri"/>
                <w:b/>
                <w:color w:val="000000"/>
                <w:sz w:val="20"/>
                <w:lang w:eastAsia="de-DE"/>
              </w:rPr>
              <w:t>Pre</w:t>
            </w:r>
            <w:proofErr w:type="spellEnd"/>
            <w:r w:rsidRPr="0070281C">
              <w:rPr>
                <w:rFonts w:ascii="Calibri" w:eastAsia="Times New Roman" w:hAnsi="Calibri" w:cs="Calibri"/>
                <w:b/>
                <w:color w:val="000000"/>
                <w:sz w:val="20"/>
                <w:lang w:eastAsia="de-DE"/>
              </w:rPr>
              <w:t>-permit</w:t>
            </w:r>
          </w:p>
        </w:tc>
        <w:tc>
          <w:tcPr>
            <w:tcW w:w="0" w:type="auto"/>
            <w:vAlign w:val="bottom"/>
          </w:tcPr>
          <w:p w:rsidR="00155B0C" w:rsidRPr="0070281C" w:rsidRDefault="00155B0C" w:rsidP="00155B0C">
            <w:pPr>
              <w:jc w:val="center"/>
              <w:rPr>
                <w:rFonts w:ascii="Calibri" w:eastAsia="Times New Roman" w:hAnsi="Calibri" w:cs="Calibri"/>
                <w:b/>
                <w:color w:val="000000"/>
                <w:sz w:val="20"/>
                <w:lang w:eastAsia="de-DE"/>
              </w:rPr>
            </w:pPr>
            <w:proofErr w:type="spellStart"/>
            <w:r w:rsidRPr="0070281C">
              <w:rPr>
                <w:rFonts w:ascii="Calibri" w:eastAsia="Times New Roman" w:hAnsi="Calibri" w:cs="Calibri"/>
                <w:b/>
                <w:color w:val="000000"/>
                <w:sz w:val="20"/>
                <w:lang w:eastAsia="de-DE"/>
              </w:rPr>
              <w:t>Permitted</w:t>
            </w:r>
            <w:proofErr w:type="spellEnd"/>
          </w:p>
        </w:tc>
        <w:tc>
          <w:tcPr>
            <w:tcW w:w="0" w:type="auto"/>
            <w:tcBorders>
              <w:right w:val="nil"/>
            </w:tcBorders>
            <w:vAlign w:val="bottom"/>
          </w:tcPr>
          <w:p w:rsidR="00155B0C" w:rsidRPr="0070281C" w:rsidRDefault="00155B0C" w:rsidP="00155B0C">
            <w:pPr>
              <w:jc w:val="center"/>
              <w:rPr>
                <w:rFonts w:ascii="Calibri" w:eastAsia="Times New Roman" w:hAnsi="Calibri" w:cs="Calibri"/>
                <w:b/>
                <w:color w:val="000000"/>
                <w:sz w:val="20"/>
                <w:lang w:eastAsia="de-DE"/>
              </w:rPr>
            </w:pPr>
            <w:proofErr w:type="spellStart"/>
            <w:r w:rsidRPr="0070281C">
              <w:rPr>
                <w:rFonts w:ascii="Calibri" w:eastAsia="Times New Roman" w:hAnsi="Calibri" w:cs="Calibri"/>
                <w:b/>
                <w:color w:val="000000"/>
                <w:sz w:val="20"/>
                <w:lang w:eastAsia="de-DE"/>
              </w:rPr>
              <w:t>Construction</w:t>
            </w:r>
            <w:proofErr w:type="spellEnd"/>
          </w:p>
        </w:tc>
      </w:tr>
      <w:tr w:rsidR="00510245" w:rsidTr="004673F4">
        <w:trPr>
          <w:jc w:val="center"/>
        </w:trPr>
        <w:tc>
          <w:tcPr>
            <w:tcW w:w="0" w:type="auto"/>
            <w:shd w:val="clear" w:color="auto" w:fill="E7E6E6" w:themeFill="background2"/>
            <w:vAlign w:val="center"/>
          </w:tcPr>
          <w:p w:rsidR="00510245" w:rsidRPr="0070281C" w:rsidRDefault="00510245" w:rsidP="00510245">
            <w:pPr>
              <w:rPr>
                <w:rFonts w:ascii="Calibri" w:eastAsia="Times New Roman" w:hAnsi="Calibri" w:cs="Calibri"/>
                <w:b/>
                <w:color w:val="000000"/>
                <w:sz w:val="18"/>
                <w:lang w:eastAsia="de-DE"/>
              </w:rPr>
            </w:pPr>
            <w:r w:rsidRPr="0070281C">
              <w:rPr>
                <w:rFonts w:ascii="Calibri" w:eastAsia="Times New Roman" w:hAnsi="Calibri" w:cs="Calibri"/>
                <w:b/>
                <w:color w:val="000000"/>
                <w:sz w:val="18"/>
                <w:lang w:val="en-US" w:eastAsia="de-DE"/>
              </w:rPr>
              <w:t>Canada, AUS, N</w:t>
            </w:r>
            <w:proofErr w:type="spellStart"/>
            <w:r>
              <w:rPr>
                <w:rFonts w:ascii="Calibri" w:eastAsia="Times New Roman" w:hAnsi="Calibri" w:cs="Calibri"/>
                <w:b/>
                <w:color w:val="000000"/>
                <w:sz w:val="18"/>
                <w:lang w:eastAsia="de-DE"/>
              </w:rPr>
              <w:t>ew</w:t>
            </w:r>
            <w:proofErr w:type="spellEnd"/>
            <w:r>
              <w:rPr>
                <w:rFonts w:ascii="Calibri" w:eastAsia="Times New Roman" w:hAnsi="Calibri" w:cs="Calibri"/>
                <w:b/>
                <w:color w:val="000000"/>
                <w:sz w:val="18"/>
                <w:lang w:eastAsia="de-DE"/>
              </w:rPr>
              <w:t xml:space="preserve"> </w:t>
            </w:r>
            <w:proofErr w:type="spellStart"/>
            <w:r>
              <w:rPr>
                <w:rFonts w:ascii="Calibri" w:eastAsia="Times New Roman" w:hAnsi="Calibri" w:cs="Calibri"/>
                <w:b/>
                <w:color w:val="000000"/>
                <w:sz w:val="18"/>
                <w:lang w:eastAsia="de-DE"/>
              </w:rPr>
              <w:t>Zealand</w:t>
            </w:r>
            <w:proofErr w:type="spellEnd"/>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0%</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44%</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15%</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5%</w:t>
            </w:r>
          </w:p>
        </w:tc>
      </w:tr>
      <w:tr w:rsidR="00510245" w:rsidTr="006708EE">
        <w:trPr>
          <w:jc w:val="center"/>
        </w:trPr>
        <w:tc>
          <w:tcPr>
            <w:tcW w:w="0" w:type="auto"/>
            <w:tcBorders>
              <w:top w:val="single" w:sz="4" w:space="0" w:color="auto"/>
            </w:tcBorders>
            <w:vAlign w:val="center"/>
          </w:tcPr>
          <w:p w:rsidR="00510245" w:rsidRPr="0070281C" w:rsidRDefault="00510245" w:rsidP="00510245">
            <w:pPr>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China</w:t>
            </w:r>
          </w:p>
        </w:tc>
        <w:tc>
          <w:tcPr>
            <w:tcW w:w="0" w:type="auto"/>
            <w:tcBorders>
              <w:top w:val="single" w:sz="4" w:space="0" w:color="auto"/>
            </w:tcBorders>
            <w:vAlign w:val="bottom"/>
          </w:tcPr>
          <w:p w:rsidR="00510245" w:rsidRDefault="00510245" w:rsidP="00510245">
            <w:pPr>
              <w:jc w:val="right"/>
              <w:rPr>
                <w:rFonts w:ascii="Calibri" w:hAnsi="Calibri" w:cs="Calibri"/>
                <w:color w:val="000000"/>
              </w:rPr>
            </w:pPr>
            <w:r>
              <w:rPr>
                <w:rFonts w:ascii="Calibri" w:hAnsi="Calibri" w:cs="Calibri"/>
                <w:color w:val="000000"/>
              </w:rPr>
              <w:t>12%</w:t>
            </w:r>
          </w:p>
        </w:tc>
        <w:tc>
          <w:tcPr>
            <w:tcW w:w="0" w:type="auto"/>
            <w:tcBorders>
              <w:top w:val="single" w:sz="4" w:space="0" w:color="auto"/>
            </w:tcBorders>
            <w:vAlign w:val="bottom"/>
          </w:tcPr>
          <w:p w:rsidR="00510245" w:rsidRDefault="00510245" w:rsidP="00510245">
            <w:pPr>
              <w:jc w:val="right"/>
              <w:rPr>
                <w:rFonts w:ascii="Calibri" w:hAnsi="Calibri" w:cs="Calibri"/>
                <w:color w:val="000000"/>
              </w:rPr>
            </w:pPr>
            <w:r>
              <w:rPr>
                <w:rFonts w:ascii="Calibri" w:hAnsi="Calibri" w:cs="Calibri"/>
                <w:color w:val="000000"/>
              </w:rPr>
              <w:t>16%</w:t>
            </w:r>
          </w:p>
        </w:tc>
        <w:tc>
          <w:tcPr>
            <w:tcW w:w="0" w:type="auto"/>
            <w:tcBorders>
              <w:top w:val="single" w:sz="4" w:space="0" w:color="auto"/>
            </w:tcBorders>
            <w:vAlign w:val="bottom"/>
          </w:tcPr>
          <w:p w:rsidR="00510245" w:rsidRDefault="00510245" w:rsidP="00510245">
            <w:pPr>
              <w:jc w:val="right"/>
              <w:rPr>
                <w:rFonts w:ascii="Calibri" w:hAnsi="Calibri" w:cs="Calibri"/>
                <w:color w:val="000000"/>
              </w:rPr>
            </w:pPr>
            <w:r>
              <w:rPr>
                <w:rFonts w:ascii="Calibri" w:hAnsi="Calibri" w:cs="Calibri"/>
                <w:color w:val="000000"/>
              </w:rPr>
              <w:t>20%</w:t>
            </w:r>
          </w:p>
        </w:tc>
        <w:tc>
          <w:tcPr>
            <w:tcW w:w="0" w:type="auto"/>
            <w:tcBorders>
              <w:top w:val="single" w:sz="4" w:space="0" w:color="auto"/>
            </w:tcBorders>
            <w:vAlign w:val="bottom"/>
          </w:tcPr>
          <w:p w:rsidR="00510245" w:rsidRDefault="00510245" w:rsidP="00510245">
            <w:pPr>
              <w:jc w:val="right"/>
              <w:rPr>
                <w:rFonts w:ascii="Calibri" w:hAnsi="Calibri" w:cs="Calibri"/>
                <w:color w:val="000000"/>
              </w:rPr>
            </w:pPr>
            <w:r>
              <w:rPr>
                <w:rFonts w:ascii="Calibri" w:hAnsi="Calibri" w:cs="Calibri"/>
                <w:color w:val="000000"/>
              </w:rPr>
              <w:t>7%</w:t>
            </w:r>
          </w:p>
        </w:tc>
      </w:tr>
      <w:tr w:rsidR="00510245" w:rsidTr="004673F4">
        <w:trPr>
          <w:jc w:val="center"/>
        </w:trPr>
        <w:tc>
          <w:tcPr>
            <w:tcW w:w="0" w:type="auto"/>
            <w:shd w:val="clear" w:color="auto" w:fill="E7E6E6" w:themeFill="background2"/>
            <w:vAlign w:val="center"/>
          </w:tcPr>
          <w:p w:rsidR="00510245" w:rsidRPr="0070281C" w:rsidRDefault="00510245" w:rsidP="00510245">
            <w:pPr>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EU-28</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34%</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25%</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0%</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0%</w:t>
            </w:r>
          </w:p>
        </w:tc>
      </w:tr>
      <w:tr w:rsidR="00510245" w:rsidTr="006538DB">
        <w:trPr>
          <w:jc w:val="center"/>
        </w:trPr>
        <w:tc>
          <w:tcPr>
            <w:tcW w:w="0" w:type="auto"/>
            <w:vAlign w:val="center"/>
          </w:tcPr>
          <w:p w:rsidR="00510245" w:rsidRPr="0070281C" w:rsidRDefault="00510245" w:rsidP="00510245">
            <w:pPr>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 xml:space="preserve">Former </w:t>
            </w:r>
            <w:proofErr w:type="spellStart"/>
            <w:r w:rsidRPr="0070281C">
              <w:rPr>
                <w:rFonts w:ascii="Calibri" w:eastAsia="Times New Roman" w:hAnsi="Calibri" w:cs="Calibri"/>
                <w:b/>
                <w:color w:val="000000"/>
                <w:sz w:val="18"/>
                <w:lang w:eastAsia="de-DE"/>
              </w:rPr>
              <w:t>Soviet</w:t>
            </w:r>
            <w:proofErr w:type="spellEnd"/>
            <w:r w:rsidRPr="0070281C">
              <w:rPr>
                <w:rFonts w:ascii="Calibri" w:eastAsia="Times New Roman" w:hAnsi="Calibri" w:cs="Calibri"/>
                <w:b/>
                <w:color w:val="000000"/>
                <w:sz w:val="18"/>
                <w:lang w:eastAsia="de-DE"/>
              </w:rPr>
              <w:t xml:space="preserve"> Union</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18%</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0%</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0%</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5%</w:t>
            </w:r>
          </w:p>
        </w:tc>
      </w:tr>
      <w:tr w:rsidR="00510245" w:rsidTr="004673F4">
        <w:trPr>
          <w:jc w:val="center"/>
        </w:trPr>
        <w:tc>
          <w:tcPr>
            <w:tcW w:w="0" w:type="auto"/>
            <w:shd w:val="clear" w:color="auto" w:fill="E7E6E6" w:themeFill="background2"/>
            <w:vAlign w:val="center"/>
          </w:tcPr>
          <w:p w:rsidR="00510245" w:rsidRPr="0070281C" w:rsidRDefault="00510245" w:rsidP="00510245">
            <w:pPr>
              <w:rPr>
                <w:rFonts w:ascii="Calibri" w:eastAsia="Times New Roman" w:hAnsi="Calibri" w:cs="Calibri"/>
                <w:b/>
                <w:color w:val="000000"/>
                <w:sz w:val="18"/>
                <w:lang w:eastAsia="de-DE"/>
              </w:rPr>
            </w:pPr>
            <w:proofErr w:type="spellStart"/>
            <w:r w:rsidRPr="0070281C">
              <w:rPr>
                <w:rFonts w:ascii="Calibri" w:eastAsia="Times New Roman" w:hAnsi="Calibri" w:cs="Calibri"/>
                <w:b/>
                <w:color w:val="000000"/>
                <w:sz w:val="18"/>
                <w:lang w:eastAsia="de-DE"/>
              </w:rPr>
              <w:t>India</w:t>
            </w:r>
            <w:proofErr w:type="spellEnd"/>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28%</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25%</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12%</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3%</w:t>
            </w:r>
          </w:p>
        </w:tc>
      </w:tr>
      <w:tr w:rsidR="00510245" w:rsidTr="006538DB">
        <w:trPr>
          <w:jc w:val="center"/>
        </w:trPr>
        <w:tc>
          <w:tcPr>
            <w:tcW w:w="0" w:type="auto"/>
            <w:vAlign w:val="center"/>
          </w:tcPr>
          <w:p w:rsidR="00510245" w:rsidRPr="0070281C" w:rsidRDefault="00510245" w:rsidP="00510245">
            <w:pPr>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Japan</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2%</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0%</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0%</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0%</w:t>
            </w:r>
          </w:p>
        </w:tc>
      </w:tr>
      <w:tr w:rsidR="00510245" w:rsidTr="004673F4">
        <w:trPr>
          <w:jc w:val="center"/>
        </w:trPr>
        <w:tc>
          <w:tcPr>
            <w:tcW w:w="0" w:type="auto"/>
            <w:shd w:val="clear" w:color="auto" w:fill="E7E6E6" w:themeFill="background2"/>
            <w:vAlign w:val="center"/>
          </w:tcPr>
          <w:p w:rsidR="00510245" w:rsidRPr="0070281C" w:rsidRDefault="00510245" w:rsidP="00510245">
            <w:pPr>
              <w:rPr>
                <w:rFonts w:ascii="Calibri" w:eastAsia="Times New Roman" w:hAnsi="Calibri" w:cs="Calibri"/>
                <w:b/>
                <w:color w:val="000000"/>
                <w:sz w:val="18"/>
                <w:lang w:eastAsia="de-DE"/>
              </w:rPr>
            </w:pPr>
            <w:proofErr w:type="spellStart"/>
            <w:r w:rsidRPr="0070281C">
              <w:rPr>
                <w:rFonts w:ascii="Calibri" w:eastAsia="Times New Roman" w:hAnsi="Calibri" w:cs="Calibri"/>
                <w:b/>
                <w:color w:val="000000"/>
                <w:sz w:val="18"/>
                <w:lang w:eastAsia="de-DE"/>
              </w:rPr>
              <w:t>Latin</w:t>
            </w:r>
            <w:proofErr w:type="spellEnd"/>
            <w:r w:rsidRPr="0070281C">
              <w:rPr>
                <w:rFonts w:ascii="Calibri" w:eastAsia="Times New Roman" w:hAnsi="Calibri" w:cs="Calibri"/>
                <w:b/>
                <w:color w:val="000000"/>
                <w:sz w:val="18"/>
                <w:lang w:eastAsia="de-DE"/>
              </w:rPr>
              <w:t xml:space="preserve"> </w:t>
            </w:r>
            <w:proofErr w:type="spellStart"/>
            <w:r w:rsidRPr="0070281C">
              <w:rPr>
                <w:rFonts w:ascii="Calibri" w:eastAsia="Times New Roman" w:hAnsi="Calibri" w:cs="Calibri"/>
                <w:b/>
                <w:color w:val="000000"/>
                <w:sz w:val="18"/>
                <w:lang w:eastAsia="de-DE"/>
              </w:rPr>
              <w:t>America</w:t>
            </w:r>
            <w:proofErr w:type="spellEnd"/>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11%</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12%</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33%</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3%</w:t>
            </w:r>
          </w:p>
        </w:tc>
      </w:tr>
      <w:tr w:rsidR="00510245" w:rsidTr="006538DB">
        <w:trPr>
          <w:jc w:val="center"/>
        </w:trPr>
        <w:tc>
          <w:tcPr>
            <w:tcW w:w="0" w:type="auto"/>
            <w:vAlign w:val="center"/>
          </w:tcPr>
          <w:p w:rsidR="00510245" w:rsidRPr="0070281C" w:rsidRDefault="00510245" w:rsidP="00510245">
            <w:pPr>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MENA</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36%</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0%</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0%</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13%</w:t>
            </w:r>
          </w:p>
        </w:tc>
      </w:tr>
      <w:tr w:rsidR="00510245" w:rsidTr="004673F4">
        <w:trPr>
          <w:jc w:val="center"/>
        </w:trPr>
        <w:tc>
          <w:tcPr>
            <w:tcW w:w="0" w:type="auto"/>
            <w:shd w:val="clear" w:color="auto" w:fill="E7E6E6" w:themeFill="background2"/>
            <w:vAlign w:val="center"/>
          </w:tcPr>
          <w:p w:rsidR="00510245" w:rsidRPr="0070281C" w:rsidRDefault="00510245" w:rsidP="00510245">
            <w:pPr>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Non-EU Europe</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10%</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11%</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2%</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0%</w:t>
            </w:r>
          </w:p>
        </w:tc>
      </w:tr>
      <w:tr w:rsidR="00510245" w:rsidTr="006538DB">
        <w:trPr>
          <w:jc w:val="center"/>
        </w:trPr>
        <w:tc>
          <w:tcPr>
            <w:tcW w:w="0" w:type="auto"/>
            <w:vAlign w:val="center"/>
          </w:tcPr>
          <w:p w:rsidR="00510245" w:rsidRPr="0070281C" w:rsidRDefault="00510245" w:rsidP="00510245">
            <w:pPr>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Other Asian States</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21%</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14%</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4%</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0%</w:t>
            </w:r>
          </w:p>
        </w:tc>
      </w:tr>
      <w:tr w:rsidR="00510245" w:rsidTr="004673F4">
        <w:trPr>
          <w:jc w:val="center"/>
        </w:trPr>
        <w:tc>
          <w:tcPr>
            <w:tcW w:w="0" w:type="auto"/>
            <w:shd w:val="clear" w:color="auto" w:fill="E7E6E6" w:themeFill="background2"/>
            <w:vAlign w:val="center"/>
          </w:tcPr>
          <w:p w:rsidR="00510245" w:rsidRPr="0070281C" w:rsidRDefault="00510245" w:rsidP="00510245">
            <w:pPr>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Sub-</w:t>
            </w:r>
            <w:proofErr w:type="spellStart"/>
            <w:r w:rsidRPr="0070281C">
              <w:rPr>
                <w:rFonts w:ascii="Calibri" w:eastAsia="Times New Roman" w:hAnsi="Calibri" w:cs="Calibri"/>
                <w:b/>
                <w:color w:val="000000"/>
                <w:sz w:val="18"/>
                <w:lang w:eastAsia="de-DE"/>
              </w:rPr>
              <w:t>Saharan</w:t>
            </w:r>
            <w:proofErr w:type="spellEnd"/>
            <w:r w:rsidRPr="0070281C">
              <w:rPr>
                <w:rFonts w:ascii="Calibri" w:eastAsia="Times New Roman" w:hAnsi="Calibri" w:cs="Calibri"/>
                <w:b/>
                <w:color w:val="000000"/>
                <w:sz w:val="18"/>
                <w:lang w:eastAsia="de-DE"/>
              </w:rPr>
              <w:t xml:space="preserve"> </w:t>
            </w:r>
            <w:proofErr w:type="spellStart"/>
            <w:r w:rsidRPr="0070281C">
              <w:rPr>
                <w:rFonts w:ascii="Calibri" w:eastAsia="Times New Roman" w:hAnsi="Calibri" w:cs="Calibri"/>
                <w:b/>
                <w:color w:val="000000"/>
                <w:sz w:val="18"/>
                <w:lang w:eastAsia="de-DE"/>
              </w:rPr>
              <w:t>Africa</w:t>
            </w:r>
            <w:proofErr w:type="spellEnd"/>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41%</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53%</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37%</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1%</w:t>
            </w:r>
          </w:p>
        </w:tc>
      </w:tr>
      <w:tr w:rsidR="00510245" w:rsidTr="006538DB">
        <w:trPr>
          <w:jc w:val="center"/>
        </w:trPr>
        <w:tc>
          <w:tcPr>
            <w:tcW w:w="0" w:type="auto"/>
            <w:vAlign w:val="center"/>
          </w:tcPr>
          <w:p w:rsidR="00510245" w:rsidRPr="0070281C" w:rsidRDefault="00510245" w:rsidP="00510245">
            <w:pPr>
              <w:rPr>
                <w:rFonts w:ascii="Calibri" w:eastAsia="Times New Roman" w:hAnsi="Calibri" w:cs="Calibri"/>
                <w:b/>
                <w:color w:val="000000"/>
                <w:sz w:val="18"/>
                <w:lang w:eastAsia="de-DE"/>
              </w:rPr>
            </w:pPr>
            <w:r w:rsidRPr="0070281C">
              <w:rPr>
                <w:rFonts w:ascii="Calibri" w:eastAsia="Times New Roman" w:hAnsi="Calibri" w:cs="Calibri"/>
                <w:b/>
                <w:color w:val="000000"/>
                <w:sz w:val="18"/>
                <w:lang w:eastAsia="de-DE"/>
              </w:rPr>
              <w:t>USA</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18%</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0%</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0%</w:t>
            </w:r>
          </w:p>
        </w:tc>
        <w:tc>
          <w:tcPr>
            <w:tcW w:w="0" w:type="auto"/>
            <w:vAlign w:val="bottom"/>
          </w:tcPr>
          <w:p w:rsidR="00510245" w:rsidRDefault="00510245" w:rsidP="00510245">
            <w:pPr>
              <w:jc w:val="right"/>
              <w:rPr>
                <w:rFonts w:ascii="Calibri" w:hAnsi="Calibri" w:cs="Calibri"/>
                <w:color w:val="000000"/>
              </w:rPr>
            </w:pPr>
            <w:r>
              <w:rPr>
                <w:rFonts w:ascii="Calibri" w:hAnsi="Calibri" w:cs="Calibri"/>
                <w:color w:val="000000"/>
              </w:rPr>
              <w:t>0%</w:t>
            </w:r>
          </w:p>
        </w:tc>
      </w:tr>
      <w:tr w:rsidR="00510245" w:rsidTr="004673F4">
        <w:trPr>
          <w:jc w:val="center"/>
        </w:trPr>
        <w:tc>
          <w:tcPr>
            <w:tcW w:w="0" w:type="auto"/>
            <w:shd w:val="clear" w:color="auto" w:fill="E7E6E6" w:themeFill="background2"/>
            <w:vAlign w:val="center"/>
          </w:tcPr>
          <w:p w:rsidR="00510245" w:rsidRPr="0070281C" w:rsidRDefault="00510245" w:rsidP="00510245">
            <w:pPr>
              <w:rPr>
                <w:rFonts w:ascii="Calibri" w:eastAsia="Times New Roman" w:hAnsi="Calibri" w:cs="Calibri"/>
                <w:b/>
                <w:color w:val="000000"/>
                <w:sz w:val="18"/>
                <w:lang w:eastAsia="de-DE"/>
              </w:rPr>
            </w:pPr>
            <w:r>
              <w:rPr>
                <w:rFonts w:ascii="Calibri" w:eastAsia="Times New Roman" w:hAnsi="Calibri" w:cs="Calibri"/>
                <w:b/>
                <w:color w:val="000000"/>
                <w:sz w:val="18"/>
                <w:lang w:eastAsia="de-DE"/>
              </w:rPr>
              <w:t>World</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16%</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18%</w:t>
            </w:r>
          </w:p>
        </w:tc>
        <w:tc>
          <w:tcPr>
            <w:tcW w:w="0" w:type="auto"/>
            <w:shd w:val="clear" w:color="auto" w:fill="E7E6E6" w:themeFill="background2"/>
            <w:vAlign w:val="bottom"/>
          </w:tcPr>
          <w:p w:rsidR="00510245" w:rsidRDefault="00510245" w:rsidP="00510245">
            <w:pPr>
              <w:jc w:val="right"/>
              <w:rPr>
                <w:rFonts w:ascii="Calibri" w:hAnsi="Calibri" w:cs="Calibri"/>
                <w:color w:val="000000"/>
              </w:rPr>
            </w:pPr>
            <w:r>
              <w:rPr>
                <w:rFonts w:ascii="Calibri" w:hAnsi="Calibri" w:cs="Calibri"/>
                <w:color w:val="000000"/>
              </w:rPr>
              <w:t>13%</w:t>
            </w:r>
          </w:p>
        </w:tc>
        <w:tc>
          <w:tcPr>
            <w:tcW w:w="0" w:type="auto"/>
            <w:shd w:val="clear" w:color="auto" w:fill="E7E6E6" w:themeFill="background2"/>
            <w:vAlign w:val="center"/>
          </w:tcPr>
          <w:p w:rsidR="00510245" w:rsidRDefault="00510245" w:rsidP="006538DB">
            <w:pPr>
              <w:jc w:val="right"/>
              <w:rPr>
                <w:rFonts w:eastAsiaTheme="minorEastAsia"/>
                <w:lang w:val="en-US"/>
              </w:rPr>
            </w:pPr>
            <w:r>
              <w:rPr>
                <w:rFonts w:eastAsiaTheme="minorEastAsia"/>
                <w:lang w:val="en-US"/>
              </w:rPr>
              <w:t>3%</w:t>
            </w:r>
          </w:p>
        </w:tc>
      </w:tr>
    </w:tbl>
    <w:p w:rsidR="00155B0C" w:rsidRPr="006708EE" w:rsidRDefault="006538DB" w:rsidP="00DB6B47">
      <w:pPr>
        <w:jc w:val="both"/>
        <w:rPr>
          <w:rFonts w:eastAsiaTheme="minorEastAsia"/>
          <w:sz w:val="20"/>
          <w:lang w:val="en-US"/>
        </w:rPr>
      </w:pPr>
      <w:r w:rsidRPr="006538DB">
        <w:rPr>
          <w:rFonts w:eastAsiaTheme="minorEastAsia"/>
          <w:b/>
          <w:sz w:val="20"/>
          <w:lang w:val="en-US"/>
        </w:rPr>
        <w:t>Table</w:t>
      </w:r>
      <w:r>
        <w:rPr>
          <w:rFonts w:eastAsiaTheme="minorEastAsia"/>
          <w:b/>
          <w:sz w:val="20"/>
          <w:lang w:val="en-US"/>
        </w:rPr>
        <w:t xml:space="preserve"> A2. Shelving </w:t>
      </w:r>
      <w:r w:rsidR="006708EE">
        <w:rPr>
          <w:rFonts w:eastAsiaTheme="minorEastAsia"/>
          <w:b/>
          <w:sz w:val="20"/>
          <w:lang w:val="en-US"/>
        </w:rPr>
        <w:t>r</w:t>
      </w:r>
      <w:r>
        <w:rPr>
          <w:rFonts w:eastAsiaTheme="minorEastAsia"/>
          <w:b/>
          <w:sz w:val="20"/>
          <w:lang w:val="en-US"/>
        </w:rPr>
        <w:t xml:space="preserve">ates </w:t>
      </w:r>
      <w:r w:rsidR="006708EE">
        <w:rPr>
          <w:rFonts w:eastAsiaTheme="minorEastAsia"/>
          <w:b/>
          <w:sz w:val="20"/>
          <w:lang w:val="en-US"/>
        </w:rPr>
        <w:t xml:space="preserve">of projects in each pipeline phase. </w:t>
      </w:r>
      <w:r w:rsidR="006708EE">
        <w:rPr>
          <w:rFonts w:eastAsiaTheme="minorEastAsia"/>
          <w:sz w:val="20"/>
          <w:lang w:val="en-US"/>
        </w:rPr>
        <w:t>Any country that did not shelve any projects in a particular phase is assigned its region’s value, and any region without shelved projects in a certain phase is assigned the global weighted average.</w:t>
      </w:r>
    </w:p>
    <w:p w:rsidR="00C46969" w:rsidRDefault="006708EE" w:rsidP="00C46969">
      <w:pPr>
        <w:pStyle w:val="Heading3"/>
        <w:rPr>
          <w:rFonts w:eastAsiaTheme="minorEastAsia"/>
          <w:lang w:val="en-US"/>
        </w:rPr>
      </w:pPr>
      <w:r>
        <w:rPr>
          <w:rFonts w:eastAsiaTheme="minorEastAsia"/>
          <w:lang w:val="en-US"/>
        </w:rPr>
        <w:br/>
      </w:r>
      <w:r w:rsidR="00C46969">
        <w:rPr>
          <w:rFonts w:eastAsiaTheme="minorEastAsia"/>
          <w:lang w:val="en-US"/>
        </w:rPr>
        <w:t>Post-COVID Capacity Scenarios</w:t>
      </w:r>
    </w:p>
    <w:p w:rsidR="00C46969" w:rsidRPr="00C46969" w:rsidRDefault="00C46969" w:rsidP="00C46969">
      <w:pPr>
        <w:rPr>
          <w:lang w:val="en-US"/>
        </w:rPr>
      </w:pPr>
      <w:r>
        <w:rPr>
          <w:lang w:val="en-US"/>
        </w:rPr>
        <w:t>A set of as</w:t>
      </w:r>
      <w:r w:rsidR="00F378A0">
        <w:rPr>
          <w:lang w:val="en-US"/>
        </w:rPr>
        <w:t xml:space="preserve">sumptions, summarized in </w:t>
      </w:r>
      <w:r w:rsidR="00155B0C">
        <w:rPr>
          <w:lang w:val="en-US"/>
        </w:rPr>
        <w:t>Table A3</w:t>
      </w:r>
      <w:r>
        <w:rPr>
          <w:lang w:val="en-US"/>
        </w:rPr>
        <w:t xml:space="preserve">, are overlaid on the historical values computed above to extrapolate 2025 capacity scenarios. In </w:t>
      </w:r>
      <w:r w:rsidR="00DB65A3">
        <w:rPr>
          <w:lang w:val="en-US"/>
        </w:rPr>
        <w:t>short</w:t>
      </w:r>
      <w:r>
        <w:rPr>
          <w:lang w:val="en-US"/>
        </w:rPr>
        <w:t xml:space="preserve">, </w:t>
      </w:r>
      <w:r w:rsidR="00DB65A3">
        <w:rPr>
          <w:lang w:val="en-US"/>
        </w:rPr>
        <w:t xml:space="preserve">the MW capacity in each of the pipeline phases are multiplied by the country’s phase-specific completion rate and added to the operating capacity in 2020. Meanwhile, </w:t>
      </w:r>
      <w:r>
        <w:rPr>
          <w:lang w:val="en-US"/>
        </w:rPr>
        <w:t xml:space="preserve">all </w:t>
      </w:r>
      <w:r w:rsidRPr="00C46969">
        <w:rPr>
          <w:lang w:val="en-US"/>
        </w:rPr>
        <w:t xml:space="preserve">plants which reach its nation’s historical mean lifespan will be subtracted from the </w:t>
      </w:r>
      <w:r w:rsidR="00DB65A3">
        <w:rPr>
          <w:lang w:val="en-US"/>
        </w:rPr>
        <w:t xml:space="preserve">2020 </w:t>
      </w:r>
      <w:r w:rsidRPr="00C46969">
        <w:rPr>
          <w:lang w:val="en-US"/>
        </w:rPr>
        <w:t>operating capacity. Additionally, any plants with a planned retirement date of 2027 or earlier will also be considered retired</w:t>
      </w:r>
      <w:r w:rsidR="00694E70">
        <w:rPr>
          <w:rStyle w:val="EndnoteReference"/>
          <w:lang w:val="en-US"/>
        </w:rPr>
        <w:endnoteReference w:id="1"/>
      </w:r>
      <w:r w:rsidRPr="00C46969">
        <w:rPr>
          <w:lang w:val="en-US"/>
        </w:rPr>
        <w:t>.</w:t>
      </w:r>
    </w:p>
    <w:p w:rsidR="00C46969" w:rsidRDefault="00C46969" w:rsidP="00C46969">
      <w:pPr>
        <w:jc w:val="center"/>
        <w:rPr>
          <w:rFonts w:eastAsiaTheme="minorEastAsia"/>
          <w:lang w:val="en-US"/>
        </w:rPr>
      </w:pPr>
      <w:r>
        <w:rPr>
          <w:rFonts w:eastAsiaTheme="minorEastAsia"/>
          <w:noProof/>
          <w:lang w:eastAsia="de-DE"/>
        </w:rPr>
        <w:lastRenderedPageBreak/>
        <w:drawing>
          <wp:inline distT="0" distB="0" distL="0" distR="0" wp14:anchorId="135C518B" wp14:editId="57B106E1">
            <wp:extent cx="5760720" cy="1484215"/>
            <wp:effectExtent l="0" t="0" r="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VID_scenario_assumptions.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1484215"/>
                    </a:xfrm>
                    <a:prstGeom prst="rect">
                      <a:avLst/>
                    </a:prstGeom>
                  </pic:spPr>
                </pic:pic>
              </a:graphicData>
            </a:graphic>
          </wp:inline>
        </w:drawing>
      </w:r>
    </w:p>
    <w:p w:rsidR="00C46969" w:rsidRDefault="00155B0C" w:rsidP="00212057">
      <w:pPr>
        <w:jc w:val="both"/>
        <w:rPr>
          <w:rFonts w:eastAsiaTheme="minorEastAsia"/>
          <w:sz w:val="20"/>
          <w:lang w:val="en-US"/>
        </w:rPr>
      </w:pPr>
      <w:r>
        <w:rPr>
          <w:rFonts w:eastAsiaTheme="minorEastAsia"/>
          <w:b/>
          <w:sz w:val="20"/>
          <w:lang w:val="en-US"/>
        </w:rPr>
        <w:t>Table A3</w:t>
      </w:r>
      <w:r w:rsidR="00C46969" w:rsidRPr="008C0720">
        <w:rPr>
          <w:rFonts w:eastAsiaTheme="minorEastAsia"/>
          <w:b/>
          <w:sz w:val="20"/>
          <w:lang w:val="en-US"/>
        </w:rPr>
        <w:t xml:space="preserve">. </w:t>
      </w:r>
      <w:r w:rsidR="00212057" w:rsidRPr="00212057">
        <w:rPr>
          <w:rFonts w:eastAsiaTheme="minorEastAsia"/>
          <w:b/>
          <w:sz w:val="20"/>
          <w:lang w:val="en-US"/>
        </w:rPr>
        <w:t xml:space="preserve">Assumptions used </w:t>
      </w:r>
      <w:r w:rsidR="00C46969" w:rsidRPr="00212057">
        <w:rPr>
          <w:rFonts w:eastAsiaTheme="minorEastAsia"/>
          <w:b/>
          <w:sz w:val="20"/>
          <w:lang w:val="en-US"/>
        </w:rPr>
        <w:t>for the extrapolation of historical coal power plant and project data to post-COVID scenarios</w:t>
      </w:r>
      <w:r w:rsidR="00C46969">
        <w:rPr>
          <w:rFonts w:eastAsiaTheme="minorEastAsia"/>
          <w:sz w:val="20"/>
          <w:lang w:val="en-US"/>
        </w:rPr>
        <w:t>.</w:t>
      </w:r>
    </w:p>
    <w:p w:rsidR="00DB6B47" w:rsidRPr="008C0720" w:rsidRDefault="00DB6B47" w:rsidP="00212057">
      <w:pPr>
        <w:jc w:val="both"/>
        <w:rPr>
          <w:rFonts w:eastAsiaTheme="minorEastAsia"/>
          <w:sz w:val="20"/>
          <w:lang w:val="en-US"/>
        </w:rPr>
      </w:pPr>
    </w:p>
    <w:p w:rsidR="00C46969" w:rsidRPr="009F66F8" w:rsidRDefault="00DB6B47" w:rsidP="00DB65A3">
      <w:pPr>
        <w:pStyle w:val="Heading4"/>
        <w:rPr>
          <w:lang w:val="en-US"/>
        </w:rPr>
      </w:pPr>
      <w:r>
        <w:rPr>
          <w:lang w:val="en-US"/>
        </w:rPr>
        <w:t>Neutral</w:t>
      </w:r>
      <w:r w:rsidR="00C46969" w:rsidRPr="009F66F8">
        <w:rPr>
          <w:lang w:val="en-US"/>
        </w:rPr>
        <w:t xml:space="preserve"> Recovery</w:t>
      </w:r>
    </w:p>
    <w:p w:rsidR="00C46969" w:rsidRDefault="00C46969" w:rsidP="00C46969">
      <w:pPr>
        <w:jc w:val="both"/>
        <w:rPr>
          <w:lang w:val="en-US"/>
        </w:rPr>
      </w:pPr>
      <w:r>
        <w:rPr>
          <w:lang w:val="en-US"/>
        </w:rPr>
        <w:t xml:space="preserve">The </w:t>
      </w:r>
      <w:r w:rsidR="00DB6B47">
        <w:rPr>
          <w:i/>
          <w:lang w:val="en-US"/>
        </w:rPr>
        <w:t>ne</w:t>
      </w:r>
      <w:r w:rsidR="00DB6B47" w:rsidRPr="00DB6B47">
        <w:rPr>
          <w:i/>
          <w:lang w:val="en-US"/>
        </w:rPr>
        <w:t>utral</w:t>
      </w:r>
      <w:r>
        <w:rPr>
          <w:lang w:val="en-US"/>
        </w:rPr>
        <w:t xml:space="preserve"> scenario represents a case in which governments on aggregate do not reconsider their national energy plans in their COVID </w:t>
      </w:r>
      <w:r w:rsidR="00682F42">
        <w:rPr>
          <w:lang w:val="en-US"/>
        </w:rPr>
        <w:t xml:space="preserve">recovery </w:t>
      </w:r>
      <w:r>
        <w:rPr>
          <w:lang w:val="en-US"/>
        </w:rPr>
        <w:t xml:space="preserve">stimulus packages. In terms of coal-fired power plants, this corresponds to a perfect continuation of </w:t>
      </w:r>
      <w:r w:rsidR="008C7A6A">
        <w:rPr>
          <w:lang w:val="en-US"/>
        </w:rPr>
        <w:t xml:space="preserve">national historical mean plant lifespans, and of </w:t>
      </w:r>
      <w:r>
        <w:rPr>
          <w:lang w:val="en-US"/>
        </w:rPr>
        <w:t>pre-pandemic completion</w:t>
      </w:r>
      <w:r w:rsidR="00661E57">
        <w:rPr>
          <w:lang w:val="en-US"/>
        </w:rPr>
        <w:t>, cancellation, and shelving rates of the project pipeline</w:t>
      </w:r>
      <w:r w:rsidR="00661E57" w:rsidRPr="00661E57">
        <w:rPr>
          <w:lang w:val="en-US"/>
        </w:rPr>
        <w:t xml:space="preserve"> </w:t>
      </w:r>
      <w:r w:rsidR="00661E57">
        <w:rPr>
          <w:lang w:val="en-US"/>
        </w:rPr>
        <w:t>in each country</w:t>
      </w:r>
      <w:r w:rsidR="00F84701">
        <w:rPr>
          <w:lang w:val="en-US"/>
        </w:rPr>
        <w:t xml:space="preserve"> (</w:t>
      </w:r>
      <w:r w:rsidR="00155B0C">
        <w:rPr>
          <w:lang w:val="en-US"/>
        </w:rPr>
        <w:t>Tables A1-2</w:t>
      </w:r>
      <w:r w:rsidR="00F84701">
        <w:rPr>
          <w:lang w:val="en-US"/>
        </w:rPr>
        <w:t>)</w:t>
      </w:r>
      <w:r>
        <w:rPr>
          <w:lang w:val="en-US"/>
        </w:rPr>
        <w:t xml:space="preserve">. </w:t>
      </w:r>
      <w:r w:rsidR="006167A1">
        <w:rPr>
          <w:lang w:val="en-US"/>
        </w:rPr>
        <w:t xml:space="preserve">The </w:t>
      </w:r>
      <w:r w:rsidR="006167A1">
        <w:rPr>
          <w:lang w:val="en-US"/>
        </w:rPr>
        <w:t xml:space="preserve">future </w:t>
      </w:r>
      <w:r w:rsidR="006167A1">
        <w:rPr>
          <w:lang w:val="en-US"/>
        </w:rPr>
        <w:t xml:space="preserve">shelving of projects, and the ultimate completion of </w:t>
      </w:r>
      <w:r w:rsidR="0002065F">
        <w:rPr>
          <w:lang w:val="en-US"/>
        </w:rPr>
        <w:t>these plants,</w:t>
      </w:r>
      <w:r w:rsidR="006167A1">
        <w:rPr>
          <w:lang w:val="en-US"/>
        </w:rPr>
        <w:t xml:space="preserve"> is modeled by </w:t>
      </w:r>
      <w:r w:rsidR="0002065F">
        <w:rPr>
          <w:lang w:val="en-US"/>
        </w:rPr>
        <w:t xml:space="preserve">first </w:t>
      </w:r>
      <w:r w:rsidR="006167A1">
        <w:rPr>
          <w:lang w:val="en-US"/>
        </w:rPr>
        <w:t xml:space="preserve">applying </w:t>
      </w:r>
      <w:r w:rsidR="0002065F">
        <w:rPr>
          <w:lang w:val="en-US"/>
        </w:rPr>
        <w:t xml:space="preserve">the shelving rates in Table A2 to </w:t>
      </w:r>
      <w:r w:rsidR="0002065F">
        <w:rPr>
          <w:lang w:val="en-US"/>
        </w:rPr>
        <w:t xml:space="preserve">each </w:t>
      </w:r>
      <w:r w:rsidR="0002065F">
        <w:rPr>
          <w:lang w:val="en-US"/>
        </w:rPr>
        <w:t xml:space="preserve">pipeline </w:t>
      </w:r>
      <w:r w:rsidR="0002065F">
        <w:rPr>
          <w:lang w:val="en-US"/>
        </w:rPr>
        <w:t>phase</w:t>
      </w:r>
      <w:r w:rsidR="0002065F">
        <w:rPr>
          <w:lang w:val="en-US"/>
        </w:rPr>
        <w:t xml:space="preserve"> and then multiplying by the completion rate of shelved plants from Table A1. </w:t>
      </w:r>
      <w:r>
        <w:rPr>
          <w:lang w:val="en-US"/>
        </w:rPr>
        <w:t>Furthermore, half of the currently mothballed plants are assumed to retire</w:t>
      </w:r>
      <w:r w:rsidR="008617C1">
        <w:rPr>
          <w:rStyle w:val="EndnoteReference"/>
          <w:lang w:val="en-US"/>
        </w:rPr>
        <w:endnoteReference w:id="2"/>
      </w:r>
      <w:r>
        <w:rPr>
          <w:lang w:val="en-US"/>
        </w:rPr>
        <w:t xml:space="preserve">. </w:t>
      </w:r>
    </w:p>
    <w:p w:rsidR="00C46969" w:rsidRDefault="00C46969" w:rsidP="00C46969">
      <w:pPr>
        <w:jc w:val="both"/>
        <w:rPr>
          <w:lang w:val="en-US"/>
        </w:rPr>
      </w:pPr>
      <w:r w:rsidRPr="00880B17">
        <w:rPr>
          <w:lang w:val="en-US"/>
        </w:rPr>
        <w:t xml:space="preserve">There </w:t>
      </w:r>
      <w:r>
        <w:rPr>
          <w:lang w:val="en-US"/>
        </w:rPr>
        <w:t xml:space="preserve">are </w:t>
      </w:r>
      <w:r w:rsidRPr="00880B17">
        <w:rPr>
          <w:lang w:val="en-US"/>
        </w:rPr>
        <w:t xml:space="preserve">some exceptions to this rule of thumb. </w:t>
      </w:r>
      <w:r>
        <w:rPr>
          <w:lang w:val="en-US"/>
        </w:rPr>
        <w:t xml:space="preserve">In order </w:t>
      </w:r>
      <w:r w:rsidRPr="00880B17">
        <w:rPr>
          <w:lang w:val="en-US"/>
        </w:rPr>
        <w:t>to achieve their 2030 phase-out target</w:t>
      </w:r>
      <w:r>
        <w:rPr>
          <w:lang w:val="en-US"/>
        </w:rPr>
        <w:t xml:space="preserve">, </w:t>
      </w:r>
      <w:r w:rsidRPr="00880B17">
        <w:rPr>
          <w:lang w:val="en-US"/>
        </w:rPr>
        <w:t xml:space="preserve">PPCA members </w:t>
      </w:r>
      <w:r>
        <w:rPr>
          <w:lang w:val="en-US"/>
        </w:rPr>
        <w:t xml:space="preserve">in the </w:t>
      </w:r>
      <w:r w:rsidRPr="00880B17">
        <w:rPr>
          <w:lang w:val="en-US"/>
        </w:rPr>
        <w:t xml:space="preserve">OECD and EU </w:t>
      </w:r>
      <w:r>
        <w:rPr>
          <w:lang w:val="en-US"/>
        </w:rPr>
        <w:t>are assumed to complete</w:t>
      </w:r>
      <w:r w:rsidRPr="00880B17">
        <w:rPr>
          <w:lang w:val="en-US"/>
        </w:rPr>
        <w:t xml:space="preserve"> 0% </w:t>
      </w:r>
      <w:r>
        <w:rPr>
          <w:lang w:val="en-US"/>
        </w:rPr>
        <w:t xml:space="preserve">of </w:t>
      </w:r>
      <w:r w:rsidRPr="00880B17">
        <w:rPr>
          <w:lang w:val="en-US"/>
        </w:rPr>
        <w:t xml:space="preserve">their </w:t>
      </w:r>
      <w:r>
        <w:rPr>
          <w:lang w:val="en-US"/>
        </w:rPr>
        <w:t xml:space="preserve">remaining </w:t>
      </w:r>
      <w:r w:rsidRPr="00880B17">
        <w:rPr>
          <w:lang w:val="en-US"/>
        </w:rPr>
        <w:t xml:space="preserve">pipelines. </w:t>
      </w:r>
      <w:r>
        <w:rPr>
          <w:lang w:val="en-US"/>
        </w:rPr>
        <w:t>All other current</w:t>
      </w:r>
      <w:r w:rsidRPr="00880B17">
        <w:rPr>
          <w:lang w:val="en-US"/>
        </w:rPr>
        <w:t xml:space="preserve"> PPCA members are assumed to cut their historical completion rates in half and </w:t>
      </w:r>
      <w:r>
        <w:rPr>
          <w:lang w:val="en-US"/>
        </w:rPr>
        <w:t xml:space="preserve">to </w:t>
      </w:r>
      <w:r w:rsidRPr="00880B17">
        <w:rPr>
          <w:lang w:val="en-US"/>
        </w:rPr>
        <w:t>cancel all shelved plants. Th</w:t>
      </w:r>
      <w:r>
        <w:rPr>
          <w:lang w:val="en-US"/>
        </w:rPr>
        <w:t xml:space="preserve">ese assumptions </w:t>
      </w:r>
      <w:r w:rsidRPr="00880B17">
        <w:rPr>
          <w:lang w:val="en-US"/>
        </w:rPr>
        <w:t xml:space="preserve">also apply to countries which have already </w:t>
      </w:r>
      <w:r>
        <w:rPr>
          <w:lang w:val="en-US"/>
        </w:rPr>
        <w:t>announced plans to cancel large coal projects via press briefings.</w:t>
      </w:r>
      <w:r w:rsidRPr="00880B17">
        <w:rPr>
          <w:lang w:val="en-US"/>
        </w:rPr>
        <w:t xml:space="preserve"> </w:t>
      </w:r>
      <w:r>
        <w:rPr>
          <w:lang w:val="en-US"/>
        </w:rPr>
        <w:t xml:space="preserve">Specifically, these </w:t>
      </w:r>
      <w:r w:rsidR="00DB65A3">
        <w:rPr>
          <w:lang w:val="en-US"/>
        </w:rPr>
        <w:t xml:space="preserve">‘green-leaning </w:t>
      </w:r>
      <w:r>
        <w:rPr>
          <w:lang w:val="en-US"/>
        </w:rPr>
        <w:t>nations</w:t>
      </w:r>
      <w:r w:rsidR="00DB65A3">
        <w:rPr>
          <w:lang w:val="en-US"/>
        </w:rPr>
        <w:t>’</w:t>
      </w:r>
      <w:r>
        <w:rPr>
          <w:lang w:val="en-US"/>
        </w:rPr>
        <w:t xml:space="preserve"> are </w:t>
      </w:r>
      <w:r w:rsidRPr="00880B17">
        <w:rPr>
          <w:lang w:val="en-US"/>
        </w:rPr>
        <w:t>the Philippines, Spain, Bangladesh, Egypt, Pakistan, Australia, S</w:t>
      </w:r>
      <w:r>
        <w:rPr>
          <w:lang w:val="en-US"/>
        </w:rPr>
        <w:t>outh</w:t>
      </w:r>
      <w:r w:rsidRPr="00880B17">
        <w:rPr>
          <w:lang w:val="en-US"/>
        </w:rPr>
        <w:t xml:space="preserve"> Korea</w:t>
      </w:r>
      <w:r>
        <w:rPr>
          <w:lang w:val="en-US"/>
        </w:rPr>
        <w:t xml:space="preserve"> and</w:t>
      </w:r>
      <w:r w:rsidRPr="00880B17">
        <w:rPr>
          <w:lang w:val="en-US"/>
        </w:rPr>
        <w:t xml:space="preserve"> Vietnam.</w:t>
      </w:r>
    </w:p>
    <w:p w:rsidR="00C46969" w:rsidRPr="009F66F8" w:rsidRDefault="00A2544C" w:rsidP="00DB65A3">
      <w:pPr>
        <w:pStyle w:val="Heading4"/>
        <w:rPr>
          <w:lang w:val="en-US"/>
        </w:rPr>
      </w:pPr>
      <w:r>
        <w:rPr>
          <w:lang w:val="en-US"/>
        </w:rPr>
        <w:t>Green R</w:t>
      </w:r>
      <w:r w:rsidR="00C46969" w:rsidRPr="009F66F8">
        <w:rPr>
          <w:lang w:val="en-US"/>
        </w:rPr>
        <w:t>ecovery</w:t>
      </w:r>
    </w:p>
    <w:p w:rsidR="00F378A0" w:rsidRDefault="00A2544C" w:rsidP="003760FC">
      <w:pPr>
        <w:pStyle w:val="ListParagraph"/>
        <w:ind w:left="0"/>
        <w:jc w:val="both"/>
        <w:rPr>
          <w:lang w:val="en-US"/>
        </w:rPr>
      </w:pPr>
      <w:r>
        <w:rPr>
          <w:lang w:val="en-US"/>
        </w:rPr>
        <w:t>The</w:t>
      </w:r>
      <w:r w:rsidR="00C46969" w:rsidRPr="00880B17">
        <w:rPr>
          <w:lang w:val="en-US"/>
        </w:rPr>
        <w:t xml:space="preserve"> more optimistic </w:t>
      </w:r>
      <w:r w:rsidR="00682F42">
        <w:rPr>
          <w:i/>
          <w:lang w:val="en-US"/>
        </w:rPr>
        <w:t>green</w:t>
      </w:r>
      <w:r>
        <w:rPr>
          <w:lang w:val="en-US"/>
        </w:rPr>
        <w:t xml:space="preserve"> </w:t>
      </w:r>
      <w:r w:rsidR="00C46969" w:rsidRPr="00880B17">
        <w:rPr>
          <w:lang w:val="en-US"/>
        </w:rPr>
        <w:t xml:space="preserve">scenario envisions a world in which national governments account for the detrimental long-term </w:t>
      </w:r>
      <w:r w:rsidR="00DB65A3">
        <w:rPr>
          <w:lang w:val="en-US"/>
        </w:rPr>
        <w:t>climate, financial</w:t>
      </w:r>
      <w:r w:rsidR="00C46969" w:rsidRPr="00880B17">
        <w:rPr>
          <w:lang w:val="en-US"/>
        </w:rPr>
        <w:t xml:space="preserve">, health, and/or environmental consequences of </w:t>
      </w:r>
      <w:r w:rsidR="00DB65A3">
        <w:rPr>
          <w:lang w:val="en-US"/>
        </w:rPr>
        <w:t>new coal power plants in</w:t>
      </w:r>
      <w:r w:rsidR="00DB65A3" w:rsidRPr="00DB65A3">
        <w:rPr>
          <w:lang w:val="en-US"/>
        </w:rPr>
        <w:t xml:space="preserve"> </w:t>
      </w:r>
      <w:r w:rsidR="00DB65A3" w:rsidRPr="00880B17">
        <w:rPr>
          <w:lang w:val="en-US"/>
        </w:rPr>
        <w:t>the</w:t>
      </w:r>
      <w:r w:rsidR="00DB65A3">
        <w:rPr>
          <w:lang w:val="en-US"/>
        </w:rPr>
        <w:t>ir</w:t>
      </w:r>
      <w:r w:rsidR="00DB65A3" w:rsidRPr="00880B17">
        <w:rPr>
          <w:lang w:val="en-US"/>
        </w:rPr>
        <w:t xml:space="preserve"> </w:t>
      </w:r>
      <w:r w:rsidR="00DB65A3">
        <w:rPr>
          <w:lang w:val="en-US"/>
        </w:rPr>
        <w:t>COVID-</w:t>
      </w:r>
      <w:r w:rsidR="00DB65A3" w:rsidRPr="00880B17">
        <w:rPr>
          <w:lang w:val="en-US"/>
        </w:rPr>
        <w:t>recovery</w:t>
      </w:r>
      <w:r w:rsidR="00DB65A3">
        <w:rPr>
          <w:lang w:val="en-US"/>
        </w:rPr>
        <w:t xml:space="preserve"> plans.</w:t>
      </w:r>
      <w:r w:rsidR="00C46969" w:rsidRPr="00880B17">
        <w:rPr>
          <w:lang w:val="en-US"/>
        </w:rPr>
        <w:t xml:space="preserve"> </w:t>
      </w:r>
      <w:r w:rsidR="00DB65A3">
        <w:rPr>
          <w:lang w:val="en-US"/>
        </w:rPr>
        <w:t xml:space="preserve">Therefore, </w:t>
      </w:r>
      <w:r w:rsidR="00C46969" w:rsidRPr="00880B17">
        <w:rPr>
          <w:lang w:val="en-US"/>
        </w:rPr>
        <w:t xml:space="preserve">national </w:t>
      </w:r>
      <w:r>
        <w:rPr>
          <w:lang w:val="en-US"/>
        </w:rPr>
        <w:t xml:space="preserve">project </w:t>
      </w:r>
      <w:r w:rsidR="00C46969" w:rsidRPr="00880B17">
        <w:rPr>
          <w:lang w:val="en-US"/>
        </w:rPr>
        <w:t>completion rate</w:t>
      </w:r>
      <w:r w:rsidR="00DB65A3">
        <w:rPr>
          <w:lang w:val="en-US"/>
        </w:rPr>
        <w:t xml:space="preserve">s </w:t>
      </w:r>
      <w:r>
        <w:rPr>
          <w:lang w:val="en-US"/>
        </w:rPr>
        <w:t xml:space="preserve">of all phases </w:t>
      </w:r>
      <w:r w:rsidR="00DB65A3">
        <w:rPr>
          <w:lang w:val="en-US"/>
        </w:rPr>
        <w:t>fall</w:t>
      </w:r>
      <w:r w:rsidR="00C46969" w:rsidRPr="00880B17">
        <w:rPr>
          <w:lang w:val="en-US"/>
        </w:rPr>
        <w:t xml:space="preserve"> to 50% of </w:t>
      </w:r>
      <w:r>
        <w:rPr>
          <w:lang w:val="en-US"/>
        </w:rPr>
        <w:t xml:space="preserve">the historical (and </w:t>
      </w:r>
      <w:r w:rsidR="00682F42">
        <w:rPr>
          <w:i/>
          <w:lang w:val="en-US"/>
        </w:rPr>
        <w:t>neutral</w:t>
      </w:r>
      <w:r>
        <w:rPr>
          <w:lang w:val="en-US"/>
        </w:rPr>
        <w:t xml:space="preserve"> scenario) rates. Moreover, all </w:t>
      </w:r>
      <w:r w:rsidR="005419F6">
        <w:rPr>
          <w:lang w:val="en-US"/>
        </w:rPr>
        <w:t xml:space="preserve">mothballed plants are assumed to retire, and </w:t>
      </w:r>
      <w:r>
        <w:rPr>
          <w:lang w:val="en-US"/>
        </w:rPr>
        <w:t xml:space="preserve">shelved projects which have not yet entered the construction phase are assumed to be cancelled. </w:t>
      </w:r>
      <w:r w:rsidR="00C46969" w:rsidRPr="00880B17">
        <w:rPr>
          <w:lang w:val="en-US"/>
        </w:rPr>
        <w:t>National</w:t>
      </w:r>
      <w:r>
        <w:rPr>
          <w:lang w:val="en-US"/>
        </w:rPr>
        <w:t xml:space="preserve"> plant</w:t>
      </w:r>
      <w:r w:rsidR="00C46969" w:rsidRPr="00880B17">
        <w:rPr>
          <w:lang w:val="en-US"/>
        </w:rPr>
        <w:t xml:space="preserve"> retirement ages remain at the historical capacity-weighted mean, reflecting the assertion that early retirements are politically more difficult than </w:t>
      </w:r>
      <w:r>
        <w:rPr>
          <w:lang w:val="en-US"/>
        </w:rPr>
        <w:t>prospective project cancellations</w:t>
      </w:r>
      <w:r w:rsidR="00A61FC1">
        <w:rPr>
          <w:lang w:val="en-US"/>
        </w:rPr>
        <w:fldChar w:fldCharType="begin"/>
      </w:r>
      <w:r w:rsidR="00A61FC1">
        <w:rPr>
          <w:lang w:val="en-US"/>
        </w:rPr>
        <w:instrText xml:space="preserve"> ADDIN ZOTERO_ITEM CSL_CITATION {"citationID":"uRRQcKIN","properties":{"formattedCitation":"\\super 4\\nosupersub{}","plainCitation":"4","noteIndex":0},"citationItems":[{"id":22468,"uris":["http://zotero.org/groups/52011/items/9S7MVTNH"],"uri":["http://zotero.org/groups/52011/items/9S7MVTNH"],"itemData":{"id":22468,"type":"article-journal","container-title":"Nature Climate Change","DOI":"10.1038/s41558-020-0866-1","ISSN":"1758-678X, 1758-6798","issue":"8","journalAbbreviation":"Nat. Clim. Chang.","language":"en","page":"704-707","source":"DOI.org (Crossref)","title":"The future of coal in a carbon-constrained climate","volume":"10","author":[{"family":"Jakob","given":"Michael"},{"family":"Steckel","given":"Jan Christoph"},{"family":"Jotzo","given":"Frank"},{"family":"Sovacool","given":"Benjamin K."},{"family":"Cornelsen","given":"Laura"},{"family":"Chandra","given":"Rohit"},{"family":"Edenhofer","given":"Ottmar"},{"family":"Holden","given":"Chris"},{"family":"Löschel","given":"Andreas"},{"family":"Nace","given":"Ted"},{"family":"Robins","given":"Nick"},{"family":"Suedekum","given":"Jens"},{"family":"Urpelainen","given":"Johannes"}],"issued":{"date-parts":[["2020",8]]}}}],"schema":"https://github.com/citation-style-language/schema/raw/master/csl-citation.json"} </w:instrText>
      </w:r>
      <w:r w:rsidR="00A61FC1">
        <w:rPr>
          <w:lang w:val="en-US"/>
        </w:rPr>
        <w:fldChar w:fldCharType="separate"/>
      </w:r>
      <w:r w:rsidR="00A61FC1" w:rsidRPr="00A61FC1">
        <w:rPr>
          <w:rFonts w:ascii="Calibri" w:hAnsi="Calibri" w:cs="Calibri"/>
          <w:szCs w:val="24"/>
          <w:vertAlign w:val="superscript"/>
          <w:lang w:val="en-US"/>
        </w:rPr>
        <w:t>4</w:t>
      </w:r>
      <w:r w:rsidR="00A61FC1">
        <w:rPr>
          <w:lang w:val="en-US"/>
        </w:rPr>
        <w:fldChar w:fldCharType="end"/>
      </w:r>
      <w:r w:rsidR="00C46969" w:rsidRPr="00880B17">
        <w:rPr>
          <w:lang w:val="en-US"/>
        </w:rPr>
        <w:t xml:space="preserve">. OECD and EU members of the PPCA will again be assumed to cancel all projects, while all other PPCA members and </w:t>
      </w:r>
      <w:r w:rsidR="0092163D">
        <w:rPr>
          <w:lang w:val="en-US"/>
        </w:rPr>
        <w:t>green-leaning</w:t>
      </w:r>
      <w:r w:rsidR="00C46969" w:rsidRPr="00880B17">
        <w:rPr>
          <w:lang w:val="en-US"/>
        </w:rPr>
        <w:t xml:space="preserve"> nations will be assumed to cut their completion rates to 25% of </w:t>
      </w:r>
      <w:r>
        <w:rPr>
          <w:lang w:val="en-US"/>
        </w:rPr>
        <w:t>historical</w:t>
      </w:r>
      <w:r w:rsidR="00C46969" w:rsidRPr="00880B17">
        <w:rPr>
          <w:lang w:val="en-US"/>
        </w:rPr>
        <w:t xml:space="preserve"> rates.</w:t>
      </w:r>
    </w:p>
    <w:p w:rsidR="00C46969" w:rsidRDefault="00C46969" w:rsidP="00DB65A3">
      <w:pPr>
        <w:pStyle w:val="Heading4"/>
        <w:rPr>
          <w:lang w:val="en-US"/>
        </w:rPr>
      </w:pPr>
      <w:r>
        <w:rPr>
          <w:lang w:val="en-US"/>
        </w:rPr>
        <w:t>Brown Recovery</w:t>
      </w:r>
    </w:p>
    <w:p w:rsidR="003D4EFC" w:rsidRDefault="00A2544C" w:rsidP="00C46969">
      <w:pPr>
        <w:jc w:val="both"/>
        <w:rPr>
          <w:lang w:val="en-US"/>
        </w:rPr>
      </w:pPr>
      <w:r>
        <w:rPr>
          <w:lang w:val="en-US"/>
        </w:rPr>
        <w:t xml:space="preserve">The </w:t>
      </w:r>
      <w:r w:rsidRPr="00682F42">
        <w:rPr>
          <w:i/>
          <w:lang w:val="en-US"/>
        </w:rPr>
        <w:t>brown</w:t>
      </w:r>
      <w:r>
        <w:rPr>
          <w:lang w:val="en-US"/>
        </w:rPr>
        <w:t xml:space="preserve"> scenario depicts a more cynical outlook in which national governments turn toward</w:t>
      </w:r>
      <w:r w:rsidR="005419F6">
        <w:rPr>
          <w:lang w:val="en-US"/>
        </w:rPr>
        <w:t xml:space="preserve"> coal power as seemingly</w:t>
      </w:r>
      <w:r>
        <w:rPr>
          <w:lang w:val="en-US"/>
        </w:rPr>
        <w:t xml:space="preserve"> </w:t>
      </w:r>
      <w:r w:rsidR="005419F6">
        <w:rPr>
          <w:lang w:val="en-US"/>
        </w:rPr>
        <w:t>‘safe and proven’</w:t>
      </w:r>
      <w:r>
        <w:rPr>
          <w:lang w:val="en-US"/>
        </w:rPr>
        <w:t xml:space="preserve"> </w:t>
      </w:r>
      <w:r w:rsidR="005419F6">
        <w:rPr>
          <w:lang w:val="en-US"/>
        </w:rPr>
        <w:t xml:space="preserve">energy investments to lift the economy out of crisis. The recovery package thereby reduces the cancellation rate of all pipeline </w:t>
      </w:r>
      <w:r w:rsidR="0092163D">
        <w:rPr>
          <w:lang w:val="en-US"/>
        </w:rPr>
        <w:t xml:space="preserve">projects </w:t>
      </w:r>
      <w:r w:rsidR="005419F6">
        <w:rPr>
          <w:lang w:val="en-US"/>
        </w:rPr>
        <w:t xml:space="preserve">by 50% </w:t>
      </w:r>
      <w:r w:rsidR="0092163D">
        <w:rPr>
          <w:lang w:val="en-US"/>
        </w:rPr>
        <w:t xml:space="preserve">and increases </w:t>
      </w:r>
      <w:r w:rsidR="00C46969" w:rsidRPr="00880B17">
        <w:rPr>
          <w:lang w:val="en-US"/>
        </w:rPr>
        <w:t xml:space="preserve">the lifespan of coal stations by five years above the national historical capacity-weighted mean. </w:t>
      </w:r>
      <w:r w:rsidR="0092163D">
        <w:rPr>
          <w:lang w:val="en-US"/>
        </w:rPr>
        <w:t xml:space="preserve">OECD and EU PPCA members are unaffected by this global movement, while other PPCA members and green-leaning nations are assumed to complete a larger share of their projects than in the </w:t>
      </w:r>
      <w:r w:rsidR="00682F42">
        <w:rPr>
          <w:i/>
          <w:lang w:val="en-US"/>
        </w:rPr>
        <w:t>neutral</w:t>
      </w:r>
      <w:r w:rsidR="0092163D">
        <w:rPr>
          <w:lang w:val="en-US"/>
        </w:rPr>
        <w:t xml:space="preserve"> case but still at half the rate of the rest of the world.</w:t>
      </w:r>
    </w:p>
    <w:tbl>
      <w:tblPr>
        <w:tblW w:w="5367" w:type="dxa"/>
        <w:jc w:val="center"/>
        <w:tblBorders>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55"/>
        <w:gridCol w:w="1170"/>
        <w:gridCol w:w="1060"/>
        <w:gridCol w:w="982"/>
      </w:tblGrid>
      <w:tr w:rsidR="003D4EFC" w:rsidRPr="00212057" w:rsidTr="00CE2C91">
        <w:trPr>
          <w:trHeight w:val="234"/>
          <w:jc w:val="center"/>
        </w:trPr>
        <w:tc>
          <w:tcPr>
            <w:tcW w:w="2155" w:type="dxa"/>
            <w:tcBorders>
              <w:bottom w:val="single" w:sz="4" w:space="0" w:color="auto"/>
              <w:right w:val="single" w:sz="4" w:space="0" w:color="auto"/>
            </w:tcBorders>
            <w:shd w:val="clear" w:color="auto" w:fill="auto"/>
            <w:noWrap/>
            <w:vAlign w:val="bottom"/>
          </w:tcPr>
          <w:p w:rsidR="003D4EFC" w:rsidRPr="00300F4C" w:rsidRDefault="003D4EFC" w:rsidP="00CE2C91">
            <w:pPr>
              <w:spacing w:after="0" w:line="240" w:lineRule="auto"/>
              <w:rPr>
                <w:b/>
                <w:sz w:val="20"/>
                <w:lang w:val="en-US"/>
              </w:rPr>
            </w:pPr>
          </w:p>
        </w:tc>
        <w:tc>
          <w:tcPr>
            <w:tcW w:w="3212" w:type="dxa"/>
            <w:gridSpan w:val="3"/>
            <w:tcBorders>
              <w:left w:val="single" w:sz="4" w:space="0" w:color="auto"/>
              <w:bottom w:val="single" w:sz="4" w:space="0" w:color="auto"/>
            </w:tcBorders>
            <w:shd w:val="clear" w:color="auto" w:fill="auto"/>
            <w:noWrap/>
            <w:vAlign w:val="bottom"/>
          </w:tcPr>
          <w:p w:rsidR="003D4EFC" w:rsidRPr="00255E24" w:rsidRDefault="003D4EFC" w:rsidP="00CE2C91">
            <w:pPr>
              <w:spacing w:after="0" w:line="240" w:lineRule="auto"/>
              <w:jc w:val="center"/>
              <w:rPr>
                <w:rFonts w:ascii="Calibri" w:eastAsia="Times New Roman" w:hAnsi="Calibri" w:cs="Calibri"/>
                <w:b/>
                <w:color w:val="000000"/>
                <w:sz w:val="20"/>
                <w:lang w:eastAsia="de-DE"/>
              </w:rPr>
            </w:pPr>
            <w:proofErr w:type="spellStart"/>
            <w:r>
              <w:rPr>
                <w:rFonts w:ascii="Calibri" w:eastAsia="Times New Roman" w:hAnsi="Calibri" w:cs="Calibri"/>
                <w:b/>
                <w:color w:val="000000"/>
                <w:sz w:val="20"/>
                <w:lang w:eastAsia="de-DE"/>
              </w:rPr>
              <w:t>Implied</w:t>
            </w:r>
            <w:proofErr w:type="spellEnd"/>
            <w:r>
              <w:rPr>
                <w:rFonts w:ascii="Calibri" w:eastAsia="Times New Roman" w:hAnsi="Calibri" w:cs="Calibri"/>
                <w:b/>
                <w:color w:val="000000"/>
                <w:sz w:val="20"/>
                <w:lang w:eastAsia="de-DE"/>
              </w:rPr>
              <w:t xml:space="preserve"> </w:t>
            </w:r>
            <w:proofErr w:type="spellStart"/>
            <w:r>
              <w:rPr>
                <w:rFonts w:ascii="Calibri" w:eastAsia="Times New Roman" w:hAnsi="Calibri" w:cs="Calibri"/>
                <w:b/>
                <w:color w:val="000000"/>
                <w:sz w:val="20"/>
                <w:lang w:eastAsia="de-DE"/>
              </w:rPr>
              <w:t>Emissions</w:t>
            </w:r>
            <w:proofErr w:type="spellEnd"/>
            <w:r>
              <w:rPr>
                <w:rFonts w:ascii="Calibri" w:eastAsia="Times New Roman" w:hAnsi="Calibri" w:cs="Calibri"/>
                <w:b/>
                <w:color w:val="000000"/>
                <w:sz w:val="20"/>
                <w:lang w:eastAsia="de-DE"/>
              </w:rPr>
              <w:t xml:space="preserve"> (GtCO</w:t>
            </w:r>
            <w:r>
              <w:rPr>
                <w:rFonts w:ascii="Calibri" w:eastAsia="Times New Roman" w:hAnsi="Calibri" w:cs="Calibri"/>
                <w:b/>
                <w:color w:val="000000"/>
                <w:sz w:val="20"/>
                <w:vertAlign w:val="subscript"/>
                <w:lang w:eastAsia="de-DE"/>
              </w:rPr>
              <w:t>2</w:t>
            </w:r>
            <w:r>
              <w:rPr>
                <w:rFonts w:ascii="Calibri" w:eastAsia="Times New Roman" w:hAnsi="Calibri" w:cs="Calibri"/>
                <w:b/>
                <w:color w:val="000000"/>
                <w:sz w:val="20"/>
                <w:lang w:eastAsia="de-DE"/>
              </w:rPr>
              <w:t>)</w:t>
            </w:r>
          </w:p>
        </w:tc>
      </w:tr>
      <w:tr w:rsidR="003D4EFC" w:rsidRPr="00212057" w:rsidTr="00CE2C91">
        <w:trPr>
          <w:trHeight w:val="234"/>
          <w:jc w:val="center"/>
        </w:trPr>
        <w:tc>
          <w:tcPr>
            <w:tcW w:w="2155" w:type="dxa"/>
            <w:tcBorders>
              <w:bottom w:val="single" w:sz="4" w:space="0" w:color="auto"/>
              <w:right w:val="single" w:sz="4" w:space="0" w:color="auto"/>
            </w:tcBorders>
            <w:shd w:val="clear" w:color="auto" w:fill="auto"/>
            <w:noWrap/>
            <w:vAlign w:val="bottom"/>
            <w:hideMark/>
          </w:tcPr>
          <w:p w:rsidR="003D4EFC" w:rsidRPr="00212057" w:rsidRDefault="003D4EFC" w:rsidP="00CE2C91">
            <w:pPr>
              <w:spacing w:after="0" w:line="240" w:lineRule="auto"/>
              <w:rPr>
                <w:b/>
                <w:sz w:val="20"/>
              </w:rPr>
            </w:pPr>
            <w:r w:rsidRPr="00212057">
              <w:rPr>
                <w:b/>
                <w:sz w:val="20"/>
              </w:rPr>
              <w:t>R</w:t>
            </w:r>
            <w:r>
              <w:rPr>
                <w:b/>
                <w:sz w:val="20"/>
              </w:rPr>
              <w:t>EMIND R</w:t>
            </w:r>
            <w:r w:rsidRPr="00212057">
              <w:rPr>
                <w:b/>
                <w:sz w:val="20"/>
              </w:rPr>
              <w:t>egion</w:t>
            </w:r>
          </w:p>
        </w:tc>
        <w:tc>
          <w:tcPr>
            <w:tcW w:w="1170" w:type="dxa"/>
            <w:tcBorders>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b/>
                <w:color w:val="000000"/>
                <w:sz w:val="20"/>
                <w:lang w:eastAsia="de-DE"/>
              </w:rPr>
            </w:pPr>
            <w:r w:rsidRPr="00212057">
              <w:rPr>
                <w:rFonts w:ascii="Calibri" w:eastAsia="Times New Roman" w:hAnsi="Calibri" w:cs="Calibri"/>
                <w:b/>
                <w:color w:val="000000"/>
                <w:sz w:val="20"/>
                <w:lang w:eastAsia="de-DE"/>
              </w:rPr>
              <w:t>Green</w:t>
            </w:r>
          </w:p>
        </w:tc>
        <w:tc>
          <w:tcPr>
            <w:tcW w:w="1060" w:type="dxa"/>
            <w:tcBorders>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b/>
                <w:color w:val="000000"/>
                <w:sz w:val="20"/>
                <w:lang w:eastAsia="de-DE"/>
              </w:rPr>
            </w:pPr>
            <w:r w:rsidRPr="00212057">
              <w:rPr>
                <w:rFonts w:ascii="Calibri" w:eastAsia="Times New Roman" w:hAnsi="Calibri" w:cs="Calibri"/>
                <w:b/>
                <w:color w:val="000000"/>
                <w:sz w:val="20"/>
                <w:lang w:eastAsia="de-DE"/>
              </w:rPr>
              <w:t>Brown</w:t>
            </w:r>
          </w:p>
        </w:tc>
        <w:tc>
          <w:tcPr>
            <w:tcW w:w="982" w:type="dxa"/>
            <w:tcBorders>
              <w:left w:val="single" w:sz="4" w:space="0" w:color="auto"/>
              <w:bottom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b/>
                <w:color w:val="000000"/>
                <w:sz w:val="20"/>
                <w:lang w:eastAsia="de-DE"/>
              </w:rPr>
            </w:pPr>
            <w:proofErr w:type="spellStart"/>
            <w:r w:rsidRPr="00212057">
              <w:rPr>
                <w:rFonts w:ascii="Calibri" w:eastAsia="Times New Roman" w:hAnsi="Calibri" w:cs="Calibri"/>
                <w:b/>
                <w:color w:val="000000"/>
                <w:sz w:val="20"/>
                <w:lang w:eastAsia="de-DE"/>
              </w:rPr>
              <w:t>Literature</w:t>
            </w:r>
            <w:proofErr w:type="spellEnd"/>
          </w:p>
        </w:tc>
      </w:tr>
      <w:tr w:rsidR="003D4EFC" w:rsidRPr="00212057" w:rsidTr="004673F4">
        <w:trPr>
          <w:trHeight w:val="234"/>
          <w:jc w:val="center"/>
        </w:trPr>
        <w:tc>
          <w:tcPr>
            <w:tcW w:w="2155" w:type="dxa"/>
            <w:tcBorders>
              <w:top w:val="single" w:sz="4" w:space="0" w:color="auto"/>
              <w:bottom w:val="single" w:sz="4" w:space="0" w:color="auto"/>
              <w:right w:val="single" w:sz="4" w:space="0" w:color="auto"/>
            </w:tcBorders>
            <w:shd w:val="clear" w:color="auto" w:fill="E7E6E6" w:themeFill="background2"/>
            <w:noWrap/>
            <w:vAlign w:val="bottom"/>
            <w:hideMark/>
          </w:tcPr>
          <w:p w:rsidR="003D4EFC" w:rsidRPr="00212057" w:rsidRDefault="003D4EFC" w:rsidP="00CE2C91">
            <w:pPr>
              <w:spacing w:after="0" w:line="240" w:lineRule="auto"/>
              <w:rPr>
                <w:b/>
                <w:sz w:val="20"/>
              </w:rPr>
            </w:pPr>
            <w:r w:rsidRPr="00212057">
              <w:rPr>
                <w:b/>
                <w:sz w:val="20"/>
              </w:rPr>
              <w:t>Canada, AUS, NZ</w:t>
            </w:r>
          </w:p>
        </w:tc>
        <w:tc>
          <w:tcPr>
            <w:tcW w:w="1170" w:type="dxa"/>
            <w:tcBorders>
              <w:top w:val="single" w:sz="4" w:space="0" w:color="auto"/>
              <w:left w:val="single" w:sz="4" w:space="0" w:color="auto"/>
              <w:bottom w:val="single" w:sz="4" w:space="0" w:color="auto"/>
              <w:right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1.9</w:t>
            </w:r>
          </w:p>
        </w:tc>
        <w:tc>
          <w:tcPr>
            <w:tcW w:w="1060" w:type="dxa"/>
            <w:tcBorders>
              <w:top w:val="single" w:sz="4" w:space="0" w:color="auto"/>
              <w:left w:val="single" w:sz="4" w:space="0" w:color="auto"/>
              <w:bottom w:val="single" w:sz="4" w:space="0" w:color="auto"/>
              <w:right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2.9</w:t>
            </w:r>
          </w:p>
        </w:tc>
        <w:tc>
          <w:tcPr>
            <w:tcW w:w="982" w:type="dxa"/>
            <w:tcBorders>
              <w:top w:val="single" w:sz="4" w:space="0" w:color="auto"/>
              <w:left w:val="single" w:sz="4" w:space="0" w:color="auto"/>
              <w:bottom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2.5</w:t>
            </w:r>
          </w:p>
        </w:tc>
      </w:tr>
      <w:tr w:rsidR="003D4EFC" w:rsidRPr="00212057" w:rsidTr="00CE2C91">
        <w:trPr>
          <w:trHeight w:val="234"/>
          <w:jc w:val="center"/>
        </w:trPr>
        <w:tc>
          <w:tcPr>
            <w:tcW w:w="2155" w:type="dxa"/>
            <w:tcBorders>
              <w:top w:val="single" w:sz="4" w:space="0" w:color="auto"/>
              <w:bottom w:val="single" w:sz="4" w:space="0" w:color="auto"/>
              <w:right w:val="single" w:sz="4" w:space="0" w:color="auto"/>
            </w:tcBorders>
            <w:shd w:val="clear" w:color="auto" w:fill="auto"/>
            <w:noWrap/>
            <w:vAlign w:val="bottom"/>
            <w:hideMark/>
          </w:tcPr>
          <w:p w:rsidR="003D4EFC" w:rsidRPr="00212057" w:rsidRDefault="003D4EFC" w:rsidP="00CE2C91">
            <w:pPr>
              <w:spacing w:after="0" w:line="240" w:lineRule="auto"/>
              <w:rPr>
                <w:b/>
                <w:sz w:val="20"/>
              </w:rPr>
            </w:pPr>
            <w:r w:rsidRPr="00212057">
              <w:rPr>
                <w:b/>
                <w:sz w:val="20"/>
              </w:rPr>
              <w:t>China</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68.7</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107.0</w:t>
            </w:r>
          </w:p>
        </w:tc>
        <w:tc>
          <w:tcPr>
            <w:tcW w:w="982" w:type="dxa"/>
            <w:tcBorders>
              <w:top w:val="single" w:sz="4" w:space="0" w:color="auto"/>
              <w:left w:val="single" w:sz="4" w:space="0" w:color="auto"/>
              <w:bottom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184.2</w:t>
            </w:r>
          </w:p>
        </w:tc>
      </w:tr>
      <w:tr w:rsidR="003D4EFC" w:rsidRPr="00212057" w:rsidTr="004673F4">
        <w:trPr>
          <w:trHeight w:val="234"/>
          <w:jc w:val="center"/>
        </w:trPr>
        <w:tc>
          <w:tcPr>
            <w:tcW w:w="2155" w:type="dxa"/>
            <w:tcBorders>
              <w:top w:val="single" w:sz="4" w:space="0" w:color="auto"/>
              <w:bottom w:val="single" w:sz="4" w:space="0" w:color="auto"/>
              <w:right w:val="single" w:sz="4" w:space="0" w:color="auto"/>
            </w:tcBorders>
            <w:shd w:val="clear" w:color="auto" w:fill="E7E6E6" w:themeFill="background2"/>
            <w:noWrap/>
            <w:vAlign w:val="bottom"/>
            <w:hideMark/>
          </w:tcPr>
          <w:p w:rsidR="003D4EFC" w:rsidRPr="00212057" w:rsidRDefault="003D4EFC" w:rsidP="00CE2C91">
            <w:pPr>
              <w:spacing w:after="0" w:line="240" w:lineRule="auto"/>
              <w:rPr>
                <w:b/>
                <w:sz w:val="20"/>
              </w:rPr>
            </w:pPr>
            <w:r w:rsidRPr="00212057">
              <w:rPr>
                <w:b/>
                <w:sz w:val="20"/>
              </w:rPr>
              <w:t>EU-28</w:t>
            </w:r>
          </w:p>
        </w:tc>
        <w:tc>
          <w:tcPr>
            <w:tcW w:w="1170" w:type="dxa"/>
            <w:tcBorders>
              <w:top w:val="single" w:sz="4" w:space="0" w:color="auto"/>
              <w:left w:val="single" w:sz="4" w:space="0" w:color="auto"/>
              <w:bottom w:val="single" w:sz="4" w:space="0" w:color="auto"/>
              <w:right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7.9</w:t>
            </w:r>
          </w:p>
        </w:tc>
        <w:tc>
          <w:tcPr>
            <w:tcW w:w="1060" w:type="dxa"/>
            <w:tcBorders>
              <w:top w:val="single" w:sz="4" w:space="0" w:color="auto"/>
              <w:left w:val="single" w:sz="4" w:space="0" w:color="auto"/>
              <w:bottom w:val="single" w:sz="4" w:space="0" w:color="auto"/>
              <w:right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10.9</w:t>
            </w:r>
          </w:p>
        </w:tc>
        <w:tc>
          <w:tcPr>
            <w:tcW w:w="982" w:type="dxa"/>
            <w:tcBorders>
              <w:top w:val="single" w:sz="4" w:space="0" w:color="auto"/>
              <w:left w:val="single" w:sz="4" w:space="0" w:color="auto"/>
              <w:bottom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7.4</w:t>
            </w:r>
          </w:p>
        </w:tc>
      </w:tr>
      <w:tr w:rsidR="003D4EFC" w:rsidRPr="00212057" w:rsidTr="00CE2C91">
        <w:trPr>
          <w:trHeight w:val="234"/>
          <w:jc w:val="center"/>
        </w:trPr>
        <w:tc>
          <w:tcPr>
            <w:tcW w:w="2155" w:type="dxa"/>
            <w:tcBorders>
              <w:top w:val="single" w:sz="4" w:space="0" w:color="auto"/>
              <w:bottom w:val="single" w:sz="4" w:space="0" w:color="auto"/>
              <w:right w:val="single" w:sz="4" w:space="0" w:color="auto"/>
            </w:tcBorders>
            <w:shd w:val="clear" w:color="auto" w:fill="auto"/>
            <w:noWrap/>
            <w:vAlign w:val="bottom"/>
            <w:hideMark/>
          </w:tcPr>
          <w:p w:rsidR="003D4EFC" w:rsidRPr="00212057" w:rsidRDefault="003D4EFC" w:rsidP="00CE2C91">
            <w:pPr>
              <w:spacing w:after="0" w:line="240" w:lineRule="auto"/>
              <w:rPr>
                <w:b/>
                <w:sz w:val="20"/>
              </w:rPr>
            </w:pPr>
            <w:r w:rsidRPr="00212057">
              <w:rPr>
                <w:b/>
                <w:sz w:val="20"/>
              </w:rPr>
              <w:t xml:space="preserve">Former </w:t>
            </w:r>
            <w:proofErr w:type="spellStart"/>
            <w:r w:rsidRPr="00212057">
              <w:rPr>
                <w:b/>
                <w:sz w:val="20"/>
              </w:rPr>
              <w:t>Soviet</w:t>
            </w:r>
            <w:proofErr w:type="spellEnd"/>
            <w:r w:rsidRPr="00212057">
              <w:rPr>
                <w:b/>
                <w:sz w:val="20"/>
              </w:rPr>
              <w:t xml:space="preserve"> Union</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4.3</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6.4</w:t>
            </w:r>
          </w:p>
        </w:tc>
        <w:tc>
          <w:tcPr>
            <w:tcW w:w="982" w:type="dxa"/>
            <w:tcBorders>
              <w:top w:val="single" w:sz="4" w:space="0" w:color="auto"/>
              <w:left w:val="single" w:sz="4" w:space="0" w:color="auto"/>
              <w:bottom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3.2</w:t>
            </w:r>
          </w:p>
        </w:tc>
      </w:tr>
      <w:tr w:rsidR="003D4EFC" w:rsidRPr="00212057" w:rsidTr="004673F4">
        <w:trPr>
          <w:trHeight w:val="234"/>
          <w:jc w:val="center"/>
        </w:trPr>
        <w:tc>
          <w:tcPr>
            <w:tcW w:w="2155" w:type="dxa"/>
            <w:tcBorders>
              <w:top w:val="single" w:sz="4" w:space="0" w:color="auto"/>
              <w:bottom w:val="single" w:sz="4" w:space="0" w:color="auto"/>
              <w:right w:val="single" w:sz="4" w:space="0" w:color="auto"/>
            </w:tcBorders>
            <w:shd w:val="clear" w:color="auto" w:fill="E7E6E6" w:themeFill="background2"/>
            <w:noWrap/>
            <w:vAlign w:val="bottom"/>
            <w:hideMark/>
          </w:tcPr>
          <w:p w:rsidR="003D4EFC" w:rsidRPr="00212057" w:rsidRDefault="003D4EFC" w:rsidP="00CE2C91">
            <w:pPr>
              <w:spacing w:after="0" w:line="240" w:lineRule="auto"/>
              <w:rPr>
                <w:b/>
                <w:sz w:val="20"/>
              </w:rPr>
            </w:pPr>
            <w:proofErr w:type="spellStart"/>
            <w:r w:rsidRPr="00212057">
              <w:rPr>
                <w:b/>
                <w:sz w:val="20"/>
              </w:rPr>
              <w:t>India</w:t>
            </w:r>
            <w:proofErr w:type="spellEnd"/>
          </w:p>
        </w:tc>
        <w:tc>
          <w:tcPr>
            <w:tcW w:w="1170" w:type="dxa"/>
            <w:tcBorders>
              <w:top w:val="single" w:sz="4" w:space="0" w:color="auto"/>
              <w:left w:val="single" w:sz="4" w:space="0" w:color="auto"/>
              <w:bottom w:val="single" w:sz="4" w:space="0" w:color="auto"/>
              <w:right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31.5</w:t>
            </w:r>
          </w:p>
        </w:tc>
        <w:tc>
          <w:tcPr>
            <w:tcW w:w="1060" w:type="dxa"/>
            <w:tcBorders>
              <w:top w:val="single" w:sz="4" w:space="0" w:color="auto"/>
              <w:left w:val="single" w:sz="4" w:space="0" w:color="auto"/>
              <w:bottom w:val="single" w:sz="4" w:space="0" w:color="auto"/>
              <w:right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45.6</w:t>
            </w:r>
          </w:p>
        </w:tc>
        <w:tc>
          <w:tcPr>
            <w:tcW w:w="982" w:type="dxa"/>
            <w:tcBorders>
              <w:top w:val="single" w:sz="4" w:space="0" w:color="auto"/>
              <w:left w:val="single" w:sz="4" w:space="0" w:color="auto"/>
              <w:bottom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46.3</w:t>
            </w:r>
          </w:p>
        </w:tc>
      </w:tr>
      <w:tr w:rsidR="003D4EFC" w:rsidRPr="00212057" w:rsidTr="00CE2C91">
        <w:trPr>
          <w:trHeight w:val="234"/>
          <w:jc w:val="center"/>
        </w:trPr>
        <w:tc>
          <w:tcPr>
            <w:tcW w:w="2155" w:type="dxa"/>
            <w:tcBorders>
              <w:top w:val="single" w:sz="4" w:space="0" w:color="auto"/>
              <w:bottom w:val="single" w:sz="4" w:space="0" w:color="auto"/>
              <w:right w:val="single" w:sz="4" w:space="0" w:color="auto"/>
            </w:tcBorders>
            <w:shd w:val="clear" w:color="auto" w:fill="auto"/>
            <w:noWrap/>
            <w:vAlign w:val="bottom"/>
            <w:hideMark/>
          </w:tcPr>
          <w:p w:rsidR="003D4EFC" w:rsidRPr="00212057" w:rsidRDefault="003D4EFC" w:rsidP="00CE2C91">
            <w:pPr>
              <w:spacing w:after="0" w:line="240" w:lineRule="auto"/>
              <w:rPr>
                <w:b/>
                <w:sz w:val="20"/>
              </w:rPr>
            </w:pPr>
            <w:r w:rsidRPr="00212057">
              <w:rPr>
                <w:b/>
                <w:sz w:val="20"/>
              </w:rPr>
              <w:t>Japan</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5.0</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7.0</w:t>
            </w:r>
          </w:p>
        </w:tc>
        <w:tc>
          <w:tcPr>
            <w:tcW w:w="982" w:type="dxa"/>
            <w:tcBorders>
              <w:top w:val="single" w:sz="4" w:space="0" w:color="auto"/>
              <w:left w:val="single" w:sz="4" w:space="0" w:color="auto"/>
              <w:bottom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6.6</w:t>
            </w:r>
          </w:p>
        </w:tc>
      </w:tr>
      <w:tr w:rsidR="003D4EFC" w:rsidRPr="00212057" w:rsidTr="004673F4">
        <w:trPr>
          <w:trHeight w:val="234"/>
          <w:jc w:val="center"/>
        </w:trPr>
        <w:tc>
          <w:tcPr>
            <w:tcW w:w="2155" w:type="dxa"/>
            <w:tcBorders>
              <w:top w:val="single" w:sz="4" w:space="0" w:color="auto"/>
              <w:bottom w:val="single" w:sz="4" w:space="0" w:color="auto"/>
              <w:right w:val="single" w:sz="4" w:space="0" w:color="auto"/>
            </w:tcBorders>
            <w:shd w:val="clear" w:color="auto" w:fill="E7E6E6" w:themeFill="background2"/>
            <w:noWrap/>
            <w:vAlign w:val="bottom"/>
            <w:hideMark/>
          </w:tcPr>
          <w:p w:rsidR="003D4EFC" w:rsidRPr="00212057" w:rsidRDefault="003D4EFC" w:rsidP="00CE2C91">
            <w:pPr>
              <w:spacing w:after="0" w:line="240" w:lineRule="auto"/>
              <w:rPr>
                <w:b/>
                <w:sz w:val="20"/>
              </w:rPr>
            </w:pPr>
            <w:proofErr w:type="spellStart"/>
            <w:r w:rsidRPr="00212057">
              <w:rPr>
                <w:b/>
                <w:sz w:val="20"/>
              </w:rPr>
              <w:t>Latin</w:t>
            </w:r>
            <w:proofErr w:type="spellEnd"/>
            <w:r w:rsidRPr="00212057">
              <w:rPr>
                <w:b/>
                <w:sz w:val="20"/>
              </w:rPr>
              <w:t xml:space="preserve"> </w:t>
            </w:r>
            <w:proofErr w:type="spellStart"/>
            <w:r w:rsidRPr="00212057">
              <w:rPr>
                <w:b/>
                <w:sz w:val="20"/>
              </w:rPr>
              <w:t>America</w:t>
            </w:r>
            <w:proofErr w:type="spellEnd"/>
          </w:p>
        </w:tc>
        <w:tc>
          <w:tcPr>
            <w:tcW w:w="1170" w:type="dxa"/>
            <w:tcBorders>
              <w:top w:val="single" w:sz="4" w:space="0" w:color="auto"/>
              <w:left w:val="single" w:sz="4" w:space="0" w:color="auto"/>
              <w:bottom w:val="single" w:sz="4" w:space="0" w:color="auto"/>
              <w:right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2.1</w:t>
            </w:r>
          </w:p>
        </w:tc>
        <w:tc>
          <w:tcPr>
            <w:tcW w:w="1060" w:type="dxa"/>
            <w:tcBorders>
              <w:top w:val="single" w:sz="4" w:space="0" w:color="auto"/>
              <w:left w:val="single" w:sz="4" w:space="0" w:color="auto"/>
              <w:bottom w:val="single" w:sz="4" w:space="0" w:color="auto"/>
              <w:right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2.9</w:t>
            </w:r>
          </w:p>
        </w:tc>
        <w:tc>
          <w:tcPr>
            <w:tcW w:w="982" w:type="dxa"/>
            <w:tcBorders>
              <w:top w:val="single" w:sz="4" w:space="0" w:color="auto"/>
              <w:left w:val="single" w:sz="4" w:space="0" w:color="auto"/>
              <w:bottom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3.2</w:t>
            </w:r>
          </w:p>
        </w:tc>
      </w:tr>
      <w:tr w:rsidR="003D4EFC" w:rsidRPr="00212057" w:rsidTr="00CE2C91">
        <w:trPr>
          <w:trHeight w:val="234"/>
          <w:jc w:val="center"/>
        </w:trPr>
        <w:tc>
          <w:tcPr>
            <w:tcW w:w="2155" w:type="dxa"/>
            <w:tcBorders>
              <w:top w:val="single" w:sz="4" w:space="0" w:color="auto"/>
              <w:bottom w:val="single" w:sz="4" w:space="0" w:color="auto"/>
              <w:right w:val="single" w:sz="4" w:space="0" w:color="auto"/>
            </w:tcBorders>
            <w:shd w:val="clear" w:color="auto" w:fill="auto"/>
            <w:noWrap/>
            <w:vAlign w:val="bottom"/>
            <w:hideMark/>
          </w:tcPr>
          <w:p w:rsidR="003D4EFC" w:rsidRPr="00212057" w:rsidRDefault="003D4EFC" w:rsidP="00CE2C91">
            <w:pPr>
              <w:spacing w:after="0" w:line="240" w:lineRule="auto"/>
              <w:rPr>
                <w:b/>
                <w:sz w:val="20"/>
              </w:rPr>
            </w:pPr>
            <w:r w:rsidRPr="00212057">
              <w:rPr>
                <w:b/>
                <w:sz w:val="20"/>
              </w:rPr>
              <w:t>MENA</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0.9</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1.7</w:t>
            </w:r>
          </w:p>
        </w:tc>
        <w:tc>
          <w:tcPr>
            <w:tcW w:w="982" w:type="dxa"/>
            <w:tcBorders>
              <w:top w:val="single" w:sz="4" w:space="0" w:color="auto"/>
              <w:left w:val="single" w:sz="4" w:space="0" w:color="auto"/>
              <w:bottom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4.0</w:t>
            </w:r>
          </w:p>
        </w:tc>
      </w:tr>
      <w:tr w:rsidR="004673F4" w:rsidRPr="004673F4" w:rsidTr="004673F4">
        <w:trPr>
          <w:trHeight w:val="234"/>
          <w:jc w:val="center"/>
        </w:trPr>
        <w:tc>
          <w:tcPr>
            <w:tcW w:w="2155" w:type="dxa"/>
            <w:tcBorders>
              <w:top w:val="single" w:sz="4" w:space="0" w:color="auto"/>
              <w:bottom w:val="single" w:sz="4" w:space="0" w:color="auto"/>
              <w:right w:val="single" w:sz="4" w:space="0" w:color="auto"/>
            </w:tcBorders>
            <w:shd w:val="clear" w:color="auto" w:fill="E7E6E6" w:themeFill="background2"/>
            <w:noWrap/>
            <w:vAlign w:val="bottom"/>
            <w:hideMark/>
          </w:tcPr>
          <w:p w:rsidR="003D4EFC" w:rsidRPr="004673F4" w:rsidRDefault="003D4EFC" w:rsidP="00CE2C91">
            <w:pPr>
              <w:spacing w:after="0" w:line="240" w:lineRule="auto"/>
              <w:rPr>
                <w:b/>
                <w:sz w:val="20"/>
              </w:rPr>
            </w:pPr>
            <w:r w:rsidRPr="004673F4">
              <w:rPr>
                <w:b/>
                <w:sz w:val="20"/>
              </w:rPr>
              <w:t>Non-EU Europe</w:t>
            </w:r>
          </w:p>
        </w:tc>
        <w:tc>
          <w:tcPr>
            <w:tcW w:w="1170" w:type="dxa"/>
            <w:tcBorders>
              <w:top w:val="single" w:sz="4" w:space="0" w:color="auto"/>
              <w:left w:val="single" w:sz="4" w:space="0" w:color="auto"/>
              <w:bottom w:val="single" w:sz="4" w:space="0" w:color="auto"/>
              <w:right w:val="single" w:sz="4" w:space="0" w:color="auto"/>
            </w:tcBorders>
            <w:shd w:val="clear" w:color="auto" w:fill="E7E6E6" w:themeFill="background2"/>
            <w:noWrap/>
            <w:vAlign w:val="bottom"/>
          </w:tcPr>
          <w:p w:rsidR="003D4EFC" w:rsidRPr="004673F4" w:rsidRDefault="003D4EFC" w:rsidP="00CE2C91">
            <w:pPr>
              <w:spacing w:after="0" w:line="240" w:lineRule="auto"/>
              <w:jc w:val="center"/>
              <w:rPr>
                <w:rFonts w:ascii="Calibri" w:eastAsia="Times New Roman" w:hAnsi="Calibri" w:cs="Calibri"/>
                <w:sz w:val="20"/>
                <w:lang w:eastAsia="de-DE"/>
              </w:rPr>
            </w:pPr>
            <w:r w:rsidRPr="004673F4">
              <w:rPr>
                <w:rFonts w:ascii="Calibri" w:eastAsia="Times New Roman" w:hAnsi="Calibri" w:cs="Calibri"/>
                <w:sz w:val="20"/>
                <w:lang w:eastAsia="de-DE"/>
              </w:rPr>
              <w:t>4.7</w:t>
            </w:r>
          </w:p>
        </w:tc>
        <w:tc>
          <w:tcPr>
            <w:tcW w:w="1060" w:type="dxa"/>
            <w:tcBorders>
              <w:top w:val="single" w:sz="4" w:space="0" w:color="auto"/>
              <w:left w:val="single" w:sz="4" w:space="0" w:color="auto"/>
              <w:bottom w:val="single" w:sz="4" w:space="0" w:color="auto"/>
              <w:right w:val="single" w:sz="4" w:space="0" w:color="auto"/>
            </w:tcBorders>
            <w:shd w:val="clear" w:color="auto" w:fill="E7E6E6" w:themeFill="background2"/>
            <w:noWrap/>
            <w:vAlign w:val="bottom"/>
          </w:tcPr>
          <w:p w:rsidR="003D4EFC" w:rsidRPr="004673F4" w:rsidRDefault="003D4EFC" w:rsidP="00CE2C91">
            <w:pPr>
              <w:spacing w:after="0" w:line="240" w:lineRule="auto"/>
              <w:jc w:val="center"/>
              <w:rPr>
                <w:rFonts w:ascii="Calibri" w:eastAsia="Times New Roman" w:hAnsi="Calibri" w:cs="Calibri"/>
                <w:sz w:val="20"/>
                <w:lang w:eastAsia="de-DE"/>
              </w:rPr>
            </w:pPr>
            <w:r w:rsidRPr="004673F4">
              <w:rPr>
                <w:rFonts w:ascii="Calibri" w:eastAsia="Times New Roman" w:hAnsi="Calibri" w:cs="Calibri"/>
                <w:sz w:val="20"/>
                <w:lang w:eastAsia="de-DE"/>
              </w:rPr>
              <w:t>8.8</w:t>
            </w:r>
          </w:p>
        </w:tc>
        <w:tc>
          <w:tcPr>
            <w:tcW w:w="982" w:type="dxa"/>
            <w:tcBorders>
              <w:top w:val="single" w:sz="4" w:space="0" w:color="auto"/>
              <w:left w:val="single" w:sz="4" w:space="0" w:color="auto"/>
              <w:bottom w:val="single" w:sz="4" w:space="0" w:color="auto"/>
            </w:tcBorders>
            <w:shd w:val="clear" w:color="auto" w:fill="E7E6E6" w:themeFill="background2"/>
            <w:noWrap/>
            <w:vAlign w:val="bottom"/>
          </w:tcPr>
          <w:p w:rsidR="003D4EFC" w:rsidRPr="004673F4" w:rsidRDefault="003D4EFC" w:rsidP="00CE2C91">
            <w:pPr>
              <w:spacing w:after="0" w:line="240" w:lineRule="auto"/>
              <w:jc w:val="center"/>
              <w:rPr>
                <w:rFonts w:ascii="Calibri" w:eastAsia="Times New Roman" w:hAnsi="Calibri" w:cs="Calibri"/>
                <w:sz w:val="20"/>
                <w:lang w:eastAsia="de-DE"/>
              </w:rPr>
            </w:pPr>
            <w:r w:rsidRPr="004673F4">
              <w:rPr>
                <w:rFonts w:ascii="Calibri" w:eastAsia="Times New Roman" w:hAnsi="Calibri" w:cs="Calibri"/>
                <w:sz w:val="20"/>
                <w:lang w:eastAsia="de-DE"/>
              </w:rPr>
              <w:t>7.4</w:t>
            </w:r>
          </w:p>
        </w:tc>
      </w:tr>
      <w:tr w:rsidR="003D4EFC" w:rsidRPr="00212057" w:rsidTr="00CE2C91">
        <w:trPr>
          <w:trHeight w:val="234"/>
          <w:jc w:val="center"/>
        </w:trPr>
        <w:tc>
          <w:tcPr>
            <w:tcW w:w="2155" w:type="dxa"/>
            <w:tcBorders>
              <w:top w:val="single" w:sz="4" w:space="0" w:color="auto"/>
              <w:bottom w:val="single" w:sz="4" w:space="0" w:color="auto"/>
              <w:right w:val="single" w:sz="4" w:space="0" w:color="auto"/>
            </w:tcBorders>
            <w:shd w:val="clear" w:color="auto" w:fill="auto"/>
            <w:noWrap/>
            <w:vAlign w:val="bottom"/>
            <w:hideMark/>
          </w:tcPr>
          <w:p w:rsidR="003D4EFC" w:rsidRPr="00212057" w:rsidRDefault="003D4EFC" w:rsidP="00CE2C91">
            <w:pPr>
              <w:spacing w:after="0" w:line="240" w:lineRule="auto"/>
              <w:rPr>
                <w:b/>
                <w:sz w:val="20"/>
              </w:rPr>
            </w:pPr>
            <w:r w:rsidRPr="00212057">
              <w:rPr>
                <w:b/>
                <w:sz w:val="20"/>
              </w:rPr>
              <w:t>Other Asian States</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20.3</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32.9</w:t>
            </w:r>
          </w:p>
        </w:tc>
        <w:tc>
          <w:tcPr>
            <w:tcW w:w="982" w:type="dxa"/>
            <w:tcBorders>
              <w:top w:val="single" w:sz="4" w:space="0" w:color="auto"/>
              <w:left w:val="single" w:sz="4" w:space="0" w:color="auto"/>
              <w:bottom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43.2</w:t>
            </w:r>
          </w:p>
        </w:tc>
      </w:tr>
      <w:tr w:rsidR="003D4EFC" w:rsidRPr="00212057" w:rsidTr="004673F4">
        <w:trPr>
          <w:trHeight w:val="234"/>
          <w:jc w:val="center"/>
        </w:trPr>
        <w:tc>
          <w:tcPr>
            <w:tcW w:w="2155" w:type="dxa"/>
            <w:tcBorders>
              <w:top w:val="single" w:sz="4" w:space="0" w:color="auto"/>
              <w:bottom w:val="single" w:sz="4" w:space="0" w:color="auto"/>
              <w:right w:val="single" w:sz="4" w:space="0" w:color="auto"/>
            </w:tcBorders>
            <w:shd w:val="clear" w:color="auto" w:fill="E7E6E6" w:themeFill="background2"/>
            <w:noWrap/>
            <w:vAlign w:val="bottom"/>
            <w:hideMark/>
          </w:tcPr>
          <w:p w:rsidR="003D4EFC" w:rsidRPr="00212057" w:rsidRDefault="003D4EFC" w:rsidP="00CE2C91">
            <w:pPr>
              <w:spacing w:after="0" w:line="240" w:lineRule="auto"/>
              <w:rPr>
                <w:b/>
                <w:sz w:val="20"/>
              </w:rPr>
            </w:pPr>
            <w:r w:rsidRPr="00212057">
              <w:rPr>
                <w:b/>
                <w:sz w:val="20"/>
              </w:rPr>
              <w:t>Sub-</w:t>
            </w:r>
            <w:proofErr w:type="spellStart"/>
            <w:r w:rsidRPr="00212057">
              <w:rPr>
                <w:b/>
                <w:sz w:val="20"/>
              </w:rPr>
              <w:t>Saharan</w:t>
            </w:r>
            <w:proofErr w:type="spellEnd"/>
            <w:r w:rsidRPr="00212057">
              <w:rPr>
                <w:b/>
                <w:sz w:val="20"/>
              </w:rPr>
              <w:t xml:space="preserve"> </w:t>
            </w:r>
            <w:proofErr w:type="spellStart"/>
            <w:r w:rsidRPr="00212057">
              <w:rPr>
                <w:b/>
                <w:sz w:val="20"/>
              </w:rPr>
              <w:t>Africa</w:t>
            </w:r>
            <w:proofErr w:type="spellEnd"/>
          </w:p>
        </w:tc>
        <w:tc>
          <w:tcPr>
            <w:tcW w:w="1170" w:type="dxa"/>
            <w:tcBorders>
              <w:top w:val="single" w:sz="4" w:space="0" w:color="auto"/>
              <w:left w:val="single" w:sz="4" w:space="0" w:color="auto"/>
              <w:bottom w:val="single" w:sz="4" w:space="0" w:color="auto"/>
              <w:right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1.6</w:t>
            </w:r>
          </w:p>
        </w:tc>
        <w:tc>
          <w:tcPr>
            <w:tcW w:w="1060" w:type="dxa"/>
            <w:tcBorders>
              <w:top w:val="single" w:sz="4" w:space="0" w:color="auto"/>
              <w:left w:val="single" w:sz="4" w:space="0" w:color="auto"/>
              <w:bottom w:val="single" w:sz="4" w:space="0" w:color="auto"/>
              <w:right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4.6</w:t>
            </w:r>
          </w:p>
        </w:tc>
        <w:tc>
          <w:tcPr>
            <w:tcW w:w="982" w:type="dxa"/>
            <w:tcBorders>
              <w:top w:val="single" w:sz="4" w:space="0" w:color="auto"/>
              <w:left w:val="single" w:sz="4" w:space="0" w:color="auto"/>
              <w:bottom w:val="single" w:sz="4" w:space="0" w:color="auto"/>
            </w:tcBorders>
            <w:shd w:val="clear" w:color="auto" w:fill="E7E6E6" w:themeFill="background2"/>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8.4</w:t>
            </w:r>
          </w:p>
        </w:tc>
      </w:tr>
      <w:tr w:rsidR="003D4EFC" w:rsidRPr="00212057" w:rsidTr="00CE2C91">
        <w:trPr>
          <w:trHeight w:val="234"/>
          <w:jc w:val="center"/>
        </w:trPr>
        <w:tc>
          <w:tcPr>
            <w:tcW w:w="2155" w:type="dxa"/>
            <w:tcBorders>
              <w:top w:val="single" w:sz="4" w:space="0" w:color="auto"/>
              <w:bottom w:val="single" w:sz="4" w:space="0" w:color="auto"/>
              <w:right w:val="single" w:sz="4" w:space="0" w:color="auto"/>
            </w:tcBorders>
            <w:shd w:val="clear" w:color="auto" w:fill="auto"/>
            <w:noWrap/>
            <w:vAlign w:val="bottom"/>
            <w:hideMark/>
          </w:tcPr>
          <w:p w:rsidR="003D4EFC" w:rsidRPr="00212057" w:rsidRDefault="003D4EFC" w:rsidP="00CE2C91">
            <w:pPr>
              <w:spacing w:after="0" w:line="240" w:lineRule="auto"/>
              <w:rPr>
                <w:b/>
                <w:sz w:val="20"/>
              </w:rPr>
            </w:pPr>
            <w:r w:rsidRPr="00212057">
              <w:rPr>
                <w:b/>
                <w:sz w:val="20"/>
              </w:rPr>
              <w:t>USA</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13.9</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19.4</w:t>
            </w:r>
          </w:p>
        </w:tc>
        <w:tc>
          <w:tcPr>
            <w:tcW w:w="982" w:type="dxa"/>
            <w:tcBorders>
              <w:top w:val="single" w:sz="4" w:space="0" w:color="auto"/>
              <w:left w:val="single" w:sz="4" w:space="0" w:color="auto"/>
              <w:bottom w:val="single" w:sz="4" w:space="0" w:color="auto"/>
            </w:tcBorders>
            <w:shd w:val="clear" w:color="auto" w:fill="auto"/>
            <w:noWrap/>
            <w:vAlign w:val="bottom"/>
          </w:tcPr>
          <w:p w:rsidR="003D4EFC" w:rsidRPr="00212057" w:rsidRDefault="003D4EFC" w:rsidP="00CE2C91">
            <w:pPr>
              <w:spacing w:after="0" w:line="240" w:lineRule="auto"/>
              <w:jc w:val="center"/>
              <w:rPr>
                <w:rFonts w:ascii="Calibri" w:eastAsia="Times New Roman" w:hAnsi="Calibri" w:cs="Calibri"/>
                <w:color w:val="000000"/>
                <w:sz w:val="20"/>
                <w:lang w:eastAsia="de-DE"/>
              </w:rPr>
            </w:pPr>
            <w:r w:rsidRPr="00212057">
              <w:rPr>
                <w:rFonts w:ascii="Calibri" w:eastAsia="Times New Roman" w:hAnsi="Calibri" w:cs="Calibri"/>
                <w:color w:val="000000"/>
                <w:sz w:val="20"/>
                <w:lang w:eastAsia="de-DE"/>
              </w:rPr>
              <w:t>6.3</w:t>
            </w:r>
          </w:p>
        </w:tc>
      </w:tr>
      <w:tr w:rsidR="003D4EFC" w:rsidRPr="00212057" w:rsidTr="004673F4">
        <w:trPr>
          <w:trHeight w:val="234"/>
          <w:jc w:val="center"/>
        </w:trPr>
        <w:tc>
          <w:tcPr>
            <w:tcW w:w="2155" w:type="dxa"/>
            <w:tcBorders>
              <w:top w:val="single" w:sz="4" w:space="0" w:color="auto"/>
              <w:right w:val="single" w:sz="4" w:space="0" w:color="auto"/>
            </w:tcBorders>
            <w:shd w:val="clear" w:color="auto" w:fill="E7E6E6" w:themeFill="background2"/>
            <w:noWrap/>
            <w:vAlign w:val="bottom"/>
            <w:hideMark/>
          </w:tcPr>
          <w:p w:rsidR="003D4EFC" w:rsidRPr="00212057" w:rsidRDefault="003D4EFC" w:rsidP="00CE2C91">
            <w:pPr>
              <w:spacing w:after="0" w:line="240" w:lineRule="auto"/>
              <w:rPr>
                <w:b/>
                <w:sz w:val="20"/>
              </w:rPr>
            </w:pPr>
            <w:r w:rsidRPr="00212057">
              <w:rPr>
                <w:b/>
                <w:sz w:val="20"/>
              </w:rPr>
              <w:t>World</w:t>
            </w:r>
          </w:p>
        </w:tc>
        <w:tc>
          <w:tcPr>
            <w:tcW w:w="1170" w:type="dxa"/>
            <w:tcBorders>
              <w:top w:val="single" w:sz="4" w:space="0" w:color="auto"/>
              <w:left w:val="single" w:sz="4" w:space="0" w:color="auto"/>
              <w:right w:val="single" w:sz="4" w:space="0" w:color="auto"/>
            </w:tcBorders>
            <w:shd w:val="clear" w:color="auto" w:fill="E7E6E6" w:themeFill="background2"/>
            <w:noWrap/>
            <w:vAlign w:val="bottom"/>
          </w:tcPr>
          <w:p w:rsidR="003D4EFC" w:rsidRPr="004673F4" w:rsidRDefault="003D4EFC" w:rsidP="00CE2C91">
            <w:pPr>
              <w:spacing w:after="0" w:line="240" w:lineRule="auto"/>
              <w:jc w:val="center"/>
              <w:rPr>
                <w:rFonts w:ascii="Calibri" w:eastAsia="Times New Roman" w:hAnsi="Calibri" w:cs="Calibri"/>
                <w:b/>
                <w:color w:val="000000"/>
                <w:sz w:val="20"/>
                <w:lang w:eastAsia="de-DE"/>
              </w:rPr>
            </w:pPr>
            <w:r w:rsidRPr="004673F4">
              <w:rPr>
                <w:rFonts w:ascii="Calibri" w:eastAsia="Times New Roman" w:hAnsi="Calibri" w:cs="Calibri"/>
                <w:b/>
                <w:color w:val="000000"/>
                <w:sz w:val="20"/>
                <w:lang w:eastAsia="de-DE"/>
              </w:rPr>
              <w:t>163</w:t>
            </w:r>
          </w:p>
        </w:tc>
        <w:tc>
          <w:tcPr>
            <w:tcW w:w="1060" w:type="dxa"/>
            <w:tcBorders>
              <w:top w:val="single" w:sz="4" w:space="0" w:color="auto"/>
              <w:left w:val="single" w:sz="4" w:space="0" w:color="auto"/>
              <w:right w:val="single" w:sz="4" w:space="0" w:color="auto"/>
            </w:tcBorders>
            <w:shd w:val="clear" w:color="auto" w:fill="E7E6E6" w:themeFill="background2"/>
            <w:noWrap/>
            <w:vAlign w:val="bottom"/>
          </w:tcPr>
          <w:p w:rsidR="003D4EFC" w:rsidRPr="004673F4" w:rsidRDefault="003D4EFC" w:rsidP="00CE2C91">
            <w:pPr>
              <w:spacing w:after="0" w:line="240" w:lineRule="auto"/>
              <w:jc w:val="center"/>
              <w:rPr>
                <w:rFonts w:ascii="Calibri" w:eastAsia="Times New Roman" w:hAnsi="Calibri" w:cs="Calibri"/>
                <w:b/>
                <w:color w:val="000000"/>
                <w:sz w:val="20"/>
                <w:lang w:eastAsia="de-DE"/>
              </w:rPr>
            </w:pPr>
            <w:r w:rsidRPr="004673F4">
              <w:rPr>
                <w:rFonts w:ascii="Calibri" w:eastAsia="Times New Roman" w:hAnsi="Calibri" w:cs="Calibri"/>
                <w:b/>
                <w:color w:val="000000"/>
                <w:sz w:val="20"/>
                <w:lang w:eastAsia="de-DE"/>
              </w:rPr>
              <w:t>250</w:t>
            </w:r>
          </w:p>
        </w:tc>
        <w:tc>
          <w:tcPr>
            <w:tcW w:w="982" w:type="dxa"/>
            <w:tcBorders>
              <w:top w:val="single" w:sz="4" w:space="0" w:color="auto"/>
              <w:left w:val="single" w:sz="4" w:space="0" w:color="auto"/>
            </w:tcBorders>
            <w:shd w:val="clear" w:color="auto" w:fill="E7E6E6" w:themeFill="background2"/>
            <w:noWrap/>
            <w:vAlign w:val="bottom"/>
          </w:tcPr>
          <w:p w:rsidR="003D4EFC" w:rsidRPr="004673F4" w:rsidRDefault="003D4EFC" w:rsidP="00CE2C91">
            <w:pPr>
              <w:spacing w:after="0" w:line="240" w:lineRule="auto"/>
              <w:jc w:val="center"/>
              <w:rPr>
                <w:rFonts w:ascii="Calibri" w:eastAsia="Times New Roman" w:hAnsi="Calibri" w:cs="Calibri"/>
                <w:b/>
                <w:color w:val="000000"/>
                <w:sz w:val="20"/>
                <w:lang w:eastAsia="de-DE"/>
              </w:rPr>
            </w:pPr>
            <w:r w:rsidRPr="004673F4">
              <w:rPr>
                <w:rFonts w:ascii="Calibri" w:eastAsia="Times New Roman" w:hAnsi="Calibri" w:cs="Calibri"/>
                <w:b/>
                <w:color w:val="000000"/>
                <w:sz w:val="20"/>
                <w:lang w:eastAsia="de-DE"/>
              </w:rPr>
              <w:t>323</w:t>
            </w:r>
          </w:p>
        </w:tc>
      </w:tr>
    </w:tbl>
    <w:p w:rsidR="003D4EFC" w:rsidRPr="000C52BA" w:rsidRDefault="003D4EFC" w:rsidP="003D4EFC">
      <w:pPr>
        <w:jc w:val="both"/>
        <w:rPr>
          <w:lang w:val="en-US"/>
        </w:rPr>
      </w:pPr>
      <w:r>
        <w:rPr>
          <w:b/>
          <w:sz w:val="20"/>
          <w:lang w:val="en-US"/>
        </w:rPr>
        <w:t>Table A4. The amount of CO</w:t>
      </w:r>
      <w:r>
        <w:rPr>
          <w:b/>
          <w:sz w:val="20"/>
          <w:vertAlign w:val="subscript"/>
          <w:lang w:val="en-US"/>
        </w:rPr>
        <w:t>2</w:t>
      </w:r>
      <w:r>
        <w:rPr>
          <w:b/>
          <w:sz w:val="20"/>
          <w:lang w:val="en-US"/>
        </w:rPr>
        <w:t xml:space="preserve"> that would be emitted from coal power plants by REMIND region </w:t>
      </w:r>
      <w:r w:rsidR="006F1051">
        <w:rPr>
          <w:b/>
          <w:sz w:val="20"/>
          <w:lang w:val="en-US"/>
        </w:rPr>
        <w:t>from</w:t>
      </w:r>
      <w:r>
        <w:rPr>
          <w:b/>
          <w:sz w:val="20"/>
          <w:lang w:val="en-US"/>
        </w:rPr>
        <w:t xml:space="preserve"> </w:t>
      </w:r>
      <w:r w:rsidR="006F1051">
        <w:rPr>
          <w:b/>
          <w:sz w:val="20"/>
          <w:lang w:val="en-US"/>
        </w:rPr>
        <w:t xml:space="preserve">varied </w:t>
      </w:r>
      <w:r>
        <w:rPr>
          <w:b/>
          <w:sz w:val="20"/>
          <w:lang w:val="en-US"/>
        </w:rPr>
        <w:t xml:space="preserve">near-term trajectories. </w:t>
      </w:r>
      <w:r w:rsidRPr="00694E70">
        <w:rPr>
          <w:sz w:val="20"/>
          <w:lang w:val="en-US"/>
        </w:rPr>
        <w:t>Imp</w:t>
      </w:r>
      <w:r>
        <w:rPr>
          <w:sz w:val="20"/>
          <w:lang w:val="en-US"/>
        </w:rPr>
        <w:t xml:space="preserve">lied emissions are calculated using plant-level estimates of heat rates (technology-specific) and emissions factors (based on </w:t>
      </w:r>
      <w:r w:rsidR="006F1051">
        <w:rPr>
          <w:sz w:val="20"/>
          <w:lang w:val="en-US"/>
        </w:rPr>
        <w:t xml:space="preserve">coal </w:t>
      </w:r>
      <w:r>
        <w:rPr>
          <w:sz w:val="20"/>
          <w:lang w:val="en-US"/>
        </w:rPr>
        <w:t>quality) given by the GCPT database</w:t>
      </w:r>
      <w:r>
        <w:rPr>
          <w:sz w:val="20"/>
          <w:lang w:val="en-US"/>
        </w:rPr>
        <w:fldChar w:fldCharType="begin"/>
      </w:r>
      <w:r>
        <w:rPr>
          <w:sz w:val="20"/>
          <w:lang w:val="en-US"/>
        </w:rPr>
        <w:instrText xml:space="preserve"> ADDIN ZOTERO_ITEM CSL_CITATION {"citationID":"SFoB3t5Y","properties":{"formattedCitation":"\\super 1\\nosupersub{}","plainCitation":"1","noteIndex":0},"citationItems":[{"id":25124,"uris":["http://zotero.org/groups/52011/items/4JESC9GM"],"uri":["http://zotero.org/groups/52011/items/4JESC9GM"],"itemData":{"id":25124,"type":"webpage","abstract":"Global Energy Monitor","container-title":"EndCoal.org","genre":"Database","title":"Global Coal Plant Tracker January 2021","title-short":"GCPT 2021","URL":"https://endcoal.org/global-coal-plant-tracker/","author":[{"family":"Global Energy Monitor","given":""}],"issued":{"date-parts":[["2021",2,2]]}}}],"schema":"https://github.com/citation-style-language/schema/raw/master/csl-citation.json"} </w:instrText>
      </w:r>
      <w:r>
        <w:rPr>
          <w:sz w:val="20"/>
          <w:lang w:val="en-US"/>
        </w:rPr>
        <w:fldChar w:fldCharType="separate"/>
      </w:r>
      <w:r w:rsidRPr="00694E70">
        <w:rPr>
          <w:rFonts w:ascii="Calibri" w:hAnsi="Calibri" w:cs="Calibri"/>
          <w:sz w:val="20"/>
          <w:szCs w:val="24"/>
          <w:vertAlign w:val="superscript"/>
          <w:lang w:val="en-US"/>
        </w:rPr>
        <w:t>1</w:t>
      </w:r>
      <w:r>
        <w:rPr>
          <w:sz w:val="20"/>
          <w:lang w:val="en-US"/>
        </w:rPr>
        <w:fldChar w:fldCharType="end"/>
      </w:r>
      <w:r>
        <w:rPr>
          <w:sz w:val="20"/>
          <w:lang w:val="en-US"/>
        </w:rPr>
        <w:t xml:space="preserve">. See Table 2 for implied emissions from the </w:t>
      </w:r>
      <w:r>
        <w:rPr>
          <w:i/>
          <w:sz w:val="20"/>
          <w:lang w:val="en-US"/>
        </w:rPr>
        <w:t xml:space="preserve">neutral </w:t>
      </w:r>
      <w:proofErr w:type="spellStart"/>
      <w:r>
        <w:rPr>
          <w:sz w:val="20"/>
          <w:lang w:val="en-US"/>
        </w:rPr>
        <w:t>Covid</w:t>
      </w:r>
      <w:proofErr w:type="spellEnd"/>
      <w:r>
        <w:rPr>
          <w:sz w:val="20"/>
          <w:lang w:val="en-US"/>
        </w:rPr>
        <w:t xml:space="preserve"> recovery scenario. Literature = globally-uniform assumptions commonly used in the literature, </w:t>
      </w:r>
      <w:r w:rsidR="004673F4">
        <w:rPr>
          <w:sz w:val="20"/>
          <w:lang w:val="en-US"/>
        </w:rPr>
        <w:t>i.e.</w:t>
      </w:r>
      <w:bookmarkStart w:id="0" w:name="_GoBack"/>
      <w:bookmarkEnd w:id="0"/>
      <w:r>
        <w:rPr>
          <w:sz w:val="20"/>
          <w:lang w:val="en-US"/>
        </w:rPr>
        <w:t xml:space="preserve"> 40-year lifespans and 100% pipeline completion.</w:t>
      </w:r>
    </w:p>
    <w:tbl>
      <w:tblPr>
        <w:tblpPr w:leftFromText="141" w:rightFromText="141" w:vertAnchor="text" w:horzAnchor="margin" w:tblpXSpec="right" w:tblpY="5135"/>
        <w:tblW w:w="4680" w:type="dxa"/>
        <w:tblBorders>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10"/>
        <w:gridCol w:w="720"/>
        <w:gridCol w:w="720"/>
        <w:gridCol w:w="720"/>
        <w:gridCol w:w="810"/>
      </w:tblGrid>
      <w:tr w:rsidR="006F1051" w:rsidRPr="006F1051" w:rsidTr="006F1051">
        <w:trPr>
          <w:trHeight w:val="144"/>
        </w:trPr>
        <w:tc>
          <w:tcPr>
            <w:tcW w:w="1710" w:type="dxa"/>
            <w:shd w:val="clear" w:color="auto" w:fill="auto"/>
            <w:noWrap/>
            <w:vAlign w:val="bottom"/>
          </w:tcPr>
          <w:p w:rsidR="006F1051" w:rsidRPr="006F1051" w:rsidRDefault="006F1051" w:rsidP="006F1051">
            <w:pPr>
              <w:spacing w:after="0" w:line="240" w:lineRule="auto"/>
              <w:jc w:val="center"/>
              <w:rPr>
                <w:rFonts w:ascii="Calibri" w:eastAsia="Times New Roman" w:hAnsi="Calibri" w:cs="Calibri"/>
                <w:b/>
                <w:color w:val="000000"/>
                <w:sz w:val="16"/>
                <w:szCs w:val="18"/>
                <w:lang w:val="en-US" w:eastAsia="de-DE"/>
              </w:rPr>
            </w:pPr>
          </w:p>
        </w:tc>
        <w:tc>
          <w:tcPr>
            <w:tcW w:w="2970" w:type="dxa"/>
            <w:gridSpan w:val="4"/>
            <w:shd w:val="clear" w:color="auto" w:fill="auto"/>
            <w:noWrap/>
            <w:vAlign w:val="bottom"/>
          </w:tcPr>
          <w:p w:rsidR="006F1051" w:rsidRPr="006F1051" w:rsidRDefault="006F1051" w:rsidP="006F1051">
            <w:pPr>
              <w:spacing w:after="0" w:line="240" w:lineRule="auto"/>
              <w:jc w:val="center"/>
              <w:rPr>
                <w:rFonts w:ascii="Calibri" w:eastAsia="Times New Roman" w:hAnsi="Calibri" w:cs="Calibri"/>
                <w:b/>
                <w:color w:val="002060"/>
                <w:sz w:val="16"/>
                <w:szCs w:val="18"/>
                <w:lang w:eastAsia="de-DE"/>
              </w:rPr>
            </w:pPr>
            <w:proofErr w:type="spellStart"/>
            <w:r w:rsidRPr="006F1051">
              <w:rPr>
                <w:rFonts w:ascii="Calibri" w:eastAsia="Times New Roman" w:hAnsi="Calibri" w:cs="Calibri"/>
                <w:b/>
                <w:sz w:val="16"/>
                <w:szCs w:val="18"/>
                <w:lang w:eastAsia="de-DE"/>
              </w:rPr>
              <w:t>Coal</w:t>
            </w:r>
            <w:proofErr w:type="spellEnd"/>
            <w:r w:rsidRPr="006F1051">
              <w:rPr>
                <w:rFonts w:ascii="Calibri" w:eastAsia="Times New Roman" w:hAnsi="Calibri" w:cs="Calibri"/>
                <w:b/>
                <w:sz w:val="16"/>
                <w:szCs w:val="18"/>
                <w:lang w:eastAsia="de-DE"/>
              </w:rPr>
              <w:t xml:space="preserve"> Power </w:t>
            </w:r>
            <w:proofErr w:type="spellStart"/>
            <w:r w:rsidRPr="006F1051">
              <w:rPr>
                <w:rFonts w:ascii="Calibri" w:eastAsia="Times New Roman" w:hAnsi="Calibri" w:cs="Calibri"/>
                <w:b/>
                <w:sz w:val="16"/>
                <w:szCs w:val="18"/>
                <w:lang w:eastAsia="de-DE"/>
              </w:rPr>
              <w:t>Capacity</w:t>
            </w:r>
            <w:proofErr w:type="spellEnd"/>
            <w:r w:rsidRPr="006F1051">
              <w:rPr>
                <w:rFonts w:ascii="Calibri" w:eastAsia="Times New Roman" w:hAnsi="Calibri" w:cs="Calibri"/>
                <w:b/>
                <w:sz w:val="16"/>
                <w:szCs w:val="18"/>
                <w:lang w:eastAsia="de-DE"/>
              </w:rPr>
              <w:t xml:space="preserve"> (GW)</w:t>
            </w:r>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jc w:val="center"/>
              <w:rPr>
                <w:rFonts w:ascii="Calibri" w:eastAsia="Times New Roman" w:hAnsi="Calibri" w:cs="Calibri"/>
                <w:b/>
                <w:color w:val="000000"/>
                <w:sz w:val="16"/>
                <w:szCs w:val="18"/>
                <w:lang w:eastAsia="de-DE"/>
              </w:rPr>
            </w:pPr>
            <w:r w:rsidRPr="006F1051">
              <w:rPr>
                <w:rFonts w:ascii="Calibri" w:eastAsia="Times New Roman" w:hAnsi="Calibri" w:cs="Calibri"/>
                <w:b/>
                <w:color w:val="000000"/>
                <w:sz w:val="16"/>
                <w:szCs w:val="18"/>
                <w:lang w:eastAsia="de-DE"/>
              </w:rPr>
              <w:t>Region</w:t>
            </w:r>
          </w:p>
        </w:tc>
        <w:tc>
          <w:tcPr>
            <w:tcW w:w="720" w:type="dxa"/>
            <w:shd w:val="clear" w:color="auto" w:fill="auto"/>
            <w:noWrap/>
            <w:vAlign w:val="bottom"/>
            <w:hideMark/>
          </w:tcPr>
          <w:p w:rsidR="006F1051" w:rsidRPr="006F1051" w:rsidRDefault="006F1051" w:rsidP="006F1051">
            <w:pPr>
              <w:spacing w:after="0" w:line="240" w:lineRule="auto"/>
              <w:jc w:val="center"/>
              <w:rPr>
                <w:rFonts w:ascii="Calibri" w:eastAsia="Times New Roman" w:hAnsi="Calibri" w:cs="Calibri"/>
                <w:b/>
                <w:color w:val="806000" w:themeColor="accent4" w:themeShade="80"/>
                <w:sz w:val="16"/>
                <w:szCs w:val="18"/>
                <w:lang w:eastAsia="de-DE"/>
              </w:rPr>
            </w:pPr>
            <w:r w:rsidRPr="006F1051">
              <w:rPr>
                <w:rFonts w:ascii="Calibri" w:eastAsia="Times New Roman" w:hAnsi="Calibri" w:cs="Calibri"/>
                <w:b/>
                <w:color w:val="806000" w:themeColor="accent4" w:themeShade="80"/>
                <w:sz w:val="16"/>
                <w:szCs w:val="18"/>
                <w:lang w:eastAsia="de-DE"/>
              </w:rPr>
              <w:t>Brown</w:t>
            </w:r>
          </w:p>
        </w:tc>
        <w:tc>
          <w:tcPr>
            <w:tcW w:w="720" w:type="dxa"/>
            <w:shd w:val="clear" w:color="auto" w:fill="auto"/>
            <w:noWrap/>
            <w:vAlign w:val="bottom"/>
            <w:hideMark/>
          </w:tcPr>
          <w:p w:rsidR="006F1051" w:rsidRPr="006F1051" w:rsidRDefault="006F1051" w:rsidP="006F1051">
            <w:pPr>
              <w:spacing w:after="0" w:line="240" w:lineRule="auto"/>
              <w:jc w:val="center"/>
              <w:rPr>
                <w:rFonts w:ascii="Calibri" w:eastAsia="Times New Roman" w:hAnsi="Calibri" w:cs="Calibri"/>
                <w:b/>
                <w:color w:val="00B050"/>
                <w:sz w:val="16"/>
                <w:szCs w:val="18"/>
                <w:lang w:eastAsia="de-DE"/>
              </w:rPr>
            </w:pPr>
            <w:r w:rsidRPr="006F1051">
              <w:rPr>
                <w:rFonts w:ascii="Calibri" w:eastAsia="Times New Roman" w:hAnsi="Calibri" w:cs="Calibri"/>
                <w:b/>
                <w:color w:val="00B050"/>
                <w:sz w:val="16"/>
                <w:szCs w:val="18"/>
                <w:lang w:eastAsia="de-DE"/>
              </w:rPr>
              <w:t>Green</w:t>
            </w:r>
          </w:p>
        </w:tc>
        <w:tc>
          <w:tcPr>
            <w:tcW w:w="720" w:type="dxa"/>
            <w:shd w:val="clear" w:color="auto" w:fill="auto"/>
            <w:noWrap/>
            <w:vAlign w:val="bottom"/>
            <w:hideMark/>
          </w:tcPr>
          <w:p w:rsidR="006F1051" w:rsidRPr="006F1051" w:rsidRDefault="006F1051" w:rsidP="006F1051">
            <w:pPr>
              <w:spacing w:after="0" w:line="240" w:lineRule="auto"/>
              <w:jc w:val="center"/>
              <w:rPr>
                <w:rFonts w:ascii="Calibri" w:eastAsia="Times New Roman" w:hAnsi="Calibri" w:cs="Calibri"/>
                <w:b/>
                <w:color w:val="808080" w:themeColor="background1" w:themeShade="80"/>
                <w:sz w:val="16"/>
                <w:szCs w:val="18"/>
                <w:lang w:eastAsia="de-DE"/>
              </w:rPr>
            </w:pPr>
            <w:r w:rsidRPr="006F1051">
              <w:rPr>
                <w:rFonts w:ascii="Calibri" w:eastAsia="Times New Roman" w:hAnsi="Calibri" w:cs="Calibri"/>
                <w:b/>
                <w:color w:val="808080" w:themeColor="background1" w:themeShade="80"/>
                <w:sz w:val="16"/>
                <w:szCs w:val="18"/>
                <w:lang w:eastAsia="de-DE"/>
              </w:rPr>
              <w:t>Neutral</w:t>
            </w:r>
          </w:p>
        </w:tc>
        <w:tc>
          <w:tcPr>
            <w:tcW w:w="810" w:type="dxa"/>
            <w:shd w:val="clear" w:color="auto" w:fill="auto"/>
            <w:noWrap/>
            <w:vAlign w:val="bottom"/>
            <w:hideMark/>
          </w:tcPr>
          <w:p w:rsidR="006F1051" w:rsidRPr="006F1051" w:rsidRDefault="006F1051" w:rsidP="006F1051">
            <w:pPr>
              <w:spacing w:after="0" w:line="240" w:lineRule="auto"/>
              <w:jc w:val="center"/>
              <w:rPr>
                <w:rFonts w:ascii="Calibri" w:eastAsia="Times New Roman" w:hAnsi="Calibri" w:cs="Calibri"/>
                <w:b/>
                <w:color w:val="002060"/>
                <w:sz w:val="16"/>
                <w:szCs w:val="18"/>
                <w:lang w:eastAsia="de-DE"/>
              </w:rPr>
            </w:pPr>
            <w:proofErr w:type="spellStart"/>
            <w:r w:rsidRPr="006F1051">
              <w:rPr>
                <w:rFonts w:ascii="Calibri" w:eastAsia="Times New Roman" w:hAnsi="Calibri" w:cs="Calibri"/>
                <w:b/>
                <w:color w:val="002060"/>
                <w:sz w:val="16"/>
                <w:szCs w:val="18"/>
                <w:lang w:eastAsia="de-DE"/>
              </w:rPr>
              <w:t>Lit</w:t>
            </w:r>
            <w:r>
              <w:rPr>
                <w:rFonts w:ascii="Calibri" w:eastAsia="Times New Roman" w:hAnsi="Calibri" w:cs="Calibri"/>
                <w:b/>
                <w:color w:val="002060"/>
                <w:sz w:val="16"/>
                <w:szCs w:val="18"/>
                <w:lang w:eastAsia="de-DE"/>
              </w:rPr>
              <w:t>erature</w:t>
            </w:r>
            <w:proofErr w:type="spellEnd"/>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rPr>
                <w:rFonts w:ascii="Calibri" w:eastAsia="Times New Roman" w:hAnsi="Calibri" w:cs="Calibri"/>
                <w:b/>
                <w:color w:val="000000"/>
                <w:sz w:val="16"/>
                <w:szCs w:val="18"/>
                <w:lang w:eastAsia="de-DE"/>
              </w:rPr>
            </w:pPr>
            <w:r w:rsidRPr="006F1051">
              <w:rPr>
                <w:rFonts w:ascii="Calibri" w:eastAsia="Times New Roman" w:hAnsi="Calibri" w:cs="Calibri"/>
                <w:b/>
                <w:color w:val="000000"/>
                <w:sz w:val="16"/>
                <w:lang w:eastAsia="de-DE"/>
              </w:rPr>
              <w:t>Canada, AUS, NZ</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6000" w:themeColor="accent4" w:themeShade="80"/>
                <w:sz w:val="16"/>
                <w:szCs w:val="18"/>
                <w:lang w:eastAsia="de-DE"/>
              </w:rPr>
            </w:pPr>
            <w:r w:rsidRPr="006F1051">
              <w:rPr>
                <w:rFonts w:ascii="Calibri" w:eastAsia="Times New Roman" w:hAnsi="Calibri" w:cs="Calibri"/>
                <w:color w:val="806000" w:themeColor="accent4" w:themeShade="80"/>
                <w:sz w:val="16"/>
                <w:szCs w:val="18"/>
                <w:lang w:eastAsia="de-DE"/>
              </w:rPr>
              <w:t>22</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B050"/>
                <w:sz w:val="16"/>
                <w:szCs w:val="18"/>
                <w:lang w:eastAsia="de-DE"/>
              </w:rPr>
            </w:pPr>
            <w:r w:rsidRPr="006F1051">
              <w:rPr>
                <w:rFonts w:ascii="Calibri" w:eastAsia="Times New Roman" w:hAnsi="Calibri" w:cs="Calibri"/>
                <w:color w:val="00B050"/>
                <w:sz w:val="16"/>
                <w:szCs w:val="18"/>
                <w:lang w:eastAsia="de-DE"/>
              </w:rPr>
              <w:t>15</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8080" w:themeColor="background1" w:themeShade="80"/>
                <w:sz w:val="16"/>
                <w:szCs w:val="18"/>
                <w:lang w:eastAsia="de-DE"/>
              </w:rPr>
            </w:pPr>
            <w:r w:rsidRPr="006F1051">
              <w:rPr>
                <w:rFonts w:ascii="Calibri" w:eastAsia="Times New Roman" w:hAnsi="Calibri" w:cs="Calibri"/>
                <w:color w:val="808080" w:themeColor="background1" w:themeShade="80"/>
                <w:sz w:val="16"/>
                <w:szCs w:val="18"/>
                <w:lang w:eastAsia="de-DE"/>
              </w:rPr>
              <w:t>15</w:t>
            </w:r>
          </w:p>
        </w:tc>
        <w:tc>
          <w:tcPr>
            <w:tcW w:w="81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2060"/>
                <w:sz w:val="16"/>
                <w:szCs w:val="18"/>
                <w:lang w:eastAsia="de-DE"/>
              </w:rPr>
            </w:pPr>
            <w:r w:rsidRPr="006F1051">
              <w:rPr>
                <w:rFonts w:ascii="Calibri" w:eastAsia="Times New Roman" w:hAnsi="Calibri" w:cs="Calibri"/>
                <w:color w:val="002060"/>
                <w:sz w:val="16"/>
                <w:szCs w:val="18"/>
                <w:lang w:eastAsia="de-DE"/>
              </w:rPr>
              <w:t>18</w:t>
            </w:r>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rPr>
                <w:rFonts w:ascii="Calibri" w:eastAsia="Times New Roman" w:hAnsi="Calibri" w:cs="Calibri"/>
                <w:b/>
                <w:color w:val="000000"/>
                <w:sz w:val="16"/>
                <w:szCs w:val="18"/>
                <w:lang w:eastAsia="de-DE"/>
              </w:rPr>
            </w:pPr>
            <w:r w:rsidRPr="006F1051">
              <w:rPr>
                <w:rFonts w:ascii="Calibri" w:eastAsia="Times New Roman" w:hAnsi="Calibri" w:cs="Calibri"/>
                <w:b/>
                <w:color w:val="000000"/>
                <w:sz w:val="16"/>
                <w:lang w:eastAsia="de-DE"/>
              </w:rPr>
              <w:t>China</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6000" w:themeColor="accent4" w:themeShade="80"/>
                <w:sz w:val="16"/>
                <w:szCs w:val="18"/>
                <w:lang w:eastAsia="de-DE"/>
              </w:rPr>
            </w:pPr>
            <w:r w:rsidRPr="006F1051">
              <w:rPr>
                <w:rFonts w:ascii="Calibri" w:eastAsia="Times New Roman" w:hAnsi="Calibri" w:cs="Calibri"/>
                <w:color w:val="806000" w:themeColor="accent4" w:themeShade="80"/>
                <w:sz w:val="16"/>
                <w:szCs w:val="18"/>
                <w:lang w:eastAsia="de-DE"/>
              </w:rPr>
              <w:t>1307</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B050"/>
                <w:sz w:val="16"/>
                <w:szCs w:val="18"/>
                <w:lang w:eastAsia="de-DE"/>
              </w:rPr>
            </w:pPr>
            <w:r w:rsidRPr="006F1051">
              <w:rPr>
                <w:rFonts w:ascii="Calibri" w:eastAsia="Times New Roman" w:hAnsi="Calibri" w:cs="Calibri"/>
                <w:color w:val="00B050"/>
                <w:sz w:val="16"/>
                <w:szCs w:val="18"/>
                <w:lang w:eastAsia="de-DE"/>
              </w:rPr>
              <w:t>982</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8080" w:themeColor="background1" w:themeShade="80"/>
                <w:sz w:val="16"/>
                <w:szCs w:val="18"/>
                <w:lang w:eastAsia="de-DE"/>
              </w:rPr>
            </w:pPr>
            <w:r w:rsidRPr="006F1051">
              <w:rPr>
                <w:rFonts w:ascii="Calibri" w:eastAsia="Times New Roman" w:hAnsi="Calibri" w:cs="Calibri"/>
                <w:color w:val="808080" w:themeColor="background1" w:themeShade="80"/>
                <w:sz w:val="16"/>
                <w:szCs w:val="18"/>
                <w:lang w:eastAsia="de-DE"/>
              </w:rPr>
              <w:t>1069</w:t>
            </w:r>
          </w:p>
        </w:tc>
        <w:tc>
          <w:tcPr>
            <w:tcW w:w="81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2060"/>
                <w:sz w:val="16"/>
                <w:szCs w:val="18"/>
                <w:lang w:eastAsia="de-DE"/>
              </w:rPr>
            </w:pPr>
            <w:r w:rsidRPr="006F1051">
              <w:rPr>
                <w:rFonts w:ascii="Calibri" w:eastAsia="Times New Roman" w:hAnsi="Calibri" w:cs="Calibri"/>
                <w:color w:val="002060"/>
                <w:sz w:val="16"/>
                <w:szCs w:val="18"/>
                <w:lang w:eastAsia="de-DE"/>
              </w:rPr>
              <w:t>1307</w:t>
            </w:r>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rPr>
                <w:rFonts w:ascii="Calibri" w:eastAsia="Times New Roman" w:hAnsi="Calibri" w:cs="Calibri"/>
                <w:b/>
                <w:color w:val="000000"/>
                <w:sz w:val="16"/>
                <w:szCs w:val="18"/>
                <w:lang w:eastAsia="de-DE"/>
              </w:rPr>
            </w:pPr>
            <w:r w:rsidRPr="006F1051">
              <w:rPr>
                <w:rFonts w:ascii="Calibri" w:eastAsia="Times New Roman" w:hAnsi="Calibri" w:cs="Calibri"/>
                <w:b/>
                <w:color w:val="000000"/>
                <w:sz w:val="16"/>
                <w:lang w:eastAsia="de-DE"/>
              </w:rPr>
              <w:t>EU-28</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6000" w:themeColor="accent4" w:themeShade="80"/>
                <w:sz w:val="16"/>
                <w:szCs w:val="18"/>
                <w:lang w:eastAsia="de-DE"/>
              </w:rPr>
            </w:pPr>
            <w:r w:rsidRPr="006F1051">
              <w:rPr>
                <w:rFonts w:ascii="Calibri" w:eastAsia="Times New Roman" w:hAnsi="Calibri" w:cs="Calibri"/>
                <w:color w:val="806000" w:themeColor="accent4" w:themeShade="80"/>
                <w:sz w:val="16"/>
                <w:szCs w:val="18"/>
                <w:lang w:eastAsia="de-DE"/>
              </w:rPr>
              <w:t>63</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B050"/>
                <w:sz w:val="16"/>
                <w:szCs w:val="18"/>
                <w:lang w:eastAsia="de-DE"/>
              </w:rPr>
            </w:pPr>
            <w:r w:rsidRPr="006F1051">
              <w:rPr>
                <w:rFonts w:ascii="Calibri" w:eastAsia="Times New Roman" w:hAnsi="Calibri" w:cs="Calibri"/>
                <w:color w:val="00B050"/>
                <w:sz w:val="16"/>
                <w:szCs w:val="18"/>
                <w:lang w:eastAsia="de-DE"/>
              </w:rPr>
              <w:t>50</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8080" w:themeColor="background1" w:themeShade="80"/>
                <w:sz w:val="16"/>
                <w:szCs w:val="18"/>
                <w:lang w:eastAsia="de-DE"/>
              </w:rPr>
            </w:pPr>
            <w:r w:rsidRPr="006F1051">
              <w:rPr>
                <w:rFonts w:ascii="Calibri" w:eastAsia="Times New Roman" w:hAnsi="Calibri" w:cs="Calibri"/>
                <w:color w:val="808080" w:themeColor="background1" w:themeShade="80"/>
                <w:sz w:val="16"/>
                <w:szCs w:val="18"/>
                <w:lang w:eastAsia="de-DE"/>
              </w:rPr>
              <w:t>51</w:t>
            </w:r>
          </w:p>
        </w:tc>
        <w:tc>
          <w:tcPr>
            <w:tcW w:w="81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2060"/>
                <w:sz w:val="16"/>
                <w:szCs w:val="18"/>
                <w:lang w:eastAsia="de-DE"/>
              </w:rPr>
            </w:pPr>
            <w:r w:rsidRPr="006F1051">
              <w:rPr>
                <w:rFonts w:ascii="Calibri" w:eastAsia="Times New Roman" w:hAnsi="Calibri" w:cs="Calibri"/>
                <w:color w:val="002060"/>
                <w:sz w:val="16"/>
                <w:szCs w:val="18"/>
                <w:lang w:eastAsia="de-DE"/>
              </w:rPr>
              <w:t>58</w:t>
            </w:r>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rPr>
                <w:rFonts w:ascii="Calibri" w:eastAsia="Times New Roman" w:hAnsi="Calibri" w:cs="Calibri"/>
                <w:b/>
                <w:color w:val="000000"/>
                <w:sz w:val="16"/>
                <w:szCs w:val="18"/>
                <w:lang w:eastAsia="de-DE"/>
              </w:rPr>
            </w:pPr>
            <w:r w:rsidRPr="006F1051">
              <w:rPr>
                <w:rFonts w:ascii="Calibri" w:eastAsia="Times New Roman" w:hAnsi="Calibri" w:cs="Calibri"/>
                <w:b/>
                <w:color w:val="000000"/>
                <w:sz w:val="16"/>
                <w:lang w:eastAsia="de-DE"/>
              </w:rPr>
              <w:t xml:space="preserve">Former </w:t>
            </w:r>
            <w:proofErr w:type="spellStart"/>
            <w:r w:rsidRPr="006F1051">
              <w:rPr>
                <w:rFonts w:ascii="Calibri" w:eastAsia="Times New Roman" w:hAnsi="Calibri" w:cs="Calibri"/>
                <w:b/>
                <w:color w:val="000000"/>
                <w:sz w:val="16"/>
                <w:lang w:eastAsia="de-DE"/>
              </w:rPr>
              <w:t>Soviet</w:t>
            </w:r>
            <w:proofErr w:type="spellEnd"/>
            <w:r w:rsidRPr="006F1051">
              <w:rPr>
                <w:rFonts w:ascii="Calibri" w:eastAsia="Times New Roman" w:hAnsi="Calibri" w:cs="Calibri"/>
                <w:b/>
                <w:color w:val="000000"/>
                <w:sz w:val="16"/>
                <w:lang w:eastAsia="de-DE"/>
              </w:rPr>
              <w:t xml:space="preserve"> Union</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6000" w:themeColor="accent4" w:themeShade="80"/>
                <w:sz w:val="16"/>
                <w:szCs w:val="18"/>
                <w:lang w:eastAsia="de-DE"/>
              </w:rPr>
            </w:pPr>
            <w:r w:rsidRPr="006F1051">
              <w:rPr>
                <w:rFonts w:ascii="Calibri" w:eastAsia="Times New Roman" w:hAnsi="Calibri" w:cs="Calibri"/>
                <w:color w:val="806000" w:themeColor="accent4" w:themeShade="80"/>
                <w:sz w:val="16"/>
                <w:szCs w:val="18"/>
                <w:lang w:eastAsia="de-DE"/>
              </w:rPr>
              <w:t>49</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B050"/>
                <w:sz w:val="16"/>
                <w:szCs w:val="18"/>
                <w:lang w:eastAsia="de-DE"/>
              </w:rPr>
            </w:pPr>
            <w:r w:rsidRPr="006F1051">
              <w:rPr>
                <w:rFonts w:ascii="Calibri" w:eastAsia="Times New Roman" w:hAnsi="Calibri" w:cs="Calibri"/>
                <w:color w:val="00B050"/>
                <w:sz w:val="16"/>
                <w:szCs w:val="18"/>
                <w:lang w:eastAsia="de-DE"/>
              </w:rPr>
              <w:t>30</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8080" w:themeColor="background1" w:themeShade="80"/>
                <w:sz w:val="16"/>
                <w:szCs w:val="18"/>
                <w:lang w:eastAsia="de-DE"/>
              </w:rPr>
            </w:pPr>
            <w:r w:rsidRPr="006F1051">
              <w:rPr>
                <w:rFonts w:ascii="Calibri" w:eastAsia="Times New Roman" w:hAnsi="Calibri" w:cs="Calibri"/>
                <w:color w:val="808080" w:themeColor="background1" w:themeShade="80"/>
                <w:sz w:val="16"/>
                <w:szCs w:val="18"/>
                <w:lang w:eastAsia="de-DE"/>
              </w:rPr>
              <w:t>33</w:t>
            </w:r>
          </w:p>
        </w:tc>
        <w:tc>
          <w:tcPr>
            <w:tcW w:w="81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2060"/>
                <w:sz w:val="16"/>
                <w:szCs w:val="18"/>
                <w:lang w:eastAsia="de-DE"/>
              </w:rPr>
            </w:pPr>
            <w:r w:rsidRPr="006F1051">
              <w:rPr>
                <w:rFonts w:ascii="Calibri" w:eastAsia="Times New Roman" w:hAnsi="Calibri" w:cs="Calibri"/>
                <w:color w:val="002060"/>
                <w:sz w:val="16"/>
                <w:szCs w:val="18"/>
                <w:lang w:eastAsia="de-DE"/>
              </w:rPr>
              <w:t>24</w:t>
            </w:r>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rPr>
                <w:rFonts w:ascii="Calibri" w:eastAsia="Times New Roman" w:hAnsi="Calibri" w:cs="Calibri"/>
                <w:b/>
                <w:color w:val="000000"/>
                <w:sz w:val="16"/>
                <w:szCs w:val="18"/>
                <w:lang w:eastAsia="de-DE"/>
              </w:rPr>
            </w:pPr>
            <w:proofErr w:type="spellStart"/>
            <w:r w:rsidRPr="006F1051">
              <w:rPr>
                <w:rFonts w:ascii="Calibri" w:eastAsia="Times New Roman" w:hAnsi="Calibri" w:cs="Calibri"/>
                <w:b/>
                <w:color w:val="000000"/>
                <w:sz w:val="16"/>
                <w:lang w:eastAsia="de-DE"/>
              </w:rPr>
              <w:t>India</w:t>
            </w:r>
            <w:proofErr w:type="spellEnd"/>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6000" w:themeColor="accent4" w:themeShade="80"/>
                <w:sz w:val="16"/>
                <w:szCs w:val="18"/>
                <w:lang w:eastAsia="de-DE"/>
              </w:rPr>
            </w:pPr>
            <w:r w:rsidRPr="006F1051">
              <w:rPr>
                <w:rFonts w:ascii="Calibri" w:eastAsia="Times New Roman" w:hAnsi="Calibri" w:cs="Calibri"/>
                <w:color w:val="806000" w:themeColor="accent4" w:themeShade="80"/>
                <w:sz w:val="16"/>
                <w:szCs w:val="18"/>
                <w:lang w:eastAsia="de-DE"/>
              </w:rPr>
              <w:t>327</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B050"/>
                <w:sz w:val="16"/>
                <w:szCs w:val="18"/>
                <w:lang w:eastAsia="de-DE"/>
              </w:rPr>
            </w:pPr>
            <w:r w:rsidRPr="006F1051">
              <w:rPr>
                <w:rFonts w:ascii="Calibri" w:eastAsia="Times New Roman" w:hAnsi="Calibri" w:cs="Calibri"/>
                <w:color w:val="00B050"/>
                <w:sz w:val="16"/>
                <w:szCs w:val="18"/>
                <w:lang w:eastAsia="de-DE"/>
              </w:rPr>
              <w:t>231</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8080" w:themeColor="background1" w:themeShade="80"/>
                <w:sz w:val="16"/>
                <w:szCs w:val="18"/>
                <w:lang w:eastAsia="de-DE"/>
              </w:rPr>
            </w:pPr>
            <w:r w:rsidRPr="006F1051">
              <w:rPr>
                <w:rFonts w:ascii="Calibri" w:eastAsia="Times New Roman" w:hAnsi="Calibri" w:cs="Calibri"/>
                <w:color w:val="808080" w:themeColor="background1" w:themeShade="80"/>
                <w:sz w:val="16"/>
                <w:szCs w:val="18"/>
                <w:lang w:eastAsia="de-DE"/>
              </w:rPr>
              <w:t>258</w:t>
            </w:r>
          </w:p>
        </w:tc>
        <w:tc>
          <w:tcPr>
            <w:tcW w:w="81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2060"/>
                <w:sz w:val="16"/>
                <w:szCs w:val="18"/>
                <w:lang w:eastAsia="de-DE"/>
              </w:rPr>
            </w:pPr>
            <w:r w:rsidRPr="006F1051">
              <w:rPr>
                <w:rFonts w:ascii="Calibri" w:eastAsia="Times New Roman" w:hAnsi="Calibri" w:cs="Calibri"/>
                <w:color w:val="002060"/>
                <w:sz w:val="16"/>
                <w:szCs w:val="18"/>
                <w:lang w:eastAsia="de-DE"/>
              </w:rPr>
              <w:t>281</w:t>
            </w:r>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rPr>
                <w:rFonts w:ascii="Calibri" w:eastAsia="Times New Roman" w:hAnsi="Calibri" w:cs="Calibri"/>
                <w:b/>
                <w:color w:val="000000"/>
                <w:sz w:val="16"/>
                <w:szCs w:val="18"/>
                <w:lang w:eastAsia="de-DE"/>
              </w:rPr>
            </w:pPr>
            <w:r w:rsidRPr="006F1051">
              <w:rPr>
                <w:rFonts w:ascii="Calibri" w:eastAsia="Times New Roman" w:hAnsi="Calibri" w:cs="Calibri"/>
                <w:b/>
                <w:color w:val="000000"/>
                <w:sz w:val="16"/>
                <w:lang w:eastAsia="de-DE"/>
              </w:rPr>
              <w:t>Japan</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6000" w:themeColor="accent4" w:themeShade="80"/>
                <w:sz w:val="16"/>
                <w:szCs w:val="18"/>
                <w:lang w:eastAsia="de-DE"/>
              </w:rPr>
            </w:pPr>
            <w:r w:rsidRPr="006F1051">
              <w:rPr>
                <w:rFonts w:ascii="Calibri" w:eastAsia="Times New Roman" w:hAnsi="Calibri" w:cs="Calibri"/>
                <w:color w:val="806000" w:themeColor="accent4" w:themeShade="80"/>
                <w:sz w:val="16"/>
                <w:szCs w:val="18"/>
                <w:lang w:eastAsia="de-DE"/>
              </w:rPr>
              <w:t>52</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B050"/>
                <w:sz w:val="16"/>
                <w:szCs w:val="18"/>
                <w:lang w:eastAsia="de-DE"/>
              </w:rPr>
            </w:pPr>
            <w:r w:rsidRPr="006F1051">
              <w:rPr>
                <w:rFonts w:ascii="Calibri" w:eastAsia="Times New Roman" w:hAnsi="Calibri" w:cs="Calibri"/>
                <w:color w:val="00B050"/>
                <w:sz w:val="16"/>
                <w:szCs w:val="18"/>
                <w:lang w:eastAsia="de-DE"/>
              </w:rPr>
              <w:t>39</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8080" w:themeColor="background1" w:themeShade="80"/>
                <w:sz w:val="16"/>
                <w:szCs w:val="18"/>
                <w:lang w:eastAsia="de-DE"/>
              </w:rPr>
            </w:pPr>
            <w:r w:rsidRPr="006F1051">
              <w:rPr>
                <w:rFonts w:ascii="Calibri" w:eastAsia="Times New Roman" w:hAnsi="Calibri" w:cs="Calibri"/>
                <w:color w:val="808080" w:themeColor="background1" w:themeShade="80"/>
                <w:sz w:val="16"/>
                <w:szCs w:val="18"/>
                <w:lang w:eastAsia="de-DE"/>
              </w:rPr>
              <w:t>45</w:t>
            </w:r>
          </w:p>
        </w:tc>
        <w:tc>
          <w:tcPr>
            <w:tcW w:w="81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2060"/>
                <w:sz w:val="16"/>
                <w:szCs w:val="18"/>
                <w:lang w:eastAsia="de-DE"/>
              </w:rPr>
            </w:pPr>
            <w:r w:rsidRPr="006F1051">
              <w:rPr>
                <w:rFonts w:ascii="Calibri" w:eastAsia="Times New Roman" w:hAnsi="Calibri" w:cs="Calibri"/>
                <w:color w:val="002060"/>
                <w:sz w:val="16"/>
                <w:szCs w:val="18"/>
                <w:lang w:eastAsia="de-DE"/>
              </w:rPr>
              <w:t>51</w:t>
            </w:r>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rPr>
                <w:rFonts w:ascii="Calibri" w:eastAsia="Times New Roman" w:hAnsi="Calibri" w:cs="Calibri"/>
                <w:b/>
                <w:color w:val="000000"/>
                <w:sz w:val="16"/>
                <w:szCs w:val="18"/>
                <w:lang w:eastAsia="de-DE"/>
              </w:rPr>
            </w:pPr>
            <w:proofErr w:type="spellStart"/>
            <w:r w:rsidRPr="006F1051">
              <w:rPr>
                <w:rFonts w:ascii="Calibri" w:eastAsia="Times New Roman" w:hAnsi="Calibri" w:cs="Calibri"/>
                <w:b/>
                <w:color w:val="000000"/>
                <w:sz w:val="16"/>
                <w:lang w:eastAsia="de-DE"/>
              </w:rPr>
              <w:t>Latin</w:t>
            </w:r>
            <w:proofErr w:type="spellEnd"/>
            <w:r w:rsidRPr="006F1051">
              <w:rPr>
                <w:rFonts w:ascii="Calibri" w:eastAsia="Times New Roman" w:hAnsi="Calibri" w:cs="Calibri"/>
                <w:b/>
                <w:color w:val="000000"/>
                <w:sz w:val="16"/>
                <w:lang w:eastAsia="de-DE"/>
              </w:rPr>
              <w:t xml:space="preserve"> </w:t>
            </w:r>
            <w:proofErr w:type="spellStart"/>
            <w:r w:rsidRPr="006F1051">
              <w:rPr>
                <w:rFonts w:ascii="Calibri" w:eastAsia="Times New Roman" w:hAnsi="Calibri" w:cs="Calibri"/>
                <w:b/>
                <w:color w:val="000000"/>
                <w:sz w:val="16"/>
                <w:lang w:eastAsia="de-DE"/>
              </w:rPr>
              <w:t>America</w:t>
            </w:r>
            <w:proofErr w:type="spellEnd"/>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6000" w:themeColor="accent4" w:themeShade="80"/>
                <w:sz w:val="16"/>
                <w:szCs w:val="18"/>
                <w:lang w:eastAsia="de-DE"/>
              </w:rPr>
            </w:pPr>
            <w:r w:rsidRPr="006F1051">
              <w:rPr>
                <w:rFonts w:ascii="Calibri" w:eastAsia="Times New Roman" w:hAnsi="Calibri" w:cs="Calibri"/>
                <w:color w:val="806000" w:themeColor="accent4" w:themeShade="80"/>
                <w:sz w:val="16"/>
                <w:szCs w:val="18"/>
                <w:lang w:eastAsia="de-DE"/>
              </w:rPr>
              <w:t>19</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B050"/>
                <w:sz w:val="16"/>
                <w:szCs w:val="18"/>
                <w:lang w:eastAsia="de-DE"/>
              </w:rPr>
            </w:pPr>
            <w:r w:rsidRPr="006F1051">
              <w:rPr>
                <w:rFonts w:ascii="Calibri" w:eastAsia="Times New Roman" w:hAnsi="Calibri" w:cs="Calibri"/>
                <w:color w:val="00B050"/>
                <w:sz w:val="16"/>
                <w:szCs w:val="18"/>
                <w:lang w:eastAsia="de-DE"/>
              </w:rPr>
              <w:t>14</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8080" w:themeColor="background1" w:themeShade="80"/>
                <w:sz w:val="16"/>
                <w:szCs w:val="18"/>
                <w:lang w:eastAsia="de-DE"/>
              </w:rPr>
            </w:pPr>
            <w:r w:rsidRPr="006F1051">
              <w:rPr>
                <w:rFonts w:ascii="Calibri" w:eastAsia="Times New Roman" w:hAnsi="Calibri" w:cs="Calibri"/>
                <w:color w:val="808080" w:themeColor="background1" w:themeShade="80"/>
                <w:sz w:val="16"/>
                <w:szCs w:val="18"/>
                <w:lang w:eastAsia="de-DE"/>
              </w:rPr>
              <w:t>15</w:t>
            </w:r>
          </w:p>
        </w:tc>
        <w:tc>
          <w:tcPr>
            <w:tcW w:w="81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2060"/>
                <w:sz w:val="16"/>
                <w:szCs w:val="18"/>
                <w:lang w:eastAsia="de-DE"/>
              </w:rPr>
            </w:pPr>
            <w:r w:rsidRPr="006F1051">
              <w:rPr>
                <w:rFonts w:ascii="Calibri" w:eastAsia="Times New Roman" w:hAnsi="Calibri" w:cs="Calibri"/>
                <w:color w:val="002060"/>
                <w:sz w:val="16"/>
                <w:szCs w:val="18"/>
                <w:lang w:eastAsia="de-DE"/>
              </w:rPr>
              <w:t>20</w:t>
            </w:r>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rPr>
                <w:rFonts w:ascii="Calibri" w:eastAsia="Times New Roman" w:hAnsi="Calibri" w:cs="Calibri"/>
                <w:b/>
                <w:color w:val="000000"/>
                <w:sz w:val="16"/>
                <w:szCs w:val="18"/>
                <w:lang w:eastAsia="de-DE"/>
              </w:rPr>
            </w:pPr>
            <w:r w:rsidRPr="006F1051">
              <w:rPr>
                <w:rFonts w:ascii="Calibri" w:eastAsia="Times New Roman" w:hAnsi="Calibri" w:cs="Calibri"/>
                <w:b/>
                <w:color w:val="000000"/>
                <w:sz w:val="16"/>
                <w:lang w:eastAsia="de-DE"/>
              </w:rPr>
              <w:t>MENA</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6000" w:themeColor="accent4" w:themeShade="80"/>
                <w:sz w:val="16"/>
                <w:szCs w:val="18"/>
                <w:lang w:eastAsia="de-DE"/>
              </w:rPr>
            </w:pPr>
            <w:r w:rsidRPr="006F1051">
              <w:rPr>
                <w:rFonts w:ascii="Calibri" w:eastAsia="Times New Roman" w:hAnsi="Calibri" w:cs="Calibri"/>
                <w:color w:val="806000" w:themeColor="accent4" w:themeShade="80"/>
                <w:sz w:val="16"/>
                <w:szCs w:val="18"/>
                <w:lang w:eastAsia="de-DE"/>
              </w:rPr>
              <w:t>10</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B050"/>
                <w:sz w:val="16"/>
                <w:szCs w:val="18"/>
                <w:lang w:eastAsia="de-DE"/>
              </w:rPr>
            </w:pPr>
            <w:r w:rsidRPr="006F1051">
              <w:rPr>
                <w:rFonts w:ascii="Calibri" w:eastAsia="Times New Roman" w:hAnsi="Calibri" w:cs="Calibri"/>
                <w:color w:val="00B050"/>
                <w:sz w:val="16"/>
                <w:szCs w:val="18"/>
                <w:lang w:eastAsia="de-DE"/>
              </w:rPr>
              <w:t>5</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8080" w:themeColor="background1" w:themeShade="80"/>
                <w:sz w:val="16"/>
                <w:szCs w:val="18"/>
                <w:lang w:eastAsia="de-DE"/>
              </w:rPr>
            </w:pPr>
            <w:r w:rsidRPr="006F1051">
              <w:rPr>
                <w:rFonts w:ascii="Calibri" w:eastAsia="Times New Roman" w:hAnsi="Calibri" w:cs="Calibri"/>
                <w:color w:val="808080" w:themeColor="background1" w:themeShade="80"/>
                <w:sz w:val="16"/>
                <w:szCs w:val="18"/>
                <w:lang w:eastAsia="de-DE"/>
              </w:rPr>
              <w:t>6</w:t>
            </w:r>
          </w:p>
        </w:tc>
        <w:tc>
          <w:tcPr>
            <w:tcW w:w="81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2060"/>
                <w:sz w:val="16"/>
                <w:szCs w:val="18"/>
                <w:lang w:eastAsia="de-DE"/>
              </w:rPr>
            </w:pPr>
            <w:r w:rsidRPr="006F1051">
              <w:rPr>
                <w:rFonts w:ascii="Calibri" w:eastAsia="Times New Roman" w:hAnsi="Calibri" w:cs="Calibri"/>
                <w:color w:val="002060"/>
                <w:sz w:val="16"/>
                <w:szCs w:val="18"/>
                <w:lang w:eastAsia="de-DE"/>
              </w:rPr>
              <w:t>10</w:t>
            </w:r>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rPr>
                <w:rFonts w:ascii="Calibri" w:eastAsia="Times New Roman" w:hAnsi="Calibri" w:cs="Calibri"/>
                <w:b/>
                <w:color w:val="000000"/>
                <w:sz w:val="16"/>
                <w:szCs w:val="18"/>
                <w:lang w:eastAsia="de-DE"/>
              </w:rPr>
            </w:pPr>
            <w:r w:rsidRPr="006F1051">
              <w:rPr>
                <w:rFonts w:ascii="Calibri" w:eastAsia="Times New Roman" w:hAnsi="Calibri" w:cs="Calibri"/>
                <w:b/>
                <w:color w:val="000000"/>
                <w:sz w:val="16"/>
                <w:lang w:eastAsia="de-DE"/>
              </w:rPr>
              <w:t>Non-EU Europe</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6000" w:themeColor="accent4" w:themeShade="80"/>
                <w:sz w:val="16"/>
                <w:szCs w:val="18"/>
                <w:lang w:eastAsia="de-DE"/>
              </w:rPr>
            </w:pPr>
            <w:r w:rsidRPr="006F1051">
              <w:rPr>
                <w:rFonts w:ascii="Calibri" w:eastAsia="Times New Roman" w:hAnsi="Calibri" w:cs="Calibri"/>
                <w:color w:val="806000" w:themeColor="accent4" w:themeShade="80"/>
                <w:sz w:val="16"/>
                <w:szCs w:val="18"/>
                <w:lang w:eastAsia="de-DE"/>
              </w:rPr>
              <w:t>58</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B050"/>
                <w:sz w:val="16"/>
                <w:szCs w:val="18"/>
                <w:lang w:eastAsia="de-DE"/>
              </w:rPr>
            </w:pPr>
            <w:r w:rsidRPr="006F1051">
              <w:rPr>
                <w:rFonts w:ascii="Calibri" w:eastAsia="Times New Roman" w:hAnsi="Calibri" w:cs="Calibri"/>
                <w:color w:val="00B050"/>
                <w:sz w:val="16"/>
                <w:szCs w:val="18"/>
                <w:lang w:eastAsia="de-DE"/>
              </w:rPr>
              <w:t>29</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8080" w:themeColor="background1" w:themeShade="80"/>
                <w:sz w:val="16"/>
                <w:szCs w:val="18"/>
                <w:lang w:eastAsia="de-DE"/>
              </w:rPr>
            </w:pPr>
            <w:r w:rsidRPr="006F1051">
              <w:rPr>
                <w:rFonts w:ascii="Calibri" w:eastAsia="Times New Roman" w:hAnsi="Calibri" w:cs="Calibri"/>
                <w:color w:val="808080" w:themeColor="background1" w:themeShade="80"/>
                <w:sz w:val="16"/>
                <w:szCs w:val="18"/>
                <w:lang w:eastAsia="de-DE"/>
              </w:rPr>
              <w:t>36</w:t>
            </w:r>
          </w:p>
        </w:tc>
        <w:tc>
          <w:tcPr>
            <w:tcW w:w="81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2060"/>
                <w:sz w:val="16"/>
                <w:szCs w:val="18"/>
                <w:lang w:eastAsia="de-DE"/>
              </w:rPr>
            </w:pPr>
            <w:r w:rsidRPr="006F1051">
              <w:rPr>
                <w:rFonts w:ascii="Calibri" w:eastAsia="Times New Roman" w:hAnsi="Calibri" w:cs="Calibri"/>
                <w:color w:val="002060"/>
                <w:sz w:val="16"/>
                <w:szCs w:val="18"/>
                <w:lang w:eastAsia="de-DE"/>
              </w:rPr>
              <w:t>44</w:t>
            </w:r>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rPr>
                <w:rFonts w:ascii="Calibri" w:eastAsia="Times New Roman" w:hAnsi="Calibri" w:cs="Calibri"/>
                <w:b/>
                <w:color w:val="000000"/>
                <w:sz w:val="16"/>
                <w:szCs w:val="18"/>
                <w:lang w:eastAsia="de-DE"/>
              </w:rPr>
            </w:pPr>
            <w:r w:rsidRPr="006F1051">
              <w:rPr>
                <w:rFonts w:ascii="Calibri" w:eastAsia="Times New Roman" w:hAnsi="Calibri" w:cs="Calibri"/>
                <w:b/>
                <w:color w:val="000000"/>
                <w:sz w:val="16"/>
                <w:lang w:eastAsia="de-DE"/>
              </w:rPr>
              <w:t>Other Asian States</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6000" w:themeColor="accent4" w:themeShade="80"/>
                <w:sz w:val="16"/>
                <w:szCs w:val="18"/>
                <w:lang w:eastAsia="de-DE"/>
              </w:rPr>
            </w:pPr>
            <w:r w:rsidRPr="006F1051">
              <w:rPr>
                <w:rFonts w:ascii="Calibri" w:eastAsia="Times New Roman" w:hAnsi="Calibri" w:cs="Calibri"/>
                <w:color w:val="806000" w:themeColor="accent4" w:themeShade="80"/>
                <w:sz w:val="16"/>
                <w:szCs w:val="18"/>
                <w:lang w:eastAsia="de-DE"/>
              </w:rPr>
              <w:t>241</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B050"/>
                <w:sz w:val="16"/>
                <w:szCs w:val="18"/>
                <w:lang w:eastAsia="de-DE"/>
              </w:rPr>
            </w:pPr>
            <w:r w:rsidRPr="006F1051">
              <w:rPr>
                <w:rFonts w:ascii="Calibri" w:eastAsia="Times New Roman" w:hAnsi="Calibri" w:cs="Calibri"/>
                <w:color w:val="00B050"/>
                <w:sz w:val="16"/>
                <w:szCs w:val="18"/>
                <w:lang w:eastAsia="de-DE"/>
              </w:rPr>
              <w:t>158</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8080" w:themeColor="background1" w:themeShade="80"/>
                <w:sz w:val="16"/>
                <w:szCs w:val="18"/>
                <w:lang w:eastAsia="de-DE"/>
              </w:rPr>
            </w:pPr>
            <w:r w:rsidRPr="006F1051">
              <w:rPr>
                <w:rFonts w:ascii="Calibri" w:eastAsia="Times New Roman" w:hAnsi="Calibri" w:cs="Calibri"/>
                <w:color w:val="808080" w:themeColor="background1" w:themeShade="80"/>
                <w:sz w:val="16"/>
                <w:szCs w:val="18"/>
                <w:lang w:eastAsia="de-DE"/>
              </w:rPr>
              <w:t>199</w:t>
            </w:r>
          </w:p>
        </w:tc>
        <w:tc>
          <w:tcPr>
            <w:tcW w:w="81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2060"/>
                <w:sz w:val="16"/>
                <w:szCs w:val="18"/>
                <w:lang w:eastAsia="de-DE"/>
              </w:rPr>
            </w:pPr>
            <w:r w:rsidRPr="006F1051">
              <w:rPr>
                <w:rFonts w:ascii="Calibri" w:eastAsia="Times New Roman" w:hAnsi="Calibri" w:cs="Calibri"/>
                <w:color w:val="002060"/>
                <w:sz w:val="16"/>
                <w:szCs w:val="18"/>
                <w:lang w:eastAsia="de-DE"/>
              </w:rPr>
              <w:t>251</w:t>
            </w:r>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rPr>
                <w:rFonts w:ascii="Calibri" w:eastAsia="Times New Roman" w:hAnsi="Calibri" w:cs="Calibri"/>
                <w:b/>
                <w:color w:val="000000"/>
                <w:sz w:val="16"/>
                <w:szCs w:val="18"/>
                <w:lang w:eastAsia="de-DE"/>
              </w:rPr>
            </w:pPr>
            <w:r w:rsidRPr="006F1051">
              <w:rPr>
                <w:rFonts w:ascii="Calibri" w:eastAsia="Times New Roman" w:hAnsi="Calibri" w:cs="Calibri"/>
                <w:b/>
                <w:color w:val="000000"/>
                <w:sz w:val="16"/>
                <w:lang w:eastAsia="de-DE"/>
              </w:rPr>
              <w:t>Sub-</w:t>
            </w:r>
            <w:proofErr w:type="spellStart"/>
            <w:r w:rsidRPr="006F1051">
              <w:rPr>
                <w:rFonts w:ascii="Calibri" w:eastAsia="Times New Roman" w:hAnsi="Calibri" w:cs="Calibri"/>
                <w:b/>
                <w:color w:val="000000"/>
                <w:sz w:val="16"/>
                <w:lang w:eastAsia="de-DE"/>
              </w:rPr>
              <w:t>Saharan</w:t>
            </w:r>
            <w:proofErr w:type="spellEnd"/>
            <w:r w:rsidRPr="006F1051">
              <w:rPr>
                <w:rFonts w:ascii="Calibri" w:eastAsia="Times New Roman" w:hAnsi="Calibri" w:cs="Calibri"/>
                <w:b/>
                <w:color w:val="000000"/>
                <w:sz w:val="16"/>
                <w:lang w:eastAsia="de-DE"/>
              </w:rPr>
              <w:t xml:space="preserve"> </w:t>
            </w:r>
            <w:proofErr w:type="spellStart"/>
            <w:r w:rsidRPr="006F1051">
              <w:rPr>
                <w:rFonts w:ascii="Calibri" w:eastAsia="Times New Roman" w:hAnsi="Calibri" w:cs="Calibri"/>
                <w:b/>
                <w:color w:val="000000"/>
                <w:sz w:val="16"/>
                <w:lang w:eastAsia="de-DE"/>
              </w:rPr>
              <w:t>Africa</w:t>
            </w:r>
            <w:proofErr w:type="spellEnd"/>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6000" w:themeColor="accent4" w:themeShade="80"/>
                <w:sz w:val="16"/>
                <w:szCs w:val="18"/>
                <w:lang w:eastAsia="de-DE"/>
              </w:rPr>
            </w:pPr>
            <w:r w:rsidRPr="006F1051">
              <w:rPr>
                <w:rFonts w:ascii="Calibri" w:eastAsia="Times New Roman" w:hAnsi="Calibri" w:cs="Calibri"/>
                <w:color w:val="806000" w:themeColor="accent4" w:themeShade="80"/>
                <w:sz w:val="16"/>
                <w:szCs w:val="18"/>
                <w:lang w:eastAsia="de-DE"/>
              </w:rPr>
              <w:t>43</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B050"/>
                <w:sz w:val="16"/>
                <w:szCs w:val="18"/>
                <w:lang w:eastAsia="de-DE"/>
              </w:rPr>
            </w:pPr>
            <w:r w:rsidRPr="006F1051">
              <w:rPr>
                <w:rFonts w:ascii="Calibri" w:eastAsia="Times New Roman" w:hAnsi="Calibri" w:cs="Calibri"/>
                <w:color w:val="00B050"/>
                <w:sz w:val="16"/>
                <w:szCs w:val="18"/>
                <w:lang w:eastAsia="de-DE"/>
              </w:rPr>
              <w:t>15</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8080" w:themeColor="background1" w:themeShade="80"/>
                <w:sz w:val="16"/>
                <w:szCs w:val="18"/>
                <w:lang w:eastAsia="de-DE"/>
              </w:rPr>
            </w:pPr>
            <w:r w:rsidRPr="006F1051">
              <w:rPr>
                <w:rFonts w:ascii="Calibri" w:eastAsia="Times New Roman" w:hAnsi="Calibri" w:cs="Calibri"/>
                <w:color w:val="808080" w:themeColor="background1" w:themeShade="80"/>
                <w:sz w:val="16"/>
                <w:szCs w:val="18"/>
                <w:lang w:eastAsia="de-DE"/>
              </w:rPr>
              <w:t>22</w:t>
            </w:r>
          </w:p>
        </w:tc>
        <w:tc>
          <w:tcPr>
            <w:tcW w:w="81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2060"/>
                <w:sz w:val="16"/>
                <w:szCs w:val="18"/>
                <w:lang w:eastAsia="de-DE"/>
              </w:rPr>
            </w:pPr>
            <w:r w:rsidRPr="006F1051">
              <w:rPr>
                <w:rFonts w:ascii="Calibri" w:eastAsia="Times New Roman" w:hAnsi="Calibri" w:cs="Calibri"/>
                <w:color w:val="002060"/>
                <w:sz w:val="16"/>
                <w:szCs w:val="18"/>
                <w:lang w:eastAsia="de-DE"/>
              </w:rPr>
              <w:t>45</w:t>
            </w:r>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rPr>
                <w:rFonts w:ascii="Calibri" w:eastAsia="Times New Roman" w:hAnsi="Calibri" w:cs="Calibri"/>
                <w:b/>
                <w:color w:val="000000"/>
                <w:sz w:val="16"/>
                <w:szCs w:val="18"/>
                <w:lang w:eastAsia="de-DE"/>
              </w:rPr>
            </w:pPr>
            <w:r w:rsidRPr="006F1051">
              <w:rPr>
                <w:rFonts w:ascii="Calibri" w:eastAsia="Times New Roman" w:hAnsi="Calibri" w:cs="Calibri"/>
                <w:b/>
                <w:color w:val="000000"/>
                <w:sz w:val="16"/>
                <w:lang w:eastAsia="de-DE"/>
              </w:rPr>
              <w:t>USA</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6000" w:themeColor="accent4" w:themeShade="80"/>
                <w:sz w:val="16"/>
                <w:szCs w:val="18"/>
                <w:lang w:eastAsia="de-DE"/>
              </w:rPr>
            </w:pPr>
            <w:r w:rsidRPr="006F1051">
              <w:rPr>
                <w:rFonts w:ascii="Calibri" w:eastAsia="Times New Roman" w:hAnsi="Calibri" w:cs="Calibri"/>
                <w:color w:val="806000" w:themeColor="accent4" w:themeShade="80"/>
                <w:sz w:val="16"/>
                <w:szCs w:val="18"/>
                <w:lang w:eastAsia="de-DE"/>
              </w:rPr>
              <w:t>132</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B050"/>
                <w:sz w:val="16"/>
                <w:szCs w:val="18"/>
                <w:lang w:eastAsia="de-DE"/>
              </w:rPr>
            </w:pPr>
            <w:r w:rsidRPr="006F1051">
              <w:rPr>
                <w:rFonts w:ascii="Calibri" w:eastAsia="Times New Roman" w:hAnsi="Calibri" w:cs="Calibri"/>
                <w:color w:val="00B050"/>
                <w:sz w:val="16"/>
                <w:szCs w:val="18"/>
                <w:lang w:eastAsia="de-DE"/>
              </w:rPr>
              <w:t>98</w:t>
            </w:r>
          </w:p>
        </w:tc>
        <w:tc>
          <w:tcPr>
            <w:tcW w:w="72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808080" w:themeColor="background1" w:themeShade="80"/>
                <w:sz w:val="16"/>
                <w:szCs w:val="18"/>
                <w:lang w:eastAsia="de-DE"/>
              </w:rPr>
            </w:pPr>
            <w:r w:rsidRPr="006F1051">
              <w:rPr>
                <w:rFonts w:ascii="Calibri" w:eastAsia="Times New Roman" w:hAnsi="Calibri" w:cs="Calibri"/>
                <w:color w:val="808080" w:themeColor="background1" w:themeShade="80"/>
                <w:sz w:val="16"/>
                <w:szCs w:val="18"/>
                <w:lang w:eastAsia="de-DE"/>
              </w:rPr>
              <w:t>99</w:t>
            </w:r>
          </w:p>
        </w:tc>
        <w:tc>
          <w:tcPr>
            <w:tcW w:w="810" w:type="dxa"/>
            <w:shd w:val="clear" w:color="auto" w:fill="auto"/>
            <w:noWrap/>
            <w:vAlign w:val="bottom"/>
            <w:hideMark/>
          </w:tcPr>
          <w:p w:rsidR="006F1051" w:rsidRPr="006F1051" w:rsidRDefault="006F1051" w:rsidP="006F1051">
            <w:pPr>
              <w:spacing w:after="0" w:line="240" w:lineRule="auto"/>
              <w:jc w:val="right"/>
              <w:rPr>
                <w:rFonts w:ascii="Calibri" w:eastAsia="Times New Roman" w:hAnsi="Calibri" w:cs="Calibri"/>
                <w:color w:val="002060"/>
                <w:sz w:val="16"/>
                <w:szCs w:val="18"/>
                <w:lang w:eastAsia="de-DE"/>
              </w:rPr>
            </w:pPr>
            <w:r w:rsidRPr="006F1051">
              <w:rPr>
                <w:rFonts w:ascii="Calibri" w:eastAsia="Times New Roman" w:hAnsi="Calibri" w:cs="Calibri"/>
                <w:color w:val="002060"/>
                <w:sz w:val="16"/>
                <w:szCs w:val="18"/>
                <w:lang w:eastAsia="de-DE"/>
              </w:rPr>
              <w:t>48</w:t>
            </w:r>
          </w:p>
        </w:tc>
      </w:tr>
      <w:tr w:rsidR="006F1051" w:rsidRPr="006F1051" w:rsidTr="006F1051">
        <w:trPr>
          <w:trHeight w:val="144"/>
        </w:trPr>
        <w:tc>
          <w:tcPr>
            <w:tcW w:w="1710" w:type="dxa"/>
            <w:shd w:val="clear" w:color="auto" w:fill="auto"/>
            <w:noWrap/>
            <w:vAlign w:val="bottom"/>
            <w:hideMark/>
          </w:tcPr>
          <w:p w:rsidR="006F1051" w:rsidRPr="006F1051" w:rsidRDefault="006F1051" w:rsidP="006F1051">
            <w:pPr>
              <w:spacing w:after="0" w:line="240" w:lineRule="auto"/>
              <w:rPr>
                <w:rFonts w:ascii="Calibri" w:eastAsia="Times New Roman" w:hAnsi="Calibri" w:cs="Calibri"/>
                <w:b/>
                <w:color w:val="000000"/>
                <w:sz w:val="16"/>
                <w:szCs w:val="18"/>
                <w:lang w:eastAsia="de-DE"/>
              </w:rPr>
            </w:pPr>
            <w:r w:rsidRPr="006F1051">
              <w:rPr>
                <w:rFonts w:ascii="Calibri" w:eastAsia="Times New Roman" w:hAnsi="Calibri" w:cs="Calibri"/>
                <w:b/>
                <w:color w:val="000000"/>
                <w:sz w:val="16"/>
                <w:lang w:eastAsia="de-DE"/>
              </w:rPr>
              <w:t>Global</w:t>
            </w:r>
          </w:p>
        </w:tc>
        <w:tc>
          <w:tcPr>
            <w:tcW w:w="720" w:type="dxa"/>
            <w:shd w:val="clear" w:color="auto" w:fill="auto"/>
            <w:noWrap/>
            <w:vAlign w:val="bottom"/>
            <w:hideMark/>
          </w:tcPr>
          <w:p w:rsidR="006F1051" w:rsidRPr="004673F4" w:rsidRDefault="006F1051" w:rsidP="006F1051">
            <w:pPr>
              <w:spacing w:after="0" w:line="240" w:lineRule="auto"/>
              <w:jc w:val="right"/>
              <w:rPr>
                <w:rFonts w:ascii="Calibri" w:eastAsia="Times New Roman" w:hAnsi="Calibri" w:cs="Calibri"/>
                <w:b/>
                <w:color w:val="806000" w:themeColor="accent4" w:themeShade="80"/>
                <w:sz w:val="16"/>
                <w:szCs w:val="18"/>
                <w:lang w:eastAsia="de-DE"/>
              </w:rPr>
            </w:pPr>
            <w:r w:rsidRPr="004673F4">
              <w:rPr>
                <w:rFonts w:ascii="Calibri" w:eastAsia="Times New Roman" w:hAnsi="Calibri" w:cs="Calibri"/>
                <w:b/>
                <w:color w:val="806000" w:themeColor="accent4" w:themeShade="80"/>
                <w:sz w:val="16"/>
                <w:szCs w:val="18"/>
                <w:lang w:eastAsia="de-DE"/>
              </w:rPr>
              <w:t>2322</w:t>
            </w:r>
          </w:p>
        </w:tc>
        <w:tc>
          <w:tcPr>
            <w:tcW w:w="720" w:type="dxa"/>
            <w:shd w:val="clear" w:color="auto" w:fill="auto"/>
            <w:noWrap/>
            <w:vAlign w:val="bottom"/>
            <w:hideMark/>
          </w:tcPr>
          <w:p w:rsidR="006F1051" w:rsidRPr="004673F4" w:rsidRDefault="006F1051" w:rsidP="006F1051">
            <w:pPr>
              <w:spacing w:after="0" w:line="240" w:lineRule="auto"/>
              <w:jc w:val="right"/>
              <w:rPr>
                <w:rFonts w:ascii="Calibri" w:eastAsia="Times New Roman" w:hAnsi="Calibri" w:cs="Calibri"/>
                <w:b/>
                <w:color w:val="00B050"/>
                <w:sz w:val="16"/>
                <w:szCs w:val="18"/>
                <w:lang w:eastAsia="de-DE"/>
              </w:rPr>
            </w:pPr>
            <w:r w:rsidRPr="004673F4">
              <w:rPr>
                <w:rFonts w:ascii="Calibri" w:eastAsia="Times New Roman" w:hAnsi="Calibri" w:cs="Calibri"/>
                <w:b/>
                <w:color w:val="00B050"/>
                <w:sz w:val="16"/>
                <w:szCs w:val="18"/>
                <w:lang w:eastAsia="de-DE"/>
              </w:rPr>
              <w:t>1666</w:t>
            </w:r>
          </w:p>
        </w:tc>
        <w:tc>
          <w:tcPr>
            <w:tcW w:w="720" w:type="dxa"/>
            <w:shd w:val="clear" w:color="auto" w:fill="auto"/>
            <w:noWrap/>
            <w:vAlign w:val="bottom"/>
            <w:hideMark/>
          </w:tcPr>
          <w:p w:rsidR="006F1051" w:rsidRPr="004673F4" w:rsidRDefault="006F1051" w:rsidP="006F1051">
            <w:pPr>
              <w:spacing w:after="0" w:line="240" w:lineRule="auto"/>
              <w:jc w:val="right"/>
              <w:rPr>
                <w:rFonts w:ascii="Calibri" w:eastAsia="Times New Roman" w:hAnsi="Calibri" w:cs="Calibri"/>
                <w:b/>
                <w:color w:val="808080" w:themeColor="background1" w:themeShade="80"/>
                <w:sz w:val="16"/>
                <w:szCs w:val="18"/>
                <w:lang w:eastAsia="de-DE"/>
              </w:rPr>
            </w:pPr>
            <w:r w:rsidRPr="004673F4">
              <w:rPr>
                <w:rFonts w:ascii="Calibri" w:eastAsia="Times New Roman" w:hAnsi="Calibri" w:cs="Calibri"/>
                <w:b/>
                <w:color w:val="808080" w:themeColor="background1" w:themeShade="80"/>
                <w:sz w:val="16"/>
                <w:szCs w:val="18"/>
                <w:lang w:eastAsia="de-DE"/>
              </w:rPr>
              <w:t>1849</w:t>
            </w:r>
          </w:p>
        </w:tc>
        <w:tc>
          <w:tcPr>
            <w:tcW w:w="810" w:type="dxa"/>
            <w:shd w:val="clear" w:color="auto" w:fill="auto"/>
            <w:noWrap/>
            <w:vAlign w:val="bottom"/>
            <w:hideMark/>
          </w:tcPr>
          <w:p w:rsidR="006F1051" w:rsidRPr="004673F4" w:rsidRDefault="006F1051" w:rsidP="006F1051">
            <w:pPr>
              <w:spacing w:after="0" w:line="240" w:lineRule="auto"/>
              <w:jc w:val="right"/>
              <w:rPr>
                <w:rFonts w:ascii="Calibri" w:eastAsia="Times New Roman" w:hAnsi="Calibri" w:cs="Calibri"/>
                <w:b/>
                <w:color w:val="002060"/>
                <w:sz w:val="16"/>
                <w:szCs w:val="18"/>
                <w:lang w:eastAsia="de-DE"/>
              </w:rPr>
            </w:pPr>
            <w:r w:rsidRPr="004673F4">
              <w:rPr>
                <w:rFonts w:ascii="Calibri" w:eastAsia="Times New Roman" w:hAnsi="Calibri" w:cs="Calibri"/>
                <w:b/>
                <w:color w:val="002060"/>
                <w:sz w:val="16"/>
                <w:szCs w:val="18"/>
                <w:lang w:eastAsia="de-DE"/>
              </w:rPr>
              <w:t>2157</w:t>
            </w:r>
          </w:p>
        </w:tc>
      </w:tr>
    </w:tbl>
    <w:p w:rsidR="00FA1EEC" w:rsidRPr="006F1051" w:rsidRDefault="00FA1EEC" w:rsidP="006F1051">
      <w:pPr>
        <w:rPr>
          <w:lang w:val="en-US"/>
        </w:rPr>
      </w:pPr>
      <w:r>
        <w:rPr>
          <w:noProof/>
          <w:lang w:eastAsia="de-DE"/>
        </w:rPr>
        <w:drawing>
          <wp:inline distT="0" distB="0" distL="0" distR="0" wp14:anchorId="0A029947" wp14:editId="20BEE1EE">
            <wp:extent cx="5760719" cy="32404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oalCap_hist2025_reg_Neutral.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19" cy="3240405"/>
                    </a:xfrm>
                    <a:prstGeom prst="rect">
                      <a:avLst/>
                    </a:prstGeom>
                  </pic:spPr>
                </pic:pic>
              </a:graphicData>
            </a:graphic>
          </wp:inline>
        </w:drawing>
      </w:r>
      <w:r>
        <w:rPr>
          <w:lang w:val="en-US"/>
        </w:rPr>
        <w:br/>
      </w:r>
      <w:r>
        <w:rPr>
          <w:noProof/>
          <w:lang w:eastAsia="de-DE"/>
        </w:rPr>
        <w:drawing>
          <wp:inline distT="0" distB="0" distL="0" distR="0" wp14:anchorId="55EE3696" wp14:editId="2EB0EB24">
            <wp:extent cx="2387600" cy="2014537"/>
            <wp:effectExtent l="0" t="0" r="0" b="508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oalCap_GLO_hist2025_Neutral.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00704" cy="2025594"/>
                    </a:xfrm>
                    <a:prstGeom prst="rect">
                      <a:avLst/>
                    </a:prstGeom>
                  </pic:spPr>
                </pic:pic>
              </a:graphicData>
            </a:graphic>
          </wp:inline>
        </w:drawing>
      </w:r>
      <w:r w:rsidR="006F1051">
        <w:rPr>
          <w:lang w:val="en-US"/>
        </w:rPr>
        <w:br/>
      </w:r>
      <w:r>
        <w:rPr>
          <w:b/>
          <w:sz w:val="20"/>
          <w:lang w:val="en-US"/>
        </w:rPr>
        <w:t xml:space="preserve">Figure A1. </w:t>
      </w:r>
      <w:r w:rsidRPr="00F81101">
        <w:rPr>
          <w:b/>
          <w:sz w:val="20"/>
          <w:lang w:val="en-US"/>
        </w:rPr>
        <w:t>Historical coal power capacity in GW from 2000-2020</w:t>
      </w:r>
      <w:r>
        <w:rPr>
          <w:b/>
          <w:sz w:val="20"/>
          <w:lang w:val="en-US"/>
        </w:rPr>
        <w:t xml:space="preserve"> and near-term scenarios</w:t>
      </w:r>
      <w:r w:rsidRPr="009336C1">
        <w:rPr>
          <w:b/>
          <w:sz w:val="20"/>
          <w:lang w:val="en-US"/>
        </w:rPr>
        <w:t xml:space="preserve"> </w:t>
      </w:r>
      <w:r>
        <w:rPr>
          <w:b/>
          <w:sz w:val="20"/>
          <w:lang w:val="en-US"/>
        </w:rPr>
        <w:t>extrapolated with varied assumptions</w:t>
      </w:r>
      <w:r>
        <w:rPr>
          <w:sz w:val="20"/>
          <w:lang w:val="en-US"/>
        </w:rPr>
        <w:t xml:space="preserve">, aggregated to REMIND regions and globally. </w:t>
      </w:r>
    </w:p>
    <w:p w:rsidR="0057118E" w:rsidRDefault="0057118E" w:rsidP="0057118E">
      <w:pPr>
        <w:pStyle w:val="Heading3"/>
        <w:rPr>
          <w:lang w:val="en-US"/>
        </w:rPr>
      </w:pPr>
      <w:r>
        <w:rPr>
          <w:lang w:val="en-US"/>
        </w:rPr>
        <w:lastRenderedPageBreak/>
        <w:t>Historical Capacity</w:t>
      </w:r>
    </w:p>
    <w:p w:rsidR="00FA1EEC" w:rsidRPr="00FA1EEC" w:rsidRDefault="0057118E" w:rsidP="0057118E">
      <w:pPr>
        <w:jc w:val="both"/>
        <w:rPr>
          <w:lang w:val="en-US"/>
        </w:rPr>
      </w:pPr>
      <w:r w:rsidRPr="0057118E">
        <w:rPr>
          <w:lang w:val="en-US"/>
        </w:rPr>
        <w:t>Historical values are derived from the GCPT at the country level by working backwards from the January 2021 operating capacity. The GCPT summary statistics track annual capacity additions and retirements from 2000 on. Plants added (retired) in each year were subtracted from (added to) the previous year’s capacity value.</w:t>
      </w:r>
    </w:p>
    <w:p w:rsidR="0057118E" w:rsidRDefault="0057118E" w:rsidP="0057118E">
      <w:pPr>
        <w:jc w:val="both"/>
        <w:rPr>
          <w:lang w:val="en-US"/>
        </w:rPr>
      </w:pPr>
      <w:proofErr w:type="spellStart"/>
      <w:r w:rsidRPr="0057118E">
        <w:rPr>
          <w:lang w:val="en-US"/>
        </w:rPr>
        <w:t>Mothballings</w:t>
      </w:r>
      <w:proofErr w:type="spellEnd"/>
      <w:r w:rsidRPr="0057118E">
        <w:rPr>
          <w:lang w:val="en-US"/>
        </w:rPr>
        <w:t xml:space="preserve"> are only tracked from 2014 on</w:t>
      </w:r>
      <w:r w:rsidR="00A61FC1">
        <w:rPr>
          <w:lang w:val="en-US"/>
        </w:rPr>
        <w:t>ward</w:t>
      </w:r>
      <w:r w:rsidRPr="0057118E">
        <w:rPr>
          <w:lang w:val="en-US"/>
        </w:rPr>
        <w:t>.</w:t>
      </w:r>
      <w:r w:rsidR="00FF746B">
        <w:rPr>
          <w:lang w:val="en-US"/>
        </w:rPr>
        <w:t xml:space="preserve"> S</w:t>
      </w:r>
      <w:r w:rsidRPr="0057118E">
        <w:rPr>
          <w:lang w:val="en-US"/>
        </w:rPr>
        <w:t xml:space="preserve">ince there were no mothballed plants at the end-of-year 2014 according to the GCPT, any currently mothballed plants are added to all years 2000-2014. From 2015-2020, these plants were added to the 2020 value during operating years. Currently operating and retired plants which were mothballed or operating in previous years were subtracted and added accordingly. </w:t>
      </w:r>
    </w:p>
    <w:p w:rsidR="003760FC" w:rsidRDefault="003760FC" w:rsidP="0057118E">
      <w:pPr>
        <w:jc w:val="both"/>
        <w:rPr>
          <w:lang w:val="en-US"/>
        </w:rPr>
      </w:pPr>
    </w:p>
    <w:p w:rsidR="00281B1F" w:rsidRDefault="00281B1F" w:rsidP="00281B1F">
      <w:pPr>
        <w:pStyle w:val="Heading3"/>
        <w:rPr>
          <w:lang w:val="en-US"/>
        </w:rPr>
      </w:pPr>
      <w:r>
        <w:rPr>
          <w:lang w:val="en-US"/>
        </w:rPr>
        <w:t>References</w:t>
      </w:r>
    </w:p>
    <w:p w:rsidR="00281B1F" w:rsidRPr="00317816" w:rsidRDefault="00281B1F" w:rsidP="00317816">
      <w:pPr>
        <w:pStyle w:val="Bibliography"/>
        <w:spacing w:line="276" w:lineRule="auto"/>
        <w:rPr>
          <w:rFonts w:ascii="Calibri" w:hAnsi="Calibri" w:cs="Calibri"/>
          <w:lang w:val="en-US"/>
        </w:rPr>
      </w:pPr>
      <w:r w:rsidRPr="00317816">
        <w:rPr>
          <w:lang w:val="en-US"/>
        </w:rPr>
        <w:fldChar w:fldCharType="begin"/>
      </w:r>
      <w:r w:rsidRPr="00317816">
        <w:rPr>
          <w:lang w:val="en-US"/>
        </w:rPr>
        <w:instrText xml:space="preserve"> ADDIN ZOTERO_BIBL {"uncited":[],"omitted":[],"custom":[]} CSL_BIBLIOGRAPHY </w:instrText>
      </w:r>
      <w:r w:rsidRPr="00317816">
        <w:rPr>
          <w:lang w:val="en-US"/>
        </w:rPr>
        <w:fldChar w:fldCharType="separate"/>
      </w:r>
      <w:r w:rsidRPr="00317816">
        <w:rPr>
          <w:rFonts w:ascii="Calibri" w:hAnsi="Calibri" w:cs="Calibri"/>
          <w:lang w:val="en-US"/>
        </w:rPr>
        <w:t>1.</w:t>
      </w:r>
      <w:r w:rsidRPr="00317816">
        <w:rPr>
          <w:rFonts w:ascii="Calibri" w:hAnsi="Calibri" w:cs="Calibri"/>
          <w:lang w:val="en-US"/>
        </w:rPr>
        <w:tab/>
        <w:t xml:space="preserve">Global Energy Monitor. Global Coal Plant Tracker January 2021. </w:t>
      </w:r>
      <w:r w:rsidRPr="00317816">
        <w:rPr>
          <w:rFonts w:ascii="Calibri" w:hAnsi="Calibri" w:cs="Calibri"/>
          <w:i/>
          <w:iCs/>
          <w:lang w:val="en-US"/>
        </w:rPr>
        <w:t>EndCoal.org</w:t>
      </w:r>
      <w:r w:rsidRPr="00317816">
        <w:rPr>
          <w:rFonts w:ascii="Calibri" w:hAnsi="Calibri" w:cs="Calibri"/>
          <w:lang w:val="en-US"/>
        </w:rPr>
        <w:t xml:space="preserve"> https://endcoal.org/global-coal-plant-tracker/ (2021).</w:t>
      </w:r>
    </w:p>
    <w:p w:rsidR="00281B1F" w:rsidRPr="00317816" w:rsidRDefault="00281B1F" w:rsidP="00317816">
      <w:pPr>
        <w:pStyle w:val="Bibliography"/>
        <w:spacing w:line="276" w:lineRule="auto"/>
        <w:rPr>
          <w:rFonts w:ascii="Calibri" w:hAnsi="Calibri" w:cs="Calibri"/>
          <w:lang w:val="en-US"/>
        </w:rPr>
      </w:pPr>
      <w:r w:rsidRPr="00317816">
        <w:rPr>
          <w:rFonts w:ascii="Calibri" w:hAnsi="Calibri" w:cs="Calibri"/>
          <w:lang w:val="en-US"/>
        </w:rPr>
        <w:t>2.</w:t>
      </w:r>
      <w:r w:rsidRPr="00317816">
        <w:rPr>
          <w:rFonts w:ascii="Calibri" w:hAnsi="Calibri" w:cs="Calibri"/>
          <w:lang w:val="en-US"/>
        </w:rPr>
        <w:tab/>
        <w:t xml:space="preserve">Baumstark, L. </w:t>
      </w:r>
      <w:r w:rsidRPr="00317816">
        <w:rPr>
          <w:rFonts w:ascii="Calibri" w:hAnsi="Calibri" w:cs="Calibri"/>
          <w:i/>
          <w:iCs/>
          <w:lang w:val="en-US"/>
        </w:rPr>
        <w:t>et al.</w:t>
      </w:r>
      <w:r w:rsidRPr="00317816">
        <w:rPr>
          <w:rFonts w:ascii="Calibri" w:hAnsi="Calibri" w:cs="Calibri"/>
          <w:lang w:val="en-US"/>
        </w:rPr>
        <w:t xml:space="preserve"> </w:t>
      </w:r>
      <w:r w:rsidRPr="00317816">
        <w:rPr>
          <w:rFonts w:ascii="Calibri" w:hAnsi="Calibri" w:cs="Calibri"/>
          <w:i/>
          <w:iCs/>
          <w:lang w:val="en-US"/>
        </w:rPr>
        <w:t>mrremind: MadRat REMIND Input Data Library</w:t>
      </w:r>
      <w:r w:rsidRPr="00317816">
        <w:rPr>
          <w:rFonts w:ascii="Calibri" w:hAnsi="Calibri" w:cs="Calibri"/>
          <w:lang w:val="en-US"/>
        </w:rPr>
        <w:t>. (Zenodo, 2020). doi:10.5281/zenodo.4309197.</w:t>
      </w:r>
    </w:p>
    <w:p w:rsidR="00281B1F" w:rsidRPr="00317816" w:rsidRDefault="00281B1F" w:rsidP="00317816">
      <w:pPr>
        <w:pStyle w:val="Bibliography"/>
        <w:spacing w:line="276" w:lineRule="auto"/>
        <w:rPr>
          <w:rFonts w:ascii="Calibri" w:hAnsi="Calibri" w:cs="Calibri"/>
          <w:lang w:val="en-US"/>
        </w:rPr>
      </w:pPr>
      <w:r w:rsidRPr="00317816">
        <w:rPr>
          <w:rFonts w:ascii="Calibri" w:hAnsi="Calibri" w:cs="Calibri"/>
          <w:lang w:val="en-US"/>
        </w:rPr>
        <w:t>3.</w:t>
      </w:r>
      <w:r w:rsidRPr="00317816">
        <w:rPr>
          <w:rFonts w:ascii="Calibri" w:hAnsi="Calibri" w:cs="Calibri"/>
          <w:lang w:val="en-US"/>
        </w:rPr>
        <w:tab/>
        <w:t xml:space="preserve">Dietrich, Jan Philipp </w:t>
      </w:r>
      <w:r w:rsidRPr="00317816">
        <w:rPr>
          <w:rFonts w:ascii="Calibri" w:hAnsi="Calibri" w:cs="Calibri"/>
          <w:i/>
          <w:iCs/>
          <w:lang w:val="en-US"/>
        </w:rPr>
        <w:t>et al.</w:t>
      </w:r>
      <w:r w:rsidRPr="00317816">
        <w:rPr>
          <w:rFonts w:ascii="Calibri" w:hAnsi="Calibri" w:cs="Calibri"/>
          <w:lang w:val="en-US"/>
        </w:rPr>
        <w:t xml:space="preserve"> </w:t>
      </w:r>
      <w:r w:rsidRPr="00317816">
        <w:rPr>
          <w:rFonts w:ascii="Calibri" w:hAnsi="Calibri" w:cs="Calibri"/>
          <w:i/>
          <w:iCs/>
          <w:lang w:val="en-US"/>
        </w:rPr>
        <w:t>magclass: Data Class and Tools for Handling Spatial-Temporal Data</w:t>
      </w:r>
      <w:r w:rsidRPr="00317816">
        <w:rPr>
          <w:rFonts w:ascii="Calibri" w:hAnsi="Calibri" w:cs="Calibri"/>
          <w:lang w:val="en-US"/>
        </w:rPr>
        <w:t>. (Zenodo, 2020). doi:10.5281/ZENODO.1158580.</w:t>
      </w:r>
    </w:p>
    <w:p w:rsidR="00281B1F" w:rsidRPr="00317816" w:rsidRDefault="00281B1F" w:rsidP="00317816">
      <w:pPr>
        <w:pStyle w:val="Bibliography"/>
        <w:spacing w:line="276" w:lineRule="auto"/>
        <w:rPr>
          <w:rFonts w:ascii="Calibri" w:hAnsi="Calibri" w:cs="Calibri"/>
        </w:rPr>
      </w:pPr>
      <w:r w:rsidRPr="00317816">
        <w:rPr>
          <w:rFonts w:ascii="Calibri" w:hAnsi="Calibri" w:cs="Calibri"/>
          <w:lang w:val="en-US"/>
        </w:rPr>
        <w:t>4.</w:t>
      </w:r>
      <w:r w:rsidRPr="00317816">
        <w:rPr>
          <w:rFonts w:ascii="Calibri" w:hAnsi="Calibri" w:cs="Calibri"/>
          <w:lang w:val="en-US"/>
        </w:rPr>
        <w:tab/>
        <w:t xml:space="preserve">Jakob, M. </w:t>
      </w:r>
      <w:r w:rsidRPr="00317816">
        <w:rPr>
          <w:rFonts w:ascii="Calibri" w:hAnsi="Calibri" w:cs="Calibri"/>
          <w:i/>
          <w:iCs/>
          <w:lang w:val="en-US"/>
        </w:rPr>
        <w:t>et al.</w:t>
      </w:r>
      <w:r w:rsidRPr="00317816">
        <w:rPr>
          <w:rFonts w:ascii="Calibri" w:hAnsi="Calibri" w:cs="Calibri"/>
          <w:lang w:val="en-US"/>
        </w:rPr>
        <w:t xml:space="preserve"> The future of coal in a carbon-constrained climate. </w:t>
      </w:r>
      <w:r w:rsidRPr="00317816">
        <w:rPr>
          <w:rFonts w:ascii="Calibri" w:hAnsi="Calibri" w:cs="Calibri"/>
          <w:i/>
          <w:iCs/>
        </w:rPr>
        <w:t>Nat. Clim. Chang.</w:t>
      </w:r>
      <w:r w:rsidRPr="00317816">
        <w:rPr>
          <w:rFonts w:ascii="Calibri" w:hAnsi="Calibri" w:cs="Calibri"/>
        </w:rPr>
        <w:t xml:space="preserve"> </w:t>
      </w:r>
      <w:r w:rsidRPr="00317816">
        <w:rPr>
          <w:rFonts w:ascii="Calibri" w:hAnsi="Calibri" w:cs="Calibri"/>
          <w:b/>
          <w:bCs/>
        </w:rPr>
        <w:t>10</w:t>
      </w:r>
      <w:r w:rsidRPr="00317816">
        <w:rPr>
          <w:rFonts w:ascii="Calibri" w:hAnsi="Calibri" w:cs="Calibri"/>
        </w:rPr>
        <w:t>, 704–707 (2020).</w:t>
      </w:r>
    </w:p>
    <w:p w:rsidR="00A61FC1" w:rsidRPr="00A61FC1" w:rsidRDefault="00281B1F" w:rsidP="00317816">
      <w:pPr>
        <w:spacing w:line="276" w:lineRule="auto"/>
        <w:jc w:val="both"/>
        <w:rPr>
          <w:sz w:val="20"/>
          <w:lang w:val="en-US"/>
        </w:rPr>
      </w:pPr>
      <w:r w:rsidRPr="00317816">
        <w:rPr>
          <w:lang w:val="en-US"/>
        </w:rPr>
        <w:fldChar w:fldCharType="end"/>
      </w:r>
    </w:p>
    <w:sectPr w:rsidR="00A61FC1" w:rsidRPr="00A61FC1" w:rsidSect="00F81101">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15E1" w:rsidRDefault="003D15E1" w:rsidP="00C46969">
      <w:pPr>
        <w:spacing w:after="0" w:line="240" w:lineRule="auto"/>
      </w:pPr>
      <w:r>
        <w:separator/>
      </w:r>
    </w:p>
  </w:endnote>
  <w:endnote w:type="continuationSeparator" w:id="0">
    <w:p w:rsidR="003D15E1" w:rsidRDefault="003D15E1" w:rsidP="00C46969">
      <w:pPr>
        <w:spacing w:after="0" w:line="240" w:lineRule="auto"/>
      </w:pPr>
      <w:r>
        <w:continuationSeparator/>
      </w:r>
    </w:p>
  </w:endnote>
  <w:endnote w:id="1">
    <w:p w:rsidR="00694E70" w:rsidRPr="00694E70" w:rsidRDefault="00694E70">
      <w:pPr>
        <w:pStyle w:val="EndnoteText"/>
        <w:rPr>
          <w:lang w:val="en-US"/>
        </w:rPr>
      </w:pPr>
      <w:r>
        <w:rPr>
          <w:rStyle w:val="EndnoteReference"/>
        </w:rPr>
        <w:endnoteRef/>
      </w:r>
      <w:r w:rsidRPr="00694E70">
        <w:rPr>
          <w:lang w:val="en-US"/>
        </w:rPr>
        <w:t xml:space="preserve"> </w:t>
      </w:r>
      <w:r>
        <w:rPr>
          <w:lang w:val="en-US"/>
        </w:rPr>
        <w:t>The 2025 time-step in REMIND is a 5-year period representing the average of years 2023-2027.</w:t>
      </w:r>
    </w:p>
  </w:endnote>
  <w:endnote w:id="2">
    <w:p w:rsidR="008617C1" w:rsidRPr="008617C1" w:rsidRDefault="008617C1">
      <w:pPr>
        <w:pStyle w:val="EndnoteText"/>
        <w:rPr>
          <w:lang w:val="en-US"/>
        </w:rPr>
      </w:pPr>
      <w:r>
        <w:rPr>
          <w:rStyle w:val="EndnoteReference"/>
        </w:rPr>
        <w:endnoteRef/>
      </w:r>
      <w:r w:rsidRPr="008617C1">
        <w:rPr>
          <w:lang w:val="en-US"/>
        </w:rPr>
        <w:t xml:space="preserve"> </w:t>
      </w:r>
      <w:r>
        <w:rPr>
          <w:lang w:val="en-US"/>
        </w:rPr>
        <w:t>Data on the fate of mothballed plants is too scarce and uncertain to derive historical rates.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15E1" w:rsidRDefault="003D15E1" w:rsidP="00C46969">
      <w:pPr>
        <w:spacing w:after="0" w:line="240" w:lineRule="auto"/>
      </w:pPr>
      <w:r>
        <w:separator/>
      </w:r>
    </w:p>
  </w:footnote>
  <w:footnote w:type="continuationSeparator" w:id="0">
    <w:p w:rsidR="003D15E1" w:rsidRDefault="003D15E1" w:rsidP="00C4696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C067E9"/>
    <w:multiLevelType w:val="hybridMultilevel"/>
    <w:tmpl w:val="465228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969"/>
    <w:rsid w:val="00013A4E"/>
    <w:rsid w:val="0002065F"/>
    <w:rsid w:val="000C52BA"/>
    <w:rsid w:val="000F0354"/>
    <w:rsid w:val="00155B0C"/>
    <w:rsid w:val="001E45E9"/>
    <w:rsid w:val="00212057"/>
    <w:rsid w:val="00255E24"/>
    <w:rsid w:val="00261B3F"/>
    <w:rsid w:val="00281B1F"/>
    <w:rsid w:val="002937B5"/>
    <w:rsid w:val="002C5453"/>
    <w:rsid w:val="00300F4C"/>
    <w:rsid w:val="00317816"/>
    <w:rsid w:val="00356BC5"/>
    <w:rsid w:val="003760FC"/>
    <w:rsid w:val="00384071"/>
    <w:rsid w:val="003D15E1"/>
    <w:rsid w:val="003D4EFC"/>
    <w:rsid w:val="003E1C64"/>
    <w:rsid w:val="004673F4"/>
    <w:rsid w:val="004B545F"/>
    <w:rsid w:val="00510245"/>
    <w:rsid w:val="00541175"/>
    <w:rsid w:val="005419F6"/>
    <w:rsid w:val="0056419F"/>
    <w:rsid w:val="0057118E"/>
    <w:rsid w:val="00590ECC"/>
    <w:rsid w:val="005A6DAA"/>
    <w:rsid w:val="005F7DE3"/>
    <w:rsid w:val="00604A83"/>
    <w:rsid w:val="006167A1"/>
    <w:rsid w:val="006538DB"/>
    <w:rsid w:val="00661E57"/>
    <w:rsid w:val="006708EE"/>
    <w:rsid w:val="006779FE"/>
    <w:rsid w:val="00682F42"/>
    <w:rsid w:val="00694E70"/>
    <w:rsid w:val="006F1051"/>
    <w:rsid w:val="0070281C"/>
    <w:rsid w:val="00711DB6"/>
    <w:rsid w:val="00714A76"/>
    <w:rsid w:val="00783A9C"/>
    <w:rsid w:val="00807A91"/>
    <w:rsid w:val="00810CDA"/>
    <w:rsid w:val="008617C1"/>
    <w:rsid w:val="00864929"/>
    <w:rsid w:val="00883553"/>
    <w:rsid w:val="008C7A6A"/>
    <w:rsid w:val="0092163D"/>
    <w:rsid w:val="009336C1"/>
    <w:rsid w:val="00A06627"/>
    <w:rsid w:val="00A2544C"/>
    <w:rsid w:val="00A61FC1"/>
    <w:rsid w:val="00A77B0A"/>
    <w:rsid w:val="00BA7ABB"/>
    <w:rsid w:val="00BC7220"/>
    <w:rsid w:val="00C46969"/>
    <w:rsid w:val="00C9339B"/>
    <w:rsid w:val="00CC2EA2"/>
    <w:rsid w:val="00D31972"/>
    <w:rsid w:val="00DB65A3"/>
    <w:rsid w:val="00DB6B47"/>
    <w:rsid w:val="00DF2552"/>
    <w:rsid w:val="00F07FD8"/>
    <w:rsid w:val="00F21BBC"/>
    <w:rsid w:val="00F378A0"/>
    <w:rsid w:val="00F81101"/>
    <w:rsid w:val="00F84701"/>
    <w:rsid w:val="00FA1EEC"/>
    <w:rsid w:val="00FE487F"/>
    <w:rsid w:val="00FF74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A96BF2-8D62-48EC-AAD8-FA7BF047C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6969"/>
  </w:style>
  <w:style w:type="paragraph" w:styleId="Heading1">
    <w:name w:val="heading 1"/>
    <w:basedOn w:val="Normal"/>
    <w:next w:val="Normal"/>
    <w:link w:val="Heading1Char"/>
    <w:uiPriority w:val="9"/>
    <w:qFormat/>
    <w:rsid w:val="00C4696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4696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C4696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DB65A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696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C46969"/>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C46969"/>
    <w:rPr>
      <w:rFonts w:asciiTheme="majorHAnsi" w:eastAsiaTheme="majorEastAsia" w:hAnsiTheme="majorHAnsi" w:cstheme="majorBidi"/>
      <w:color w:val="1F4D78" w:themeColor="accent1" w:themeShade="7F"/>
      <w:sz w:val="24"/>
      <w:szCs w:val="24"/>
    </w:rPr>
  </w:style>
  <w:style w:type="character" w:styleId="Hyperlink">
    <w:name w:val="Hyperlink"/>
    <w:basedOn w:val="DefaultParagraphFont"/>
    <w:uiPriority w:val="99"/>
    <w:unhideWhenUsed/>
    <w:rsid w:val="00C46969"/>
    <w:rPr>
      <w:color w:val="0563C1" w:themeColor="hyperlink"/>
      <w:u w:val="single"/>
    </w:rPr>
  </w:style>
  <w:style w:type="paragraph" w:styleId="BodyText">
    <w:name w:val="Body Text"/>
    <w:basedOn w:val="Normal"/>
    <w:link w:val="BodyTextChar"/>
    <w:qFormat/>
    <w:rsid w:val="00C46969"/>
    <w:pPr>
      <w:spacing w:before="180" w:after="180" w:line="240" w:lineRule="auto"/>
    </w:pPr>
    <w:rPr>
      <w:sz w:val="24"/>
      <w:szCs w:val="24"/>
      <w:lang w:val="en-US"/>
    </w:rPr>
  </w:style>
  <w:style w:type="character" w:customStyle="1" w:styleId="BodyTextChar">
    <w:name w:val="Body Text Char"/>
    <w:basedOn w:val="DefaultParagraphFont"/>
    <w:link w:val="BodyText"/>
    <w:rsid w:val="00C46969"/>
    <w:rPr>
      <w:sz w:val="24"/>
      <w:szCs w:val="24"/>
      <w:lang w:val="en-US"/>
    </w:rPr>
  </w:style>
  <w:style w:type="paragraph" w:customStyle="1" w:styleId="FirstParagraph">
    <w:name w:val="First Paragraph"/>
    <w:basedOn w:val="BodyText"/>
    <w:next w:val="BodyText"/>
    <w:qFormat/>
    <w:rsid w:val="00C46969"/>
  </w:style>
  <w:style w:type="paragraph" w:styleId="ListParagraph">
    <w:name w:val="List Paragraph"/>
    <w:basedOn w:val="Normal"/>
    <w:uiPriority w:val="34"/>
    <w:qFormat/>
    <w:rsid w:val="00C46969"/>
    <w:pPr>
      <w:ind w:left="720"/>
      <w:contextualSpacing/>
    </w:pPr>
  </w:style>
  <w:style w:type="paragraph" w:styleId="FootnoteText">
    <w:name w:val="footnote text"/>
    <w:basedOn w:val="Normal"/>
    <w:link w:val="FootnoteTextChar"/>
    <w:uiPriority w:val="99"/>
    <w:semiHidden/>
    <w:unhideWhenUsed/>
    <w:rsid w:val="00C4696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46969"/>
    <w:rPr>
      <w:sz w:val="20"/>
      <w:szCs w:val="20"/>
    </w:rPr>
  </w:style>
  <w:style w:type="character" w:styleId="FootnoteReference">
    <w:name w:val="footnote reference"/>
    <w:basedOn w:val="DefaultParagraphFont"/>
    <w:uiPriority w:val="99"/>
    <w:semiHidden/>
    <w:unhideWhenUsed/>
    <w:rsid w:val="00C46969"/>
    <w:rPr>
      <w:vertAlign w:val="superscript"/>
    </w:rPr>
  </w:style>
  <w:style w:type="character" w:customStyle="1" w:styleId="Heading4Char">
    <w:name w:val="Heading 4 Char"/>
    <w:basedOn w:val="DefaultParagraphFont"/>
    <w:link w:val="Heading4"/>
    <w:uiPriority w:val="9"/>
    <w:rsid w:val="00DB65A3"/>
    <w:rPr>
      <w:rFonts w:asciiTheme="majorHAnsi" w:eastAsiaTheme="majorEastAsia" w:hAnsiTheme="majorHAnsi" w:cstheme="majorBidi"/>
      <w:i/>
      <w:iCs/>
      <w:color w:val="2E74B5" w:themeColor="accent1" w:themeShade="BF"/>
    </w:rPr>
  </w:style>
  <w:style w:type="character" w:styleId="FollowedHyperlink">
    <w:name w:val="FollowedHyperlink"/>
    <w:basedOn w:val="DefaultParagraphFont"/>
    <w:uiPriority w:val="99"/>
    <w:semiHidden/>
    <w:unhideWhenUsed/>
    <w:rsid w:val="00714A76"/>
    <w:rPr>
      <w:color w:val="954F72"/>
      <w:u w:val="single"/>
    </w:rPr>
  </w:style>
  <w:style w:type="table" w:styleId="TableGrid">
    <w:name w:val="Table Grid"/>
    <w:basedOn w:val="TableNormal"/>
    <w:uiPriority w:val="39"/>
    <w:rsid w:val="00714A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028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281C"/>
    <w:rPr>
      <w:rFonts w:ascii="Segoe UI" w:hAnsi="Segoe UI" w:cs="Segoe UI"/>
      <w:sz w:val="18"/>
      <w:szCs w:val="18"/>
    </w:rPr>
  </w:style>
  <w:style w:type="character" w:styleId="LineNumber">
    <w:name w:val="line number"/>
    <w:basedOn w:val="DefaultParagraphFont"/>
    <w:uiPriority w:val="99"/>
    <w:semiHidden/>
    <w:unhideWhenUsed/>
    <w:rsid w:val="00F81101"/>
  </w:style>
  <w:style w:type="paragraph" w:styleId="EndnoteText">
    <w:name w:val="endnote text"/>
    <w:basedOn w:val="Normal"/>
    <w:link w:val="EndnoteTextChar"/>
    <w:uiPriority w:val="99"/>
    <w:semiHidden/>
    <w:unhideWhenUsed/>
    <w:rsid w:val="00694E7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94E70"/>
    <w:rPr>
      <w:sz w:val="20"/>
      <w:szCs w:val="20"/>
    </w:rPr>
  </w:style>
  <w:style w:type="character" w:styleId="EndnoteReference">
    <w:name w:val="endnote reference"/>
    <w:basedOn w:val="DefaultParagraphFont"/>
    <w:uiPriority w:val="99"/>
    <w:semiHidden/>
    <w:unhideWhenUsed/>
    <w:rsid w:val="00694E70"/>
    <w:rPr>
      <w:vertAlign w:val="superscript"/>
    </w:rPr>
  </w:style>
  <w:style w:type="paragraph" w:styleId="Bibliography">
    <w:name w:val="Bibliography"/>
    <w:basedOn w:val="Normal"/>
    <w:next w:val="Normal"/>
    <w:uiPriority w:val="37"/>
    <w:unhideWhenUsed/>
    <w:rsid w:val="00281B1F"/>
    <w:pPr>
      <w:tabs>
        <w:tab w:val="left" w:pos="264"/>
      </w:tabs>
      <w:spacing w:after="0"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006436">
      <w:bodyDiv w:val="1"/>
      <w:marLeft w:val="0"/>
      <w:marRight w:val="0"/>
      <w:marTop w:val="0"/>
      <w:marBottom w:val="0"/>
      <w:divBdr>
        <w:top w:val="none" w:sz="0" w:space="0" w:color="auto"/>
        <w:left w:val="none" w:sz="0" w:space="0" w:color="auto"/>
        <w:bottom w:val="none" w:sz="0" w:space="0" w:color="auto"/>
        <w:right w:val="none" w:sz="0" w:space="0" w:color="auto"/>
      </w:divBdr>
    </w:div>
    <w:div w:id="280262142">
      <w:bodyDiv w:val="1"/>
      <w:marLeft w:val="0"/>
      <w:marRight w:val="0"/>
      <w:marTop w:val="0"/>
      <w:marBottom w:val="0"/>
      <w:divBdr>
        <w:top w:val="none" w:sz="0" w:space="0" w:color="auto"/>
        <w:left w:val="none" w:sz="0" w:space="0" w:color="auto"/>
        <w:bottom w:val="none" w:sz="0" w:space="0" w:color="auto"/>
        <w:right w:val="none" w:sz="0" w:space="0" w:color="auto"/>
      </w:divBdr>
    </w:div>
    <w:div w:id="327489939">
      <w:bodyDiv w:val="1"/>
      <w:marLeft w:val="0"/>
      <w:marRight w:val="0"/>
      <w:marTop w:val="0"/>
      <w:marBottom w:val="0"/>
      <w:divBdr>
        <w:top w:val="none" w:sz="0" w:space="0" w:color="auto"/>
        <w:left w:val="none" w:sz="0" w:space="0" w:color="auto"/>
        <w:bottom w:val="none" w:sz="0" w:space="0" w:color="auto"/>
        <w:right w:val="none" w:sz="0" w:space="0" w:color="auto"/>
      </w:divBdr>
    </w:div>
    <w:div w:id="639191319">
      <w:bodyDiv w:val="1"/>
      <w:marLeft w:val="0"/>
      <w:marRight w:val="0"/>
      <w:marTop w:val="0"/>
      <w:marBottom w:val="0"/>
      <w:divBdr>
        <w:top w:val="none" w:sz="0" w:space="0" w:color="auto"/>
        <w:left w:val="none" w:sz="0" w:space="0" w:color="auto"/>
        <w:bottom w:val="none" w:sz="0" w:space="0" w:color="auto"/>
        <w:right w:val="none" w:sz="0" w:space="0" w:color="auto"/>
      </w:divBdr>
    </w:div>
    <w:div w:id="1117867337">
      <w:bodyDiv w:val="1"/>
      <w:marLeft w:val="0"/>
      <w:marRight w:val="0"/>
      <w:marTop w:val="0"/>
      <w:marBottom w:val="0"/>
      <w:divBdr>
        <w:top w:val="none" w:sz="0" w:space="0" w:color="auto"/>
        <w:left w:val="none" w:sz="0" w:space="0" w:color="auto"/>
        <w:bottom w:val="none" w:sz="0" w:space="0" w:color="auto"/>
        <w:right w:val="none" w:sz="0" w:space="0" w:color="auto"/>
      </w:divBdr>
    </w:div>
    <w:div w:id="1256090716">
      <w:bodyDiv w:val="1"/>
      <w:marLeft w:val="0"/>
      <w:marRight w:val="0"/>
      <w:marTop w:val="0"/>
      <w:marBottom w:val="0"/>
      <w:divBdr>
        <w:top w:val="none" w:sz="0" w:space="0" w:color="auto"/>
        <w:left w:val="none" w:sz="0" w:space="0" w:color="auto"/>
        <w:bottom w:val="none" w:sz="0" w:space="0" w:color="auto"/>
        <w:right w:val="none" w:sz="0" w:space="0" w:color="auto"/>
      </w:divBdr>
    </w:div>
    <w:div w:id="1381595473">
      <w:bodyDiv w:val="1"/>
      <w:marLeft w:val="0"/>
      <w:marRight w:val="0"/>
      <w:marTop w:val="0"/>
      <w:marBottom w:val="0"/>
      <w:divBdr>
        <w:top w:val="none" w:sz="0" w:space="0" w:color="auto"/>
        <w:left w:val="none" w:sz="0" w:space="0" w:color="auto"/>
        <w:bottom w:val="none" w:sz="0" w:space="0" w:color="auto"/>
        <w:right w:val="none" w:sz="0" w:space="0" w:color="auto"/>
      </w:divBdr>
    </w:div>
    <w:div w:id="1727410053">
      <w:bodyDiv w:val="1"/>
      <w:marLeft w:val="0"/>
      <w:marRight w:val="0"/>
      <w:marTop w:val="0"/>
      <w:marBottom w:val="0"/>
      <w:divBdr>
        <w:top w:val="none" w:sz="0" w:space="0" w:color="auto"/>
        <w:left w:val="none" w:sz="0" w:space="0" w:color="auto"/>
        <w:bottom w:val="none" w:sz="0" w:space="0" w:color="auto"/>
        <w:right w:val="none" w:sz="0" w:space="0" w:color="auto"/>
      </w:divBdr>
    </w:div>
    <w:div w:id="1916549762">
      <w:bodyDiv w:val="1"/>
      <w:marLeft w:val="0"/>
      <w:marRight w:val="0"/>
      <w:marTop w:val="0"/>
      <w:marBottom w:val="0"/>
      <w:divBdr>
        <w:top w:val="none" w:sz="0" w:space="0" w:color="auto"/>
        <w:left w:val="none" w:sz="0" w:space="0" w:color="auto"/>
        <w:bottom w:val="none" w:sz="0" w:space="0" w:color="auto"/>
        <w:right w:val="none" w:sz="0" w:space="0" w:color="auto"/>
      </w:divBdr>
    </w:div>
    <w:div w:id="1954242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dcoal.org/global-coal-plant-tracker/summary-statistics/" TargetMode="Externa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ithub.com/pik-piam/magclas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github.com/pik-piam/mrremind" TargetMode="External"/><Relationship Id="rId4" Type="http://schemas.openxmlformats.org/officeDocument/2006/relationships/settings" Target="settings.xml"/><Relationship Id="rId9" Type="http://schemas.openxmlformats.org/officeDocument/2006/relationships/hyperlink" Target="https://github.com/pik-piam/mrremind/blob/master/R/readGCPT2020_extra.R"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7E4C95-C951-43C8-BC7B-38F4E3336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2623</Words>
  <Characters>16190</Characters>
  <Application>Microsoft Office Word</Application>
  <DocSecurity>0</DocSecurity>
  <Lines>344</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Bi</dc:creator>
  <cp:keywords/>
  <dc:description/>
  <cp:lastModifiedBy>Steve Bi</cp:lastModifiedBy>
  <cp:revision>2</cp:revision>
  <dcterms:created xsi:type="dcterms:W3CDTF">2021-08-18T13:01:00Z</dcterms:created>
  <dcterms:modified xsi:type="dcterms:W3CDTF">2021-08-18T13:01:00Z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id="thtErisL"/&gt;&lt;style id="http://www.zotero.org/styles/nature" hasBibliography="1" bibliographyStyleHasBeenSet="1"/&gt;&lt;prefs&gt;&lt;pref name="fieldType" value="Field"/&gt;&lt;/prefs&gt;&lt;/data&gt;</vt:lpwstr>
  </property>
</Properties>
</file>