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007A" w14:textId="77777777" w:rsidR="00805FA0" w:rsidRPr="0063226C" w:rsidRDefault="00805FA0" w:rsidP="00805FA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63226C">
        <w:rPr>
          <w:rFonts w:ascii="Arial" w:hAnsi="Arial" w:cs="Arial"/>
          <w:b/>
          <w:bCs/>
          <w:sz w:val="24"/>
          <w:szCs w:val="24"/>
          <w:lang w:val="en-US"/>
        </w:rPr>
        <w:t>Table 1. Anesthetic Protocols</w:t>
      </w:r>
    </w:p>
    <w:p w14:paraId="02A95AD0" w14:textId="77777777" w:rsidR="00854D3E" w:rsidRDefault="00854D3E" w:rsidP="00805FA0"/>
    <w:tbl>
      <w:tblPr>
        <w:tblStyle w:val="TabelacomGrelha"/>
        <w:tblpPr w:leftFromText="141" w:rightFromText="141" w:vertAnchor="text" w:horzAnchor="margin" w:tblpXSpec="center" w:tblpY="5"/>
        <w:tblW w:w="10915" w:type="dxa"/>
        <w:tblLook w:val="04A0" w:firstRow="1" w:lastRow="0" w:firstColumn="1" w:lastColumn="0" w:noHBand="0" w:noVBand="1"/>
      </w:tblPr>
      <w:tblGrid>
        <w:gridCol w:w="5386"/>
        <w:gridCol w:w="5529"/>
      </w:tblGrid>
      <w:tr w:rsidR="00D441C6" w:rsidRPr="00A662F5" w14:paraId="469DB485" w14:textId="77777777" w:rsidTr="004439A9">
        <w:tc>
          <w:tcPr>
            <w:tcW w:w="5386" w:type="dxa"/>
          </w:tcPr>
          <w:p w14:paraId="1EE0A50B" w14:textId="77777777" w:rsidR="00D441C6" w:rsidRPr="00772A6A" w:rsidRDefault="00D441C6" w:rsidP="004439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OBA </w:t>
            </w:r>
            <w:proofErr w:type="spellStart"/>
            <w:r w:rsidRPr="00772A6A"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5529" w:type="dxa"/>
          </w:tcPr>
          <w:p w14:paraId="2B285DA8" w14:textId="77777777" w:rsidR="00D441C6" w:rsidRPr="00772A6A" w:rsidRDefault="00D441C6" w:rsidP="004439A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OFA </w:t>
            </w:r>
            <w:proofErr w:type="spellStart"/>
            <w:r w:rsidRPr="00772A6A">
              <w:rPr>
                <w:rFonts w:ascii="Arial" w:hAnsi="Arial" w:cs="Arial"/>
                <w:b/>
                <w:bCs/>
                <w:sz w:val="20"/>
                <w:szCs w:val="20"/>
              </w:rPr>
              <w:t>group</w:t>
            </w:r>
            <w:proofErr w:type="spellEnd"/>
          </w:p>
        </w:tc>
      </w:tr>
      <w:tr w:rsidR="00D441C6" w:rsidRPr="00D8162F" w14:paraId="768F9F4D" w14:textId="77777777" w:rsidTr="004439A9">
        <w:tc>
          <w:tcPr>
            <w:tcW w:w="5386" w:type="dxa"/>
          </w:tcPr>
          <w:p w14:paraId="2B233EE4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Standard monitoring + BIS + TOF + NOL</w:t>
            </w:r>
          </w:p>
          <w:p w14:paraId="02306BE0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Venous catheterization and initiation of goal-directed fluid therapy with balanced crystalloid</w:t>
            </w:r>
          </w:p>
          <w:p w14:paraId="16A728F3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Start of remifentanil infusion (2 mg / 40 mL saline)</w:t>
            </w:r>
          </w:p>
          <w:p w14:paraId="25DAAB14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Induction with propofol</w:t>
            </w:r>
          </w:p>
          <w:p w14:paraId="50E1DC9B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Neuromuscular blockade with rocuronium</w:t>
            </w:r>
          </w:p>
          <w:p w14:paraId="03D904F2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 xml:space="preserve">Maintenance with </w:t>
            </w:r>
            <w:proofErr w:type="gramStart"/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desflurane</w:t>
            </w:r>
            <w:proofErr w:type="gramEnd"/>
          </w:p>
          <w:p w14:paraId="379F7B33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PONV prophylaxis with dexamethasone 4–8 mg after induction</w:t>
            </w:r>
          </w:p>
          <w:p w14:paraId="7C4631B5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Antibiotic prophylaxis with cefazolin 2–4 g</w:t>
            </w:r>
          </w:p>
          <w:p w14:paraId="2BEDF952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Stress-ulcer prophylaxis with esomeprazole 40 mg</w:t>
            </w:r>
          </w:p>
          <w:p w14:paraId="63828F56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2A6A">
              <w:rPr>
                <w:rFonts w:ascii="Arial" w:hAnsi="Arial" w:cs="Arial"/>
                <w:sz w:val="18"/>
                <w:szCs w:val="18"/>
              </w:rPr>
              <w:t>Postoperative</w:t>
            </w:r>
            <w:proofErr w:type="spellEnd"/>
            <w:r w:rsidRPr="00772A6A">
              <w:rPr>
                <w:rFonts w:ascii="Arial" w:hAnsi="Arial" w:cs="Arial"/>
                <w:sz w:val="18"/>
                <w:szCs w:val="18"/>
              </w:rPr>
              <w:t xml:space="preserve"> analgesia: paracetamol + </w:t>
            </w:r>
            <w:proofErr w:type="spellStart"/>
            <w:r w:rsidRPr="00772A6A">
              <w:rPr>
                <w:rFonts w:ascii="Arial" w:hAnsi="Arial" w:cs="Arial"/>
                <w:sz w:val="18"/>
                <w:szCs w:val="18"/>
              </w:rPr>
              <w:t>ketorolac</w:t>
            </w:r>
            <w:proofErr w:type="spellEnd"/>
            <w:r w:rsidRPr="00772A6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772A6A">
              <w:rPr>
                <w:rFonts w:ascii="Arial" w:hAnsi="Arial" w:cs="Arial"/>
                <w:sz w:val="18"/>
                <w:szCs w:val="18"/>
              </w:rPr>
              <w:t>parecoxib</w:t>
            </w:r>
            <w:proofErr w:type="spellEnd"/>
            <w:r w:rsidRPr="00772A6A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772A6A">
              <w:rPr>
                <w:rFonts w:ascii="Arial" w:hAnsi="Arial" w:cs="Arial"/>
                <w:sz w:val="18"/>
                <w:szCs w:val="18"/>
              </w:rPr>
              <w:t>metamizole</w:t>
            </w:r>
            <w:proofErr w:type="spellEnd"/>
          </w:p>
          <w:p w14:paraId="22C1BA33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 xml:space="preserve">Administration of ondansetron 4 mg and </w:t>
            </w:r>
            <w:proofErr w:type="spellStart"/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droperidol</w:t>
            </w:r>
            <w:proofErr w:type="spellEnd"/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 xml:space="preserve"> 0.625 mg 30 minutes before the end of surgery</w:t>
            </w:r>
          </w:p>
          <w:p w14:paraId="7D10F5D7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Termination of remifentanil infusion at the end of surgery</w:t>
            </w:r>
          </w:p>
          <w:p w14:paraId="0EB4259B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 xml:space="preserve">Reversal of neuromuscular blockade with </w:t>
            </w:r>
            <w:proofErr w:type="spellStart"/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sugammadex</w:t>
            </w:r>
            <w:proofErr w:type="spellEnd"/>
          </w:p>
          <w:p w14:paraId="30135F63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Rescue analgesia in PACU with tramadol 100 mg and/or morphine</w:t>
            </w:r>
          </w:p>
          <w:p w14:paraId="723F15A7" w14:textId="77777777" w:rsidR="00D441C6" w:rsidRPr="00772A6A" w:rsidRDefault="00D441C6" w:rsidP="004439A9">
            <w:pPr>
              <w:spacing w:line="276" w:lineRule="auto"/>
              <w:ind w:left="29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PONV treatment in PACU with ondansetron 4 mg</w:t>
            </w:r>
          </w:p>
          <w:p w14:paraId="792EACD0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529" w:type="dxa"/>
          </w:tcPr>
          <w:p w14:paraId="0EA89F3A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Standard monitoring + BIS + TOF + NOL</w:t>
            </w:r>
          </w:p>
          <w:p w14:paraId="75F12AB1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Venous catheterization and initiation of goal-directed fluid therapy with balanced crystalloid</w:t>
            </w:r>
          </w:p>
          <w:p w14:paraId="3FFFB21A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Bolus of dexmedetomidine 15–20 µg followed by infusion: dexmedetomidine 50 µg + ketamine 50 mg + lidocaine 500 mg in 50 mL saline (rate: 1 mL / 10 kg total body weight)</w:t>
            </w:r>
          </w:p>
          <w:p w14:paraId="4F605534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Induction with propofol</w:t>
            </w:r>
          </w:p>
          <w:p w14:paraId="3DB189DA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Neuromuscular blockade with rocuronium</w:t>
            </w:r>
          </w:p>
          <w:p w14:paraId="5F02417E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 xml:space="preserve">Maintenance with </w:t>
            </w:r>
            <w:proofErr w:type="gramStart"/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desflurane</w:t>
            </w:r>
            <w:proofErr w:type="gramEnd"/>
          </w:p>
          <w:p w14:paraId="74975BAE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PONV prophylaxis with dexamethasone 4–8 mg after induction</w:t>
            </w:r>
          </w:p>
          <w:p w14:paraId="6DA52B67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Antibiotic prophylaxis with cefazolin 2–4 g</w:t>
            </w:r>
          </w:p>
          <w:p w14:paraId="747EFEBC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Stress-ulcer prophylaxis with esomeprazole 40 mg</w:t>
            </w:r>
          </w:p>
          <w:p w14:paraId="46FF56ED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72A6A">
              <w:rPr>
                <w:rFonts w:ascii="Arial" w:hAnsi="Arial" w:cs="Arial"/>
                <w:sz w:val="18"/>
                <w:szCs w:val="18"/>
              </w:rPr>
              <w:t>Postoperative</w:t>
            </w:r>
            <w:proofErr w:type="spellEnd"/>
            <w:r w:rsidRPr="00772A6A">
              <w:rPr>
                <w:rFonts w:ascii="Arial" w:hAnsi="Arial" w:cs="Arial"/>
                <w:sz w:val="18"/>
                <w:szCs w:val="18"/>
              </w:rPr>
              <w:t xml:space="preserve"> analgesia: paracetamol + </w:t>
            </w:r>
            <w:proofErr w:type="spellStart"/>
            <w:r w:rsidRPr="00772A6A">
              <w:rPr>
                <w:rFonts w:ascii="Arial" w:hAnsi="Arial" w:cs="Arial"/>
                <w:sz w:val="18"/>
                <w:szCs w:val="18"/>
              </w:rPr>
              <w:t>ketorolac</w:t>
            </w:r>
            <w:proofErr w:type="spellEnd"/>
            <w:r w:rsidRPr="00772A6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772A6A">
              <w:rPr>
                <w:rFonts w:ascii="Arial" w:hAnsi="Arial" w:cs="Arial"/>
                <w:sz w:val="18"/>
                <w:szCs w:val="18"/>
              </w:rPr>
              <w:t>parecoxib</w:t>
            </w:r>
            <w:proofErr w:type="spellEnd"/>
            <w:r w:rsidRPr="00772A6A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772A6A">
              <w:rPr>
                <w:rFonts w:ascii="Arial" w:hAnsi="Arial" w:cs="Arial"/>
                <w:sz w:val="18"/>
                <w:szCs w:val="18"/>
              </w:rPr>
              <w:t>metamizole</w:t>
            </w:r>
            <w:proofErr w:type="spellEnd"/>
          </w:p>
          <w:p w14:paraId="4CB699D7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Infusion rate reduced by half 30 minutes before the end of surgery (continued for 1 hour in PACU, until completion or discharge)</w:t>
            </w:r>
          </w:p>
          <w:p w14:paraId="14389B7C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 xml:space="preserve">Reversal of neuromuscular blockade with </w:t>
            </w:r>
            <w:proofErr w:type="spellStart"/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sugammadex</w:t>
            </w:r>
            <w:proofErr w:type="spellEnd"/>
          </w:p>
          <w:p w14:paraId="5AB1975F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Rescue analgesia in PACU with tramadol 100 mg</w:t>
            </w:r>
          </w:p>
          <w:p w14:paraId="6A09019C" w14:textId="77777777" w:rsidR="00D441C6" w:rsidRPr="00772A6A" w:rsidRDefault="00D441C6" w:rsidP="004439A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72A6A">
              <w:rPr>
                <w:rFonts w:ascii="Arial" w:hAnsi="Arial" w:cs="Arial"/>
                <w:sz w:val="18"/>
                <w:szCs w:val="18"/>
                <w:lang w:val="en-US"/>
              </w:rPr>
              <w:t>PONV treatment in PACU with ondansetron 4 mg</w:t>
            </w:r>
          </w:p>
        </w:tc>
      </w:tr>
    </w:tbl>
    <w:p w14:paraId="7D6821AB" w14:textId="77777777" w:rsidR="00D441C6" w:rsidRDefault="00D441C6" w:rsidP="00805FA0">
      <w:pPr>
        <w:rPr>
          <w:lang w:val="en-US"/>
        </w:rPr>
      </w:pPr>
    </w:p>
    <w:p w14:paraId="16FE530C" w14:textId="77777777" w:rsidR="00D441C6" w:rsidRDefault="00D441C6" w:rsidP="00805FA0">
      <w:pPr>
        <w:rPr>
          <w:lang w:val="en-US"/>
        </w:rPr>
      </w:pPr>
    </w:p>
    <w:p w14:paraId="5407B400" w14:textId="77777777" w:rsidR="00D441C6" w:rsidRDefault="00D441C6" w:rsidP="00805FA0">
      <w:pPr>
        <w:rPr>
          <w:lang w:val="en-US"/>
        </w:rPr>
      </w:pPr>
    </w:p>
    <w:p w14:paraId="4DC769B9" w14:textId="77777777" w:rsidR="00D441C6" w:rsidRDefault="00D441C6" w:rsidP="00805FA0">
      <w:pPr>
        <w:rPr>
          <w:lang w:val="en-US"/>
        </w:rPr>
      </w:pPr>
    </w:p>
    <w:p w14:paraId="226656FF" w14:textId="77777777" w:rsidR="00D441C6" w:rsidRDefault="00D441C6" w:rsidP="00805FA0">
      <w:pPr>
        <w:rPr>
          <w:lang w:val="en-US"/>
        </w:rPr>
      </w:pPr>
    </w:p>
    <w:p w14:paraId="465A243D" w14:textId="77777777" w:rsidR="00D441C6" w:rsidRDefault="00D441C6" w:rsidP="00805FA0">
      <w:pPr>
        <w:rPr>
          <w:lang w:val="en-US"/>
        </w:rPr>
      </w:pPr>
    </w:p>
    <w:p w14:paraId="5D518210" w14:textId="77777777" w:rsidR="00D441C6" w:rsidRDefault="00D441C6" w:rsidP="00805FA0">
      <w:pPr>
        <w:rPr>
          <w:lang w:val="en-US"/>
        </w:rPr>
      </w:pPr>
    </w:p>
    <w:p w14:paraId="27249DC0" w14:textId="77777777" w:rsidR="00D441C6" w:rsidRDefault="00D441C6" w:rsidP="00805FA0">
      <w:pPr>
        <w:rPr>
          <w:lang w:val="en-US"/>
        </w:rPr>
      </w:pPr>
    </w:p>
    <w:p w14:paraId="0A655E7C" w14:textId="77777777" w:rsidR="00D441C6" w:rsidRDefault="00D441C6" w:rsidP="00805FA0">
      <w:pPr>
        <w:rPr>
          <w:lang w:val="en-US"/>
        </w:rPr>
      </w:pPr>
    </w:p>
    <w:p w14:paraId="3B50662E" w14:textId="77777777" w:rsidR="00D441C6" w:rsidRDefault="00D441C6" w:rsidP="00805FA0">
      <w:pPr>
        <w:rPr>
          <w:lang w:val="en-US"/>
        </w:rPr>
      </w:pPr>
    </w:p>
    <w:p w14:paraId="67D6048C" w14:textId="77777777" w:rsidR="00D441C6" w:rsidRDefault="00D441C6" w:rsidP="00805FA0">
      <w:pPr>
        <w:rPr>
          <w:lang w:val="en-US"/>
        </w:rPr>
      </w:pPr>
    </w:p>
    <w:p w14:paraId="022B7294" w14:textId="77777777" w:rsidR="00D441C6" w:rsidRDefault="00D441C6" w:rsidP="00805FA0">
      <w:pPr>
        <w:rPr>
          <w:lang w:val="en-US"/>
        </w:rPr>
      </w:pPr>
    </w:p>
    <w:p w14:paraId="7B17C80E" w14:textId="77777777" w:rsidR="00D441C6" w:rsidRDefault="00D441C6" w:rsidP="00805FA0">
      <w:pPr>
        <w:rPr>
          <w:lang w:val="en-US"/>
        </w:rPr>
      </w:pPr>
    </w:p>
    <w:p w14:paraId="17D4FA1F" w14:textId="77777777" w:rsidR="00D441C6" w:rsidRDefault="00D441C6" w:rsidP="00805FA0">
      <w:pPr>
        <w:rPr>
          <w:lang w:val="en-US"/>
        </w:rPr>
      </w:pPr>
    </w:p>
    <w:p w14:paraId="7CB501CD" w14:textId="77777777" w:rsidR="00D441C6" w:rsidRDefault="00D441C6" w:rsidP="00805FA0">
      <w:pPr>
        <w:rPr>
          <w:lang w:val="en-US"/>
        </w:rPr>
      </w:pPr>
    </w:p>
    <w:p w14:paraId="4383B063" w14:textId="77777777" w:rsidR="00D441C6" w:rsidRDefault="00D441C6" w:rsidP="00805FA0">
      <w:pPr>
        <w:rPr>
          <w:lang w:val="en-US"/>
        </w:rPr>
      </w:pPr>
    </w:p>
    <w:p w14:paraId="1DF377B5" w14:textId="77777777" w:rsidR="00D441C6" w:rsidRDefault="00D441C6" w:rsidP="00805FA0">
      <w:pPr>
        <w:rPr>
          <w:lang w:val="en-US"/>
        </w:rPr>
      </w:pPr>
    </w:p>
    <w:p w14:paraId="6D44A637" w14:textId="77777777" w:rsidR="00D441C6" w:rsidRDefault="00D441C6" w:rsidP="00805FA0">
      <w:pPr>
        <w:rPr>
          <w:lang w:val="en-US"/>
        </w:rPr>
      </w:pPr>
    </w:p>
    <w:sectPr w:rsidR="00D44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8F"/>
    <w:rsid w:val="000D7739"/>
    <w:rsid w:val="00164C43"/>
    <w:rsid w:val="00242469"/>
    <w:rsid w:val="0029333F"/>
    <w:rsid w:val="002B2E53"/>
    <w:rsid w:val="00327932"/>
    <w:rsid w:val="003D519A"/>
    <w:rsid w:val="003F758F"/>
    <w:rsid w:val="00514ECF"/>
    <w:rsid w:val="00653016"/>
    <w:rsid w:val="00747E46"/>
    <w:rsid w:val="00805FA0"/>
    <w:rsid w:val="00854D3E"/>
    <w:rsid w:val="008C1684"/>
    <w:rsid w:val="009130B8"/>
    <w:rsid w:val="009A33BF"/>
    <w:rsid w:val="00A8290E"/>
    <w:rsid w:val="00B41BAA"/>
    <w:rsid w:val="00BB0F84"/>
    <w:rsid w:val="00D36698"/>
    <w:rsid w:val="00D441C6"/>
    <w:rsid w:val="00D8162F"/>
    <w:rsid w:val="00DC5D5F"/>
    <w:rsid w:val="00E0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F191"/>
  <w15:chartTrackingRefBased/>
  <w15:docId w15:val="{55A3EE0C-DCD5-4183-B390-75CA9988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A0"/>
  </w:style>
  <w:style w:type="paragraph" w:styleId="Ttulo1">
    <w:name w:val="heading 1"/>
    <w:basedOn w:val="Normal"/>
    <w:next w:val="Normal"/>
    <w:link w:val="Ttulo1Carter"/>
    <w:uiPriority w:val="9"/>
    <w:qFormat/>
    <w:rsid w:val="003F7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F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F7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F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F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F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F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F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F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F7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F7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F7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F7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F758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F7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F758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F7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F7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F7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F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F7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F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F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F75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758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F75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F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F758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F758F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D4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Cor1">
    <w:name w:val="Light Shading Accent 1"/>
    <w:basedOn w:val="Tabelanormal"/>
    <w:uiPriority w:val="60"/>
    <w:rsid w:val="00327932"/>
    <w:pPr>
      <w:spacing w:after="0" w:line="240" w:lineRule="auto"/>
    </w:pPr>
    <w:rPr>
      <w:rFonts w:eastAsiaTheme="minorEastAsia"/>
      <w:color w:val="0F4761" w:themeColor="accent1" w:themeShade="BF"/>
      <w:kern w:val="0"/>
      <w:lang w:val="pt-B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Rossoni</dc:creator>
  <cp:keywords/>
  <dc:description/>
  <cp:lastModifiedBy>Carina Rossoni</cp:lastModifiedBy>
  <cp:revision>4</cp:revision>
  <dcterms:created xsi:type="dcterms:W3CDTF">2025-12-03T10:52:00Z</dcterms:created>
  <dcterms:modified xsi:type="dcterms:W3CDTF">2025-12-03T10:53:00Z</dcterms:modified>
</cp:coreProperties>
</file>