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B0B47B" w14:textId="77777777" w:rsidR="00165214" w:rsidRPr="002013B9" w:rsidRDefault="00165214" w:rsidP="00165214">
      <w:pPr>
        <w:pStyle w:val="NormalWeb"/>
        <w:spacing w:line="276" w:lineRule="auto"/>
        <w:rPr>
          <w:b/>
          <w:color w:val="000000" w:themeColor="text1"/>
          <w:sz w:val="34"/>
          <w:szCs w:val="34"/>
          <w:lang w:val="en-GB"/>
        </w:rPr>
      </w:pPr>
      <w:bookmarkStart w:id="0" w:name="_GoBack"/>
      <w:bookmarkEnd w:id="0"/>
      <w:r w:rsidRPr="002013B9">
        <w:rPr>
          <w:b/>
          <w:color w:val="000000" w:themeColor="text1"/>
          <w:sz w:val="34"/>
          <w:szCs w:val="34"/>
          <w:lang w:val="en-GB"/>
        </w:rPr>
        <w:t>Combined extracorporeal shock wave lithotripsy and endoscopic treatment for pain in chronic pancreatitis (SCHOKE Trial): study protocol for a randomized sham-controlled trial</w:t>
      </w:r>
    </w:p>
    <w:p w14:paraId="2F08BA03" w14:textId="77777777" w:rsidR="00165214" w:rsidRPr="002013B9" w:rsidRDefault="00165214" w:rsidP="00165214">
      <w:pPr>
        <w:spacing w:line="360" w:lineRule="auto"/>
        <w:rPr>
          <w:rFonts w:ascii="Times New Roman" w:hAnsi="Times New Roman" w:cs="Times New Roman"/>
          <w:color w:val="000000" w:themeColor="text1"/>
          <w:sz w:val="24"/>
          <w:szCs w:val="24"/>
          <w:lang w:val="en-GB"/>
        </w:rPr>
      </w:pPr>
      <w:r w:rsidRPr="002013B9">
        <w:rPr>
          <w:rFonts w:ascii="Times New Roman" w:hAnsi="Times New Roman" w:cs="Times New Roman"/>
          <w:bCs/>
          <w:color w:val="000000" w:themeColor="text1"/>
          <w:sz w:val="24"/>
          <w:szCs w:val="24"/>
          <w:lang w:val="en-GB"/>
        </w:rPr>
        <w:t>Søren S. Olesen</w:t>
      </w:r>
      <w:r w:rsidRPr="002013B9">
        <w:rPr>
          <w:rFonts w:ascii="Times New Roman" w:hAnsi="Times New Roman" w:cs="Times New Roman"/>
          <w:bCs/>
          <w:color w:val="000000" w:themeColor="text1"/>
          <w:sz w:val="24"/>
          <w:szCs w:val="24"/>
          <w:vertAlign w:val="superscript"/>
          <w:lang w:val="en-GB"/>
        </w:rPr>
        <w:t>1</w:t>
      </w:r>
      <w:r w:rsidRPr="002013B9">
        <w:rPr>
          <w:rFonts w:ascii="Times New Roman" w:hAnsi="Times New Roman" w:cs="Times New Roman"/>
          <w:bCs/>
          <w:color w:val="000000" w:themeColor="text1"/>
          <w:sz w:val="24"/>
          <w:szCs w:val="24"/>
          <w:lang w:val="en-GB"/>
        </w:rPr>
        <w:t>, Asbjørn M. Drewes</w:t>
      </w:r>
      <w:r w:rsidRPr="002013B9">
        <w:rPr>
          <w:rFonts w:ascii="Times New Roman" w:hAnsi="Times New Roman" w:cs="Times New Roman"/>
          <w:bCs/>
          <w:color w:val="000000" w:themeColor="text1"/>
          <w:sz w:val="24"/>
          <w:szCs w:val="24"/>
          <w:vertAlign w:val="superscript"/>
          <w:lang w:val="en-GB"/>
        </w:rPr>
        <w:t>1</w:t>
      </w:r>
      <w:r w:rsidRPr="002013B9">
        <w:rPr>
          <w:rFonts w:ascii="Times New Roman" w:hAnsi="Times New Roman" w:cs="Times New Roman"/>
          <w:color w:val="000000" w:themeColor="text1"/>
          <w:sz w:val="24"/>
          <w:szCs w:val="24"/>
          <w:lang w:val="en-GB"/>
        </w:rPr>
        <w:t>, Rajesh Gaud</w:t>
      </w:r>
      <w:r w:rsidRPr="002013B9">
        <w:rPr>
          <w:rFonts w:ascii="Times New Roman" w:hAnsi="Times New Roman" w:cs="Times New Roman"/>
          <w:color w:val="000000" w:themeColor="text1"/>
          <w:sz w:val="24"/>
          <w:szCs w:val="24"/>
          <w:vertAlign w:val="superscript"/>
          <w:lang w:val="en-GB"/>
        </w:rPr>
        <w:t>2</w:t>
      </w:r>
      <w:r w:rsidRPr="002013B9">
        <w:rPr>
          <w:rFonts w:ascii="Times New Roman" w:hAnsi="Times New Roman" w:cs="Times New Roman"/>
          <w:color w:val="000000" w:themeColor="text1"/>
          <w:sz w:val="24"/>
          <w:szCs w:val="24"/>
          <w:lang w:val="en-GB"/>
        </w:rPr>
        <w:t>, Manu Tandan</w:t>
      </w:r>
      <w:r w:rsidRPr="002013B9">
        <w:rPr>
          <w:rFonts w:ascii="Times New Roman" w:hAnsi="Times New Roman" w:cs="Times New Roman"/>
          <w:color w:val="000000" w:themeColor="text1"/>
          <w:sz w:val="24"/>
          <w:szCs w:val="24"/>
          <w:vertAlign w:val="superscript"/>
          <w:lang w:val="en-GB"/>
        </w:rPr>
        <w:t>2</w:t>
      </w:r>
      <w:r w:rsidRPr="002013B9">
        <w:rPr>
          <w:rFonts w:ascii="Times New Roman" w:hAnsi="Times New Roman" w:cs="Times New Roman"/>
          <w:color w:val="000000" w:themeColor="text1"/>
          <w:sz w:val="24"/>
          <w:szCs w:val="24"/>
          <w:lang w:val="en-GB"/>
        </w:rPr>
        <w:t>, Sundeep Lakhtakia</w:t>
      </w:r>
      <w:r w:rsidRPr="002013B9">
        <w:rPr>
          <w:rFonts w:ascii="Times New Roman" w:hAnsi="Times New Roman" w:cs="Times New Roman"/>
          <w:color w:val="000000" w:themeColor="text1"/>
          <w:sz w:val="24"/>
          <w:szCs w:val="24"/>
          <w:vertAlign w:val="superscript"/>
          <w:lang w:val="en-GB"/>
        </w:rPr>
        <w:t>2</w:t>
      </w:r>
      <w:r w:rsidRPr="002013B9">
        <w:rPr>
          <w:rFonts w:ascii="Times New Roman" w:hAnsi="Times New Roman" w:cs="Times New Roman"/>
          <w:color w:val="000000" w:themeColor="text1"/>
          <w:sz w:val="24"/>
          <w:szCs w:val="24"/>
          <w:lang w:val="en-GB"/>
        </w:rPr>
        <w:t>, Mohan Ramchandani</w:t>
      </w:r>
      <w:r w:rsidRPr="002013B9">
        <w:rPr>
          <w:rFonts w:ascii="Times New Roman" w:hAnsi="Times New Roman" w:cs="Times New Roman"/>
          <w:color w:val="000000" w:themeColor="text1"/>
          <w:sz w:val="24"/>
          <w:szCs w:val="24"/>
          <w:vertAlign w:val="superscript"/>
          <w:lang w:val="en-GB"/>
        </w:rPr>
        <w:t>2</w:t>
      </w:r>
      <w:r w:rsidRPr="002013B9">
        <w:rPr>
          <w:rFonts w:ascii="Times New Roman" w:hAnsi="Times New Roman" w:cs="Times New Roman"/>
          <w:color w:val="000000" w:themeColor="text1"/>
          <w:sz w:val="24"/>
          <w:szCs w:val="24"/>
          <w:lang w:val="en-GB"/>
        </w:rPr>
        <w:t>, G V Rao</w:t>
      </w:r>
      <w:r w:rsidRPr="002013B9">
        <w:rPr>
          <w:rFonts w:ascii="Times New Roman" w:hAnsi="Times New Roman" w:cs="Times New Roman"/>
          <w:color w:val="000000" w:themeColor="text1"/>
          <w:sz w:val="24"/>
          <w:szCs w:val="24"/>
          <w:vertAlign w:val="superscript"/>
          <w:lang w:val="en-GB"/>
        </w:rPr>
        <w:t>3</w:t>
      </w:r>
      <w:r w:rsidRPr="002013B9">
        <w:rPr>
          <w:rFonts w:ascii="Times New Roman" w:hAnsi="Times New Roman" w:cs="Times New Roman"/>
          <w:color w:val="000000" w:themeColor="text1"/>
          <w:sz w:val="24"/>
          <w:szCs w:val="24"/>
          <w:lang w:val="en-GB"/>
        </w:rPr>
        <w:t>, D Nageshwar Reddy</w:t>
      </w:r>
      <w:r w:rsidRPr="002013B9">
        <w:rPr>
          <w:rFonts w:ascii="Times New Roman" w:hAnsi="Times New Roman" w:cs="Times New Roman"/>
          <w:color w:val="000000" w:themeColor="text1"/>
          <w:sz w:val="24"/>
          <w:szCs w:val="24"/>
          <w:vertAlign w:val="superscript"/>
          <w:lang w:val="en-GB"/>
        </w:rPr>
        <w:t>2</w:t>
      </w:r>
      <w:r w:rsidRPr="002013B9">
        <w:rPr>
          <w:rFonts w:ascii="Times New Roman" w:hAnsi="Times New Roman" w:cs="Times New Roman"/>
          <w:color w:val="000000" w:themeColor="text1"/>
          <w:sz w:val="24"/>
          <w:szCs w:val="24"/>
          <w:lang w:val="en-GB"/>
        </w:rPr>
        <w:t>, Rupjyoti Talukdar</w:t>
      </w:r>
      <w:r w:rsidRPr="002013B9">
        <w:rPr>
          <w:rFonts w:ascii="Times New Roman" w:hAnsi="Times New Roman" w:cs="Times New Roman"/>
          <w:color w:val="000000" w:themeColor="text1"/>
          <w:sz w:val="24"/>
          <w:szCs w:val="24"/>
          <w:vertAlign w:val="superscript"/>
          <w:lang w:val="en-GB"/>
        </w:rPr>
        <w:t>2,4</w:t>
      </w:r>
    </w:p>
    <w:p w14:paraId="7CD4CB25" w14:textId="32931C70" w:rsidR="00165214" w:rsidRPr="002013B9" w:rsidRDefault="00165214" w:rsidP="00165214">
      <w:pPr>
        <w:rPr>
          <w:rFonts w:ascii="Times New Roman" w:eastAsia="Times New Roman" w:hAnsi="Times New Roman" w:cs="Times New Roman"/>
          <w:bCs/>
          <w:color w:val="000000" w:themeColor="text1"/>
          <w:sz w:val="24"/>
          <w:szCs w:val="24"/>
          <w:lang w:val="en-GB" w:eastAsia="da-DK"/>
        </w:rPr>
      </w:pPr>
    </w:p>
    <w:p w14:paraId="0A824447" w14:textId="77777777" w:rsidR="00165214" w:rsidRPr="002013B9" w:rsidRDefault="00165214" w:rsidP="00165214">
      <w:pPr>
        <w:rPr>
          <w:rFonts w:ascii="Times New Roman" w:eastAsia="Times New Roman" w:hAnsi="Times New Roman" w:cs="Times New Roman"/>
          <w:bCs/>
          <w:color w:val="000000" w:themeColor="text1"/>
          <w:sz w:val="24"/>
          <w:szCs w:val="24"/>
          <w:lang w:val="en-GB" w:eastAsia="da-DK"/>
        </w:rPr>
      </w:pPr>
    </w:p>
    <w:p w14:paraId="428218C2" w14:textId="77777777" w:rsidR="00165214" w:rsidRPr="002013B9" w:rsidRDefault="00165214" w:rsidP="00165214">
      <w:pPr>
        <w:spacing w:line="360" w:lineRule="auto"/>
        <w:ind w:right="68"/>
        <w:contextualSpacing/>
        <w:jc w:val="both"/>
        <w:rPr>
          <w:rFonts w:ascii="Times New Roman" w:hAnsi="Times New Roman" w:cs="Times New Roman"/>
          <w:color w:val="000000" w:themeColor="text1"/>
          <w:lang w:val="en-GB"/>
        </w:rPr>
      </w:pPr>
      <w:r w:rsidRPr="002013B9">
        <w:rPr>
          <w:rFonts w:ascii="Times New Roman" w:hAnsi="Times New Roman" w:cs="Times New Roman"/>
          <w:color w:val="000000" w:themeColor="text1"/>
          <w:vertAlign w:val="superscript"/>
          <w:lang w:val="en-GB"/>
        </w:rPr>
        <w:t xml:space="preserve">1 </w:t>
      </w:r>
      <w:r w:rsidRPr="002013B9">
        <w:rPr>
          <w:rFonts w:ascii="Times New Roman" w:hAnsi="Times New Roman" w:cs="Times New Roman"/>
          <w:color w:val="000000" w:themeColor="text1"/>
          <w:lang w:val="en-GB"/>
        </w:rPr>
        <w:t>Centre for Pancreatic Diseases, Department of Gastroenterology and Hepatology, Aalborg University Hospital, Aalborg, Denmark</w:t>
      </w:r>
    </w:p>
    <w:p w14:paraId="13FC9076" w14:textId="77777777" w:rsidR="00165214" w:rsidRPr="002013B9" w:rsidRDefault="00165214" w:rsidP="00165214">
      <w:pPr>
        <w:spacing w:line="360" w:lineRule="auto"/>
        <w:ind w:right="68"/>
        <w:contextualSpacing/>
        <w:jc w:val="both"/>
        <w:rPr>
          <w:rFonts w:ascii="Times New Roman" w:hAnsi="Times New Roman" w:cs="Times New Roman"/>
          <w:color w:val="000000" w:themeColor="text1"/>
          <w:lang w:val="en-GB"/>
        </w:rPr>
      </w:pPr>
      <w:r w:rsidRPr="002013B9">
        <w:rPr>
          <w:rFonts w:ascii="Times New Roman" w:hAnsi="Times New Roman" w:cs="Times New Roman"/>
          <w:color w:val="000000" w:themeColor="text1"/>
          <w:vertAlign w:val="superscript"/>
          <w:lang w:val="en-GB"/>
        </w:rPr>
        <w:t>2</w:t>
      </w:r>
      <w:r w:rsidRPr="002013B9">
        <w:rPr>
          <w:rFonts w:ascii="Times New Roman" w:hAnsi="Times New Roman" w:cs="Times New Roman"/>
          <w:color w:val="000000" w:themeColor="text1"/>
          <w:lang w:val="en-GB"/>
        </w:rPr>
        <w:t xml:space="preserve"> Department of Medical Gastroenterology, Asian Institute of Gastroenterology</w:t>
      </w:r>
      <w:r w:rsidRPr="002013B9">
        <w:rPr>
          <w:rFonts w:ascii="Times New Roman" w:hAnsi="Times New Roman" w:cs="Times New Roman"/>
          <w:i/>
          <w:iCs/>
          <w:color w:val="000000" w:themeColor="text1"/>
          <w:lang w:val="en-GB"/>
        </w:rPr>
        <w:t>,</w:t>
      </w:r>
      <w:r w:rsidRPr="002013B9">
        <w:rPr>
          <w:rFonts w:ascii="Times New Roman" w:hAnsi="Times New Roman" w:cs="Times New Roman"/>
          <w:color w:val="000000" w:themeColor="text1"/>
          <w:lang w:val="en-GB"/>
        </w:rPr>
        <w:t xml:space="preserve"> Hyderabad, Telangana, India</w:t>
      </w:r>
    </w:p>
    <w:p w14:paraId="5B3ECB5E" w14:textId="77777777" w:rsidR="00165214" w:rsidRPr="002013B9" w:rsidRDefault="00165214" w:rsidP="00165214">
      <w:pPr>
        <w:spacing w:line="360" w:lineRule="auto"/>
        <w:ind w:right="68"/>
        <w:contextualSpacing/>
        <w:jc w:val="both"/>
        <w:rPr>
          <w:rFonts w:ascii="Times New Roman" w:hAnsi="Times New Roman" w:cs="Times New Roman"/>
          <w:color w:val="000000" w:themeColor="text1"/>
          <w:lang w:val="en-GB"/>
        </w:rPr>
      </w:pPr>
      <w:r w:rsidRPr="002013B9">
        <w:rPr>
          <w:rFonts w:ascii="Times New Roman" w:hAnsi="Times New Roman" w:cs="Times New Roman"/>
          <w:color w:val="000000" w:themeColor="text1"/>
          <w:vertAlign w:val="superscript"/>
          <w:lang w:val="en-GB"/>
        </w:rPr>
        <w:t>3</w:t>
      </w:r>
      <w:r w:rsidRPr="002013B9">
        <w:rPr>
          <w:rFonts w:ascii="Times New Roman" w:hAnsi="Times New Roman" w:cs="Times New Roman"/>
          <w:color w:val="000000" w:themeColor="text1"/>
          <w:lang w:val="en-GB"/>
        </w:rPr>
        <w:t xml:space="preserve"> Department of Surgical Gastroenterology, Asian Institute of Gastroenterology</w:t>
      </w:r>
      <w:r w:rsidRPr="002013B9">
        <w:rPr>
          <w:rFonts w:ascii="Times New Roman" w:hAnsi="Times New Roman" w:cs="Times New Roman"/>
          <w:i/>
          <w:iCs/>
          <w:color w:val="000000" w:themeColor="text1"/>
          <w:lang w:val="en-GB"/>
        </w:rPr>
        <w:t>,</w:t>
      </w:r>
      <w:r w:rsidRPr="002013B9">
        <w:rPr>
          <w:rFonts w:ascii="Times New Roman" w:hAnsi="Times New Roman" w:cs="Times New Roman"/>
          <w:color w:val="000000" w:themeColor="text1"/>
          <w:lang w:val="en-GB"/>
        </w:rPr>
        <w:t xml:space="preserve"> Hyderabad, Telangana, India</w:t>
      </w:r>
    </w:p>
    <w:p w14:paraId="130CC073" w14:textId="77777777" w:rsidR="00165214" w:rsidRPr="002013B9" w:rsidRDefault="00165214" w:rsidP="00165214">
      <w:pPr>
        <w:spacing w:line="360" w:lineRule="auto"/>
        <w:ind w:right="68"/>
        <w:contextualSpacing/>
        <w:jc w:val="both"/>
        <w:rPr>
          <w:rFonts w:ascii="Times New Roman" w:hAnsi="Times New Roman" w:cs="Times New Roman"/>
          <w:color w:val="000000" w:themeColor="text1"/>
          <w:lang w:val="en-GB"/>
        </w:rPr>
      </w:pPr>
      <w:r w:rsidRPr="002013B9">
        <w:rPr>
          <w:rFonts w:ascii="Times New Roman" w:hAnsi="Times New Roman" w:cs="Times New Roman"/>
          <w:color w:val="000000" w:themeColor="text1"/>
          <w:vertAlign w:val="superscript"/>
          <w:lang w:val="en-GB"/>
        </w:rPr>
        <w:t>4</w:t>
      </w:r>
      <w:r w:rsidRPr="002013B9">
        <w:rPr>
          <w:rFonts w:ascii="Times New Roman" w:hAnsi="Times New Roman" w:cs="Times New Roman"/>
          <w:color w:val="000000" w:themeColor="text1"/>
          <w:lang w:val="en-GB"/>
        </w:rPr>
        <w:t xml:space="preserve"> Pancreas Research Group; Wellcome DBT Labs., Asian Healthcare Foundation, Hyderabad, Telangana, India.</w:t>
      </w:r>
    </w:p>
    <w:p w14:paraId="6B3FB372" w14:textId="77777777" w:rsidR="00165214" w:rsidRPr="002013B9" w:rsidRDefault="00165214" w:rsidP="00165214">
      <w:pPr>
        <w:spacing w:line="360" w:lineRule="auto"/>
        <w:ind w:right="68"/>
        <w:contextualSpacing/>
        <w:jc w:val="both"/>
        <w:rPr>
          <w:rFonts w:ascii="Times New Roman" w:hAnsi="Times New Roman" w:cs="Times New Roman"/>
          <w:color w:val="000000" w:themeColor="text1"/>
          <w:lang w:val="en-GB"/>
        </w:rPr>
      </w:pPr>
    </w:p>
    <w:p w14:paraId="05D41B0C" w14:textId="77777777" w:rsidR="00165214" w:rsidRPr="002013B9" w:rsidRDefault="00165214" w:rsidP="00165214">
      <w:pPr>
        <w:rPr>
          <w:rFonts w:ascii="Times New Roman" w:hAnsi="Times New Roman" w:cs="Times New Roman"/>
          <w:b/>
          <w:color w:val="000000" w:themeColor="text1"/>
          <w:sz w:val="24"/>
          <w:szCs w:val="24"/>
          <w:lang w:val="en-GB"/>
        </w:rPr>
      </w:pPr>
    </w:p>
    <w:p w14:paraId="351E4DF0" w14:textId="77777777" w:rsidR="00165214" w:rsidRPr="002013B9" w:rsidRDefault="00165214" w:rsidP="00165214">
      <w:pPr>
        <w:pStyle w:val="Default"/>
        <w:rPr>
          <w:b/>
          <w:bCs/>
          <w:color w:val="000000" w:themeColor="text1"/>
          <w:lang w:val="en-GB"/>
        </w:rPr>
      </w:pPr>
    </w:p>
    <w:p w14:paraId="66A0BAF7" w14:textId="77777777" w:rsidR="00165214" w:rsidRPr="002013B9" w:rsidRDefault="00165214" w:rsidP="00165214">
      <w:pPr>
        <w:pStyle w:val="Default"/>
        <w:rPr>
          <w:b/>
          <w:bCs/>
          <w:color w:val="000000" w:themeColor="text1"/>
          <w:lang w:val="en-GB"/>
        </w:rPr>
      </w:pPr>
    </w:p>
    <w:p w14:paraId="3F317A36" w14:textId="77777777" w:rsidR="00165214" w:rsidRPr="002013B9" w:rsidRDefault="00165214" w:rsidP="00165214">
      <w:pPr>
        <w:pStyle w:val="Default"/>
        <w:rPr>
          <w:b/>
          <w:bCs/>
          <w:color w:val="000000" w:themeColor="text1"/>
          <w:lang w:val="en-GB"/>
        </w:rPr>
      </w:pPr>
    </w:p>
    <w:p w14:paraId="682A3358" w14:textId="77777777" w:rsidR="00165214" w:rsidRPr="002013B9" w:rsidRDefault="00165214" w:rsidP="00165214">
      <w:pPr>
        <w:pStyle w:val="Default"/>
        <w:spacing w:line="276" w:lineRule="auto"/>
        <w:rPr>
          <w:b/>
          <w:bCs/>
          <w:color w:val="000000" w:themeColor="text1"/>
          <w:sz w:val="22"/>
          <w:szCs w:val="22"/>
          <w:lang w:val="en-GB"/>
        </w:rPr>
      </w:pPr>
      <w:r w:rsidRPr="002013B9">
        <w:rPr>
          <w:b/>
          <w:bCs/>
          <w:color w:val="000000" w:themeColor="text1"/>
          <w:sz w:val="22"/>
          <w:szCs w:val="22"/>
          <w:lang w:val="en-GB"/>
        </w:rPr>
        <w:t>Corresponding author:</w:t>
      </w:r>
    </w:p>
    <w:p w14:paraId="3600ACFB" w14:textId="77777777" w:rsidR="00165214" w:rsidRPr="002013B9" w:rsidRDefault="00165214" w:rsidP="00165214">
      <w:pPr>
        <w:spacing w:line="276" w:lineRule="auto"/>
        <w:rPr>
          <w:rFonts w:ascii="Times New Roman" w:hAnsi="Times New Roman" w:cs="Times New Roman"/>
          <w:bCs/>
          <w:color w:val="000000" w:themeColor="text1"/>
          <w:lang w:val="en-GB"/>
        </w:rPr>
      </w:pPr>
      <w:r w:rsidRPr="002013B9">
        <w:rPr>
          <w:rFonts w:ascii="Times New Roman" w:hAnsi="Times New Roman" w:cs="Times New Roman"/>
          <w:bCs/>
          <w:color w:val="000000" w:themeColor="text1"/>
          <w:lang w:val="en-GB"/>
        </w:rPr>
        <w:t xml:space="preserve">Søren Schou Olesen </w:t>
      </w:r>
    </w:p>
    <w:p w14:paraId="52F8F63E" w14:textId="77777777" w:rsidR="00165214" w:rsidRPr="002013B9" w:rsidRDefault="00165214" w:rsidP="00165214">
      <w:pPr>
        <w:spacing w:line="276" w:lineRule="auto"/>
        <w:rPr>
          <w:rFonts w:ascii="Times New Roman" w:hAnsi="Times New Roman" w:cs="Times New Roman"/>
          <w:color w:val="000000" w:themeColor="text1"/>
          <w:lang w:val="en-GB"/>
        </w:rPr>
      </w:pPr>
      <w:r w:rsidRPr="002013B9">
        <w:rPr>
          <w:rFonts w:ascii="Times New Roman" w:hAnsi="Times New Roman" w:cs="Times New Roman"/>
          <w:color w:val="000000" w:themeColor="text1"/>
          <w:lang w:val="en-GB"/>
        </w:rPr>
        <w:t>Associate Professor, MD, PhD</w:t>
      </w:r>
    </w:p>
    <w:p w14:paraId="340B994B" w14:textId="77777777" w:rsidR="00165214" w:rsidRPr="002013B9" w:rsidRDefault="00165214" w:rsidP="00165214">
      <w:pPr>
        <w:spacing w:line="276" w:lineRule="auto"/>
        <w:rPr>
          <w:rFonts w:ascii="Times New Roman" w:hAnsi="Times New Roman" w:cs="Times New Roman"/>
          <w:color w:val="000000" w:themeColor="text1"/>
          <w:lang w:val="en-GB"/>
        </w:rPr>
      </w:pPr>
      <w:r w:rsidRPr="002013B9">
        <w:rPr>
          <w:rFonts w:ascii="Times New Roman" w:hAnsi="Times New Roman" w:cs="Times New Roman"/>
          <w:color w:val="000000" w:themeColor="text1"/>
          <w:lang w:val="en-GB"/>
        </w:rPr>
        <w:t xml:space="preserve">Centre for Pancreatic Diseases </w:t>
      </w:r>
    </w:p>
    <w:p w14:paraId="3C0493E2" w14:textId="77777777" w:rsidR="00165214" w:rsidRPr="002013B9" w:rsidRDefault="00165214" w:rsidP="00165214">
      <w:pPr>
        <w:spacing w:line="276" w:lineRule="auto"/>
        <w:rPr>
          <w:rFonts w:ascii="Times New Roman" w:hAnsi="Times New Roman" w:cs="Times New Roman"/>
          <w:color w:val="000000" w:themeColor="text1"/>
          <w:lang w:val="en-GB"/>
        </w:rPr>
      </w:pPr>
      <w:r w:rsidRPr="002013B9">
        <w:rPr>
          <w:rFonts w:ascii="Times New Roman" w:hAnsi="Times New Roman" w:cs="Times New Roman"/>
          <w:color w:val="000000" w:themeColor="text1"/>
          <w:lang w:val="en-GB"/>
        </w:rPr>
        <w:t>Aalborg University Hospital</w:t>
      </w:r>
    </w:p>
    <w:p w14:paraId="16AA2370" w14:textId="77777777" w:rsidR="00165214" w:rsidRPr="002013B9" w:rsidRDefault="00165214" w:rsidP="00165214">
      <w:pPr>
        <w:spacing w:line="276" w:lineRule="auto"/>
        <w:rPr>
          <w:rFonts w:ascii="Times New Roman" w:hAnsi="Times New Roman" w:cs="Times New Roman"/>
          <w:color w:val="000000" w:themeColor="text1"/>
          <w:lang w:val="en-GB"/>
        </w:rPr>
      </w:pPr>
      <w:r w:rsidRPr="002013B9">
        <w:rPr>
          <w:rFonts w:ascii="Times New Roman" w:hAnsi="Times New Roman" w:cs="Times New Roman"/>
          <w:color w:val="000000" w:themeColor="text1"/>
          <w:lang w:val="en-GB"/>
        </w:rPr>
        <w:t>Mølleparkvej 4</w:t>
      </w:r>
    </w:p>
    <w:p w14:paraId="181E4D77" w14:textId="77777777" w:rsidR="00165214" w:rsidRPr="002013B9" w:rsidRDefault="00165214" w:rsidP="00165214">
      <w:pPr>
        <w:spacing w:line="276" w:lineRule="auto"/>
        <w:rPr>
          <w:rFonts w:ascii="Times New Roman" w:hAnsi="Times New Roman" w:cs="Times New Roman"/>
          <w:color w:val="000000" w:themeColor="text1"/>
          <w:lang w:val="en-GB"/>
        </w:rPr>
      </w:pPr>
      <w:r w:rsidRPr="002013B9">
        <w:rPr>
          <w:rFonts w:ascii="Times New Roman" w:hAnsi="Times New Roman" w:cs="Times New Roman"/>
          <w:color w:val="000000" w:themeColor="text1"/>
          <w:lang w:val="en-GB"/>
        </w:rPr>
        <w:t>9000 Aalborg, Denmark Phone: +45 9936510</w:t>
      </w:r>
    </w:p>
    <w:p w14:paraId="5D8E9689" w14:textId="77777777" w:rsidR="00165214" w:rsidRPr="002013B9" w:rsidRDefault="00165214" w:rsidP="00165214">
      <w:pPr>
        <w:pStyle w:val="Default"/>
        <w:spacing w:line="276" w:lineRule="auto"/>
        <w:rPr>
          <w:rStyle w:val="Hyperlink"/>
          <w:sz w:val="22"/>
          <w:szCs w:val="22"/>
          <w:lang w:val="en-GB"/>
        </w:rPr>
      </w:pPr>
      <w:r w:rsidRPr="002013B9">
        <w:rPr>
          <w:color w:val="000000" w:themeColor="text1"/>
          <w:sz w:val="22"/>
          <w:szCs w:val="22"/>
          <w:lang w:val="en-GB"/>
        </w:rPr>
        <w:t xml:space="preserve">E-mail: </w:t>
      </w:r>
      <w:hyperlink r:id="rId8" w:history="1">
        <w:r w:rsidRPr="002013B9">
          <w:rPr>
            <w:rStyle w:val="Hyperlink"/>
            <w:sz w:val="22"/>
            <w:szCs w:val="22"/>
            <w:lang w:val="en-GB"/>
          </w:rPr>
          <w:t>soso@rn.dk</w:t>
        </w:r>
      </w:hyperlink>
    </w:p>
    <w:p w14:paraId="4231EA79" w14:textId="77777777" w:rsidR="00165214" w:rsidRPr="002013B9" w:rsidRDefault="00165214" w:rsidP="00165214">
      <w:pPr>
        <w:pStyle w:val="Default"/>
        <w:spacing w:line="276" w:lineRule="auto"/>
        <w:rPr>
          <w:b/>
          <w:bCs/>
          <w:color w:val="000000" w:themeColor="text1"/>
          <w:sz w:val="22"/>
          <w:szCs w:val="22"/>
          <w:lang w:val="en-GB"/>
        </w:rPr>
      </w:pPr>
    </w:p>
    <w:p w14:paraId="0FFD0298" w14:textId="77777777" w:rsidR="00165214" w:rsidRPr="002013B9" w:rsidRDefault="00165214" w:rsidP="00165214">
      <w:pPr>
        <w:pStyle w:val="Default"/>
        <w:rPr>
          <w:b/>
          <w:bCs/>
          <w:color w:val="000000" w:themeColor="text1"/>
          <w:lang w:val="en-GB"/>
        </w:rPr>
      </w:pPr>
    </w:p>
    <w:p w14:paraId="78594480" w14:textId="77777777" w:rsidR="00165214" w:rsidRPr="002013B9" w:rsidRDefault="00165214" w:rsidP="00165214">
      <w:pPr>
        <w:pStyle w:val="Default"/>
        <w:ind w:left="2608" w:hanging="2608"/>
        <w:rPr>
          <w:b/>
          <w:bCs/>
          <w:color w:val="000000" w:themeColor="text1"/>
          <w:lang w:val="en-GB"/>
        </w:rPr>
      </w:pPr>
    </w:p>
    <w:p w14:paraId="13A5E70D" w14:textId="77777777" w:rsidR="00165214" w:rsidRPr="002013B9" w:rsidRDefault="00165214" w:rsidP="00165214">
      <w:pPr>
        <w:pStyle w:val="Default"/>
        <w:ind w:left="2608" w:hanging="2608"/>
        <w:rPr>
          <w:b/>
          <w:bCs/>
          <w:color w:val="000000" w:themeColor="text1"/>
          <w:lang w:val="en-GB"/>
        </w:rPr>
      </w:pPr>
    </w:p>
    <w:p w14:paraId="5E9D9DA3" w14:textId="77777777" w:rsidR="00165214" w:rsidRPr="002013B9" w:rsidRDefault="00165214" w:rsidP="00165214">
      <w:pPr>
        <w:pStyle w:val="Default"/>
        <w:ind w:left="2608" w:hanging="2608"/>
        <w:rPr>
          <w:b/>
          <w:bCs/>
          <w:color w:val="000000" w:themeColor="text1"/>
          <w:lang w:val="en-GB"/>
        </w:rPr>
      </w:pPr>
    </w:p>
    <w:p w14:paraId="5FB54DBB" w14:textId="77777777" w:rsidR="00165214" w:rsidRPr="002013B9" w:rsidRDefault="00165214" w:rsidP="00165214">
      <w:pPr>
        <w:pStyle w:val="Default"/>
        <w:ind w:left="2608" w:hanging="2608"/>
        <w:rPr>
          <w:b/>
          <w:bCs/>
          <w:color w:val="000000" w:themeColor="text1"/>
          <w:lang w:val="en-GB"/>
        </w:rPr>
      </w:pPr>
    </w:p>
    <w:p w14:paraId="4973DEC4" w14:textId="77777777" w:rsidR="00165214" w:rsidRPr="002013B9" w:rsidRDefault="00165214" w:rsidP="00165214">
      <w:pPr>
        <w:pStyle w:val="Default"/>
        <w:ind w:left="2608" w:hanging="2608"/>
        <w:rPr>
          <w:b/>
          <w:bCs/>
          <w:color w:val="000000" w:themeColor="text1"/>
          <w:lang w:val="en-GB"/>
        </w:rPr>
      </w:pPr>
    </w:p>
    <w:p w14:paraId="7D35EB41" w14:textId="77777777" w:rsidR="00165214" w:rsidRPr="002013B9" w:rsidRDefault="00165214" w:rsidP="00165214">
      <w:pPr>
        <w:pStyle w:val="Default"/>
        <w:ind w:left="2608" w:hanging="2608"/>
        <w:rPr>
          <w:b/>
          <w:bCs/>
          <w:color w:val="000000" w:themeColor="text1"/>
          <w:lang w:val="en-GB"/>
        </w:rPr>
      </w:pPr>
    </w:p>
    <w:p w14:paraId="188F0597" w14:textId="77777777" w:rsidR="00165214" w:rsidRPr="002013B9" w:rsidRDefault="00165214" w:rsidP="00165214">
      <w:pPr>
        <w:pStyle w:val="Default"/>
        <w:ind w:left="2608" w:hanging="2608"/>
        <w:rPr>
          <w:b/>
          <w:bCs/>
          <w:color w:val="000000" w:themeColor="text1"/>
          <w:lang w:val="en-GB"/>
        </w:rPr>
      </w:pPr>
    </w:p>
    <w:p w14:paraId="41D637C4" w14:textId="77777777" w:rsidR="00165214" w:rsidRPr="002013B9" w:rsidRDefault="00165214" w:rsidP="00165214">
      <w:pPr>
        <w:pStyle w:val="Default"/>
        <w:ind w:left="2608" w:hanging="2608"/>
        <w:rPr>
          <w:b/>
          <w:bCs/>
          <w:color w:val="000000" w:themeColor="text1"/>
          <w:sz w:val="27"/>
          <w:szCs w:val="27"/>
          <w:lang w:val="en-GB"/>
        </w:rPr>
      </w:pPr>
    </w:p>
    <w:p w14:paraId="52261FBC" w14:textId="77777777" w:rsidR="00165214" w:rsidRPr="002013B9" w:rsidRDefault="00165214" w:rsidP="00165214">
      <w:pPr>
        <w:pStyle w:val="Default"/>
        <w:rPr>
          <w:b/>
          <w:bCs/>
          <w:color w:val="000000" w:themeColor="text1"/>
          <w:lang w:val="en-GB"/>
        </w:rPr>
      </w:pPr>
    </w:p>
    <w:p w14:paraId="1B9C5EB8" w14:textId="77777777" w:rsidR="00165214" w:rsidRPr="002013B9" w:rsidRDefault="00165214" w:rsidP="00165214">
      <w:pPr>
        <w:pStyle w:val="Default"/>
        <w:rPr>
          <w:b/>
          <w:bCs/>
          <w:color w:val="000000" w:themeColor="text1"/>
          <w:lang w:val="en-GB"/>
        </w:rPr>
      </w:pPr>
    </w:p>
    <w:p w14:paraId="58EA7024" w14:textId="77777777" w:rsidR="00165214" w:rsidRPr="002013B9" w:rsidRDefault="00165214" w:rsidP="00165214">
      <w:pPr>
        <w:pStyle w:val="Heading2"/>
        <w:spacing w:line="480" w:lineRule="auto"/>
        <w:contextualSpacing/>
        <w:jc w:val="both"/>
        <w:rPr>
          <w:rFonts w:cs="Times New Roman"/>
          <w:color w:val="000000" w:themeColor="text1"/>
          <w:sz w:val="24"/>
          <w:szCs w:val="24"/>
          <w:lang w:val="en-GB"/>
        </w:rPr>
      </w:pPr>
      <w:r w:rsidRPr="002013B9">
        <w:rPr>
          <w:rFonts w:cs="Times New Roman"/>
          <w:color w:val="000000" w:themeColor="text1"/>
          <w:sz w:val="24"/>
          <w:szCs w:val="24"/>
          <w:lang w:val="en-GB"/>
        </w:rPr>
        <w:lastRenderedPageBreak/>
        <w:t>Abstract</w:t>
      </w:r>
    </w:p>
    <w:p w14:paraId="34DCF0DE" w14:textId="77777777" w:rsidR="00165214" w:rsidRPr="002013B9" w:rsidRDefault="00165214" w:rsidP="00165214">
      <w:pPr>
        <w:pStyle w:val="Heading2"/>
        <w:spacing w:line="480" w:lineRule="auto"/>
        <w:contextualSpacing/>
        <w:jc w:val="both"/>
        <w:rPr>
          <w:rFonts w:cs="Times New Roman"/>
          <w:b w:val="0"/>
          <w:bCs w:val="0"/>
          <w:color w:val="000000" w:themeColor="text1"/>
          <w:sz w:val="24"/>
          <w:szCs w:val="24"/>
          <w:lang w:val="en-GB"/>
        </w:rPr>
      </w:pPr>
      <w:r w:rsidRPr="002013B9">
        <w:rPr>
          <w:rFonts w:cs="Times New Roman"/>
          <w:color w:val="000000" w:themeColor="text1"/>
          <w:sz w:val="24"/>
          <w:szCs w:val="24"/>
          <w:lang w:val="en-GB"/>
        </w:rPr>
        <w:t xml:space="preserve">Background: </w:t>
      </w:r>
      <w:r w:rsidRPr="002013B9">
        <w:rPr>
          <w:rFonts w:cs="Times New Roman"/>
          <w:b w:val="0"/>
          <w:bCs w:val="0"/>
          <w:color w:val="000000" w:themeColor="text1"/>
          <w:sz w:val="24"/>
          <w:szCs w:val="24"/>
          <w:lang w:val="en-GB"/>
        </w:rPr>
        <w:t xml:space="preserve">Pain is the primary symptom of chronic pancreatitis (CP) and remains a considerable therapeutic challenge. In patients with obstruction of the pancreatic duct, including stones and strictures, endoscopic treatment with or without preceding extracorporeal shock wave lithotripsy (ESWL) have been used for pancreatic duct decompression. The rationale for these procedures is based on the assumption that obstruction of the pancreatic duct leads to ductal hypertension and pain. However, clinical pain symptoms correlate poorly with pancreatic duct morphology and the evidence for pancreatic duct decompression as an effective treatment for pain is based on case-series and comparison between different procedures, while no randomised prospective sham-controlled trials are currently available. </w:t>
      </w:r>
      <w:r w:rsidRPr="002013B9">
        <w:rPr>
          <w:rFonts w:eastAsia="Times New Roman" w:cs="Times New Roman"/>
          <w:b w:val="0"/>
          <w:bCs w:val="0"/>
          <w:color w:val="000000" w:themeColor="text1"/>
          <w:sz w:val="24"/>
          <w:szCs w:val="24"/>
          <w:lang w:val="en-GB" w:eastAsia="da-DK"/>
        </w:rPr>
        <w:t>The SCHOKE trial is a</w:t>
      </w:r>
      <w:r w:rsidRPr="002013B9">
        <w:rPr>
          <w:rFonts w:cs="Times New Roman"/>
          <w:b w:val="0"/>
          <w:bCs w:val="0"/>
          <w:color w:val="000000" w:themeColor="text1"/>
          <w:sz w:val="24"/>
          <w:szCs w:val="24"/>
          <w:lang w:val="en-GB"/>
        </w:rPr>
        <w:t xml:space="preserve"> randomized sham-controlled trial designed to determine if pancreatic duct decompression is an effective treatment for pain in patients with CP.</w:t>
      </w:r>
    </w:p>
    <w:p w14:paraId="1B113BAF" w14:textId="77777777" w:rsidR="00165214" w:rsidRPr="002013B9" w:rsidRDefault="00165214" w:rsidP="00165214">
      <w:pPr>
        <w:spacing w:line="480" w:lineRule="auto"/>
        <w:jc w:val="both"/>
        <w:rPr>
          <w:rFonts w:ascii="Times New Roman" w:hAnsi="Times New Roman" w:cs="Times New Roman"/>
          <w:color w:val="000000" w:themeColor="text1"/>
          <w:sz w:val="24"/>
          <w:szCs w:val="24"/>
          <w:lang w:val="en-GB"/>
        </w:rPr>
      </w:pPr>
      <w:r w:rsidRPr="002013B9">
        <w:rPr>
          <w:rFonts w:ascii="Times New Roman" w:hAnsi="Times New Roman" w:cs="Times New Roman"/>
          <w:b/>
          <w:bCs/>
          <w:color w:val="000000" w:themeColor="text1"/>
          <w:sz w:val="24"/>
          <w:szCs w:val="24"/>
          <w:lang w:val="en-GB"/>
        </w:rPr>
        <w:t xml:space="preserve">Methods: </w:t>
      </w:r>
      <w:r w:rsidRPr="002013B9">
        <w:rPr>
          <w:rFonts w:ascii="Times New Roman" w:hAnsi="Times New Roman" w:cs="Times New Roman"/>
          <w:color w:val="000000" w:themeColor="text1"/>
          <w:sz w:val="24"/>
          <w:szCs w:val="24"/>
          <w:lang w:val="en-GB"/>
        </w:rPr>
        <w:t>The SCHOKE trial is a randomized, single-blinded, parallel-group, sham-controlled trial designed to evaluate the effect of combined ESWL and endoscopic treatment for pain in patients with CP. In total, 106 adult patients with painful CP and pancreatic duct obstruction will be randomized to combined ESWL and subsequent endoscopic treatment or corresponding sham procedures. The primary outcome is pain relief during the 3 months post-randomization period as documented in a pain diary. Secondary outcomes include quality of life and functional scores, patient’s global impression of change, change in use of analgesics, frequency of hospitalization and complications.  Standard follow-up is at 3 and 6 months after randomization. In an experimental sub-study, quantitative sensory testing obtained before and after intervention will be used to obtain information on central pain processing and to develop models for prediction of treatment outcome.</w:t>
      </w:r>
    </w:p>
    <w:p w14:paraId="7F2B638A" w14:textId="64408880" w:rsidR="00165214" w:rsidRPr="002013B9" w:rsidRDefault="00165214" w:rsidP="00165214">
      <w:pPr>
        <w:spacing w:line="480" w:lineRule="auto"/>
        <w:jc w:val="both"/>
        <w:rPr>
          <w:rFonts w:ascii="Times New Roman" w:eastAsiaTheme="majorEastAsia" w:hAnsi="Times New Roman" w:cs="Times New Roman"/>
          <w:b/>
          <w:bCs/>
          <w:color w:val="000000" w:themeColor="text1"/>
          <w:sz w:val="24"/>
          <w:szCs w:val="24"/>
          <w:lang w:val="en-GB"/>
        </w:rPr>
      </w:pPr>
      <w:r w:rsidRPr="002013B9">
        <w:rPr>
          <w:rFonts w:ascii="Times New Roman" w:hAnsi="Times New Roman" w:cs="Times New Roman"/>
          <w:b/>
          <w:bCs/>
          <w:color w:val="000000" w:themeColor="text1"/>
          <w:sz w:val="24"/>
          <w:szCs w:val="24"/>
          <w:lang w:val="en-GB"/>
        </w:rPr>
        <w:t>Discussion</w:t>
      </w:r>
      <w:r w:rsidRPr="002013B9">
        <w:rPr>
          <w:rFonts w:ascii="Times New Roman" w:eastAsia="Times New Roman" w:hAnsi="Times New Roman" w:cs="Times New Roman"/>
          <w:b/>
          <w:bCs/>
          <w:color w:val="111111"/>
          <w:sz w:val="24"/>
          <w:szCs w:val="24"/>
          <w:lang w:val="en-GB" w:eastAsia="da-DK"/>
        </w:rPr>
        <w:t>:</w:t>
      </w:r>
      <w:r w:rsidRPr="002013B9">
        <w:rPr>
          <w:rFonts w:ascii="Times New Roman" w:eastAsia="Times New Roman" w:hAnsi="Times New Roman" w:cs="Times New Roman"/>
          <w:color w:val="111111"/>
          <w:sz w:val="24"/>
          <w:szCs w:val="24"/>
          <w:lang w:val="en-GB" w:eastAsia="da-DK"/>
        </w:rPr>
        <w:t xml:space="preserve"> </w:t>
      </w:r>
      <w:r w:rsidRPr="002013B9">
        <w:rPr>
          <w:rFonts w:ascii="Times New Roman" w:eastAsiaTheme="majorEastAsia" w:hAnsi="Times New Roman" w:cs="Times New Roman"/>
          <w:color w:val="000000" w:themeColor="text1"/>
          <w:sz w:val="24"/>
          <w:szCs w:val="24"/>
          <w:lang w:val="en-GB"/>
        </w:rPr>
        <w:t xml:space="preserve">The </w:t>
      </w:r>
      <w:r w:rsidRPr="002013B9">
        <w:rPr>
          <w:rFonts w:ascii="Times New Roman" w:hAnsi="Times New Roman" w:cs="Times New Roman"/>
          <w:color w:val="000000" w:themeColor="text1"/>
          <w:sz w:val="24"/>
          <w:szCs w:val="24"/>
          <w:lang w:val="en-GB"/>
        </w:rPr>
        <w:t>SCHOKE</w:t>
      </w:r>
      <w:r w:rsidRPr="002013B9">
        <w:rPr>
          <w:rFonts w:ascii="Times New Roman" w:eastAsiaTheme="majorEastAsia" w:hAnsi="Times New Roman" w:cs="Times New Roman"/>
          <w:color w:val="000000" w:themeColor="text1"/>
          <w:sz w:val="24"/>
          <w:szCs w:val="24"/>
          <w:lang w:val="en-GB"/>
        </w:rPr>
        <w:t xml:space="preserve"> trial investigates if </w:t>
      </w:r>
      <w:r w:rsidRPr="002013B9">
        <w:rPr>
          <w:rFonts w:ascii="Times New Roman" w:hAnsi="Times New Roman" w:cs="Times New Roman"/>
          <w:color w:val="000000" w:themeColor="text1"/>
          <w:sz w:val="24"/>
          <w:szCs w:val="24"/>
          <w:lang w:val="en-GB"/>
        </w:rPr>
        <w:t>pancreatic duct decompression, obtained by combined ESWL and endoscopic treatment, is effective for pain treatment in patients with CP</w:t>
      </w:r>
      <w:r w:rsidRPr="002013B9">
        <w:rPr>
          <w:rFonts w:ascii="Times New Roman" w:eastAsiaTheme="majorEastAsia" w:hAnsi="Times New Roman" w:cs="Times New Roman"/>
          <w:color w:val="000000" w:themeColor="text1"/>
          <w:sz w:val="24"/>
          <w:szCs w:val="24"/>
          <w:lang w:val="en-GB"/>
        </w:rPr>
        <w:t>.</w:t>
      </w:r>
      <w:r w:rsidRPr="002013B9">
        <w:rPr>
          <w:rFonts w:ascii="Times New Roman" w:eastAsiaTheme="majorEastAsia" w:hAnsi="Times New Roman" w:cs="Times New Roman"/>
          <w:b/>
          <w:bCs/>
          <w:color w:val="000000" w:themeColor="text1"/>
          <w:sz w:val="24"/>
          <w:szCs w:val="24"/>
          <w:lang w:val="en-GB"/>
        </w:rPr>
        <w:t xml:space="preserve"> </w:t>
      </w:r>
    </w:p>
    <w:p w14:paraId="1AC1767C" w14:textId="0AEB40AD" w:rsidR="006A3611" w:rsidRPr="002013B9" w:rsidRDefault="006A3611" w:rsidP="00165214">
      <w:pPr>
        <w:spacing w:line="480" w:lineRule="auto"/>
        <w:jc w:val="both"/>
        <w:rPr>
          <w:rFonts w:ascii="Times New Roman" w:eastAsiaTheme="majorEastAsia" w:hAnsi="Times New Roman" w:cs="Times New Roman"/>
          <w:b/>
          <w:bCs/>
          <w:color w:val="000000" w:themeColor="text1"/>
          <w:sz w:val="24"/>
          <w:szCs w:val="24"/>
          <w:lang w:val="en-GB"/>
        </w:rPr>
      </w:pPr>
    </w:p>
    <w:p w14:paraId="7CAC45CD" w14:textId="77777777" w:rsidR="006A3611" w:rsidRPr="006A3611" w:rsidRDefault="006A3611" w:rsidP="006A3611">
      <w:pPr>
        <w:spacing w:before="100" w:beforeAutospacing="1" w:after="100" w:afterAutospacing="1"/>
        <w:rPr>
          <w:rFonts w:ascii="Times New Roman" w:eastAsia="Times New Roman" w:hAnsi="Times New Roman" w:cs="Times New Roman"/>
          <w:sz w:val="24"/>
          <w:szCs w:val="24"/>
          <w:lang w:val="en-GB" w:eastAsia="da-DK"/>
        </w:rPr>
      </w:pPr>
      <w:r w:rsidRPr="006A3611">
        <w:rPr>
          <w:rFonts w:ascii="Times New Roman,Bold" w:eastAsia="Times New Roman" w:hAnsi="Times New Roman,Bold" w:cs="Times New Roman"/>
          <w:sz w:val="24"/>
          <w:szCs w:val="24"/>
          <w:lang w:val="en-GB" w:eastAsia="da-DK"/>
        </w:rPr>
        <w:lastRenderedPageBreak/>
        <w:t xml:space="preserve">Trial registration </w:t>
      </w:r>
    </w:p>
    <w:p w14:paraId="7C0C4618" w14:textId="351ACE52" w:rsidR="00B85A8F" w:rsidRDefault="006A3611" w:rsidP="006A3611">
      <w:pPr>
        <w:spacing w:before="100" w:beforeAutospacing="1" w:after="100" w:afterAutospacing="1"/>
        <w:rPr>
          <w:rFonts w:ascii="Times New Roman" w:eastAsia="Times New Roman" w:hAnsi="Times New Roman" w:cs="Times New Roman"/>
          <w:sz w:val="24"/>
          <w:szCs w:val="24"/>
          <w:lang w:val="en-GB" w:eastAsia="da-DK"/>
        </w:rPr>
      </w:pPr>
      <w:r w:rsidRPr="006A3611">
        <w:rPr>
          <w:rFonts w:ascii="Times New Roman" w:eastAsia="Times New Roman" w:hAnsi="Times New Roman" w:cs="Times New Roman"/>
          <w:sz w:val="24"/>
          <w:szCs w:val="24"/>
          <w:lang w:val="en-GB" w:eastAsia="da-DK"/>
        </w:rPr>
        <w:t xml:space="preserve">ClinicalTrials.gov, NCT03966781. Registered on 25th May 2019. </w:t>
      </w:r>
    </w:p>
    <w:p w14:paraId="27F9A23B" w14:textId="77777777" w:rsidR="0080221F" w:rsidRDefault="0080221F" w:rsidP="006A3611">
      <w:pPr>
        <w:spacing w:before="100" w:beforeAutospacing="1" w:after="100" w:afterAutospacing="1"/>
        <w:rPr>
          <w:rFonts w:ascii="Times New Roman" w:eastAsia="Times New Roman" w:hAnsi="Times New Roman" w:cs="Times New Roman"/>
          <w:b/>
          <w:bCs/>
          <w:sz w:val="24"/>
          <w:szCs w:val="24"/>
          <w:lang w:val="en-GB" w:eastAsia="da-DK"/>
        </w:rPr>
      </w:pPr>
    </w:p>
    <w:p w14:paraId="35D64540" w14:textId="77777777" w:rsidR="0080221F" w:rsidRDefault="00767947" w:rsidP="006A3611">
      <w:pPr>
        <w:spacing w:before="100" w:beforeAutospacing="1" w:after="100" w:afterAutospacing="1"/>
        <w:rPr>
          <w:rFonts w:ascii="Times New Roman" w:eastAsia="Times New Roman" w:hAnsi="Times New Roman" w:cs="Times New Roman"/>
          <w:sz w:val="24"/>
          <w:szCs w:val="24"/>
          <w:lang w:val="en-GB" w:eastAsia="da-DK"/>
        </w:rPr>
      </w:pPr>
      <w:r w:rsidRPr="0080221F">
        <w:rPr>
          <w:rFonts w:ascii="Times New Roman" w:eastAsia="Times New Roman" w:hAnsi="Times New Roman" w:cs="Times New Roman"/>
          <w:b/>
          <w:bCs/>
          <w:sz w:val="24"/>
          <w:szCs w:val="24"/>
          <w:lang w:val="en-GB" w:eastAsia="da-DK"/>
        </w:rPr>
        <w:t>Protocol d</w:t>
      </w:r>
      <w:r w:rsidR="00DB7899" w:rsidRPr="0080221F">
        <w:rPr>
          <w:rFonts w:ascii="Times New Roman" w:eastAsia="Times New Roman" w:hAnsi="Times New Roman" w:cs="Times New Roman"/>
          <w:b/>
          <w:bCs/>
          <w:sz w:val="24"/>
          <w:szCs w:val="24"/>
          <w:lang w:val="en-GB" w:eastAsia="da-DK"/>
        </w:rPr>
        <w:t>ate and version identifier:</w:t>
      </w:r>
      <w:r w:rsidR="00DB7899">
        <w:rPr>
          <w:rFonts w:ascii="Times New Roman" w:eastAsia="Times New Roman" w:hAnsi="Times New Roman" w:cs="Times New Roman"/>
          <w:sz w:val="24"/>
          <w:szCs w:val="24"/>
          <w:lang w:val="en-GB" w:eastAsia="da-DK"/>
        </w:rPr>
        <w:t xml:space="preserve"> </w:t>
      </w:r>
    </w:p>
    <w:p w14:paraId="14E7AB31" w14:textId="78985AE9" w:rsidR="00B85A8F" w:rsidRDefault="00767947" w:rsidP="006A3611">
      <w:pPr>
        <w:spacing w:before="100" w:beforeAutospacing="1" w:after="100" w:afterAutospacing="1"/>
        <w:rPr>
          <w:rFonts w:ascii="Times New Roman" w:eastAsia="Times New Roman" w:hAnsi="Times New Roman" w:cs="Times New Roman"/>
          <w:sz w:val="24"/>
          <w:szCs w:val="24"/>
          <w:lang w:val="en-GB" w:eastAsia="da-DK"/>
        </w:rPr>
      </w:pPr>
      <w:r>
        <w:rPr>
          <w:rFonts w:ascii="Times New Roman" w:eastAsia="Times New Roman" w:hAnsi="Times New Roman" w:cs="Times New Roman"/>
          <w:sz w:val="24"/>
          <w:szCs w:val="24"/>
          <w:lang w:val="en-GB" w:eastAsia="da-DK"/>
        </w:rPr>
        <w:t>March 1</w:t>
      </w:r>
      <w:r w:rsidRPr="00767947">
        <w:rPr>
          <w:rFonts w:ascii="Times New Roman" w:eastAsia="Times New Roman" w:hAnsi="Times New Roman" w:cs="Times New Roman"/>
          <w:sz w:val="24"/>
          <w:szCs w:val="24"/>
          <w:vertAlign w:val="superscript"/>
          <w:lang w:val="en-GB" w:eastAsia="da-DK"/>
        </w:rPr>
        <w:t>st</w:t>
      </w:r>
      <w:r w:rsidR="0080221F">
        <w:rPr>
          <w:rFonts w:ascii="Times New Roman" w:eastAsia="Times New Roman" w:hAnsi="Times New Roman" w:cs="Times New Roman"/>
          <w:sz w:val="24"/>
          <w:szCs w:val="24"/>
          <w:lang w:val="en-GB" w:eastAsia="da-DK"/>
        </w:rPr>
        <w:t>, 2020</w:t>
      </w:r>
      <w:r w:rsidR="00B91FC7">
        <w:rPr>
          <w:rFonts w:ascii="Times New Roman" w:eastAsia="Times New Roman" w:hAnsi="Times New Roman" w:cs="Times New Roman"/>
          <w:sz w:val="24"/>
          <w:szCs w:val="24"/>
          <w:lang w:val="en-GB" w:eastAsia="da-DK"/>
        </w:rPr>
        <w:t>;</w:t>
      </w:r>
      <w:r>
        <w:rPr>
          <w:rFonts w:ascii="Times New Roman" w:eastAsia="Times New Roman" w:hAnsi="Times New Roman" w:cs="Times New Roman"/>
          <w:sz w:val="24"/>
          <w:szCs w:val="24"/>
          <w:lang w:val="en-GB" w:eastAsia="da-DK"/>
        </w:rPr>
        <w:t xml:space="preserve"> Version 3.0</w:t>
      </w:r>
    </w:p>
    <w:p w14:paraId="12BD52B0" w14:textId="77777777" w:rsidR="001543E0" w:rsidRDefault="001543E0" w:rsidP="006A3611">
      <w:pPr>
        <w:spacing w:before="100" w:beforeAutospacing="1" w:after="100" w:afterAutospacing="1"/>
        <w:rPr>
          <w:rFonts w:ascii="Times New Roman" w:eastAsia="Times New Roman" w:hAnsi="Times New Roman" w:cs="Times New Roman"/>
          <w:sz w:val="24"/>
          <w:szCs w:val="24"/>
          <w:lang w:val="en-GB" w:eastAsia="da-DK"/>
        </w:rPr>
      </w:pPr>
    </w:p>
    <w:p w14:paraId="532631B3" w14:textId="77777777" w:rsidR="001543E0" w:rsidRPr="0080221F" w:rsidRDefault="001543E0" w:rsidP="001543E0">
      <w:pPr>
        <w:spacing w:line="360" w:lineRule="auto"/>
        <w:ind w:right="68"/>
        <w:contextualSpacing/>
        <w:jc w:val="both"/>
        <w:rPr>
          <w:rFonts w:ascii="Times New Roman" w:hAnsi="Times New Roman" w:cs="Times New Roman"/>
          <w:color w:val="000000" w:themeColor="text1"/>
          <w:sz w:val="24"/>
          <w:szCs w:val="24"/>
          <w:lang w:val="en-GB"/>
        </w:rPr>
      </w:pPr>
      <w:r w:rsidRPr="0080221F">
        <w:rPr>
          <w:rFonts w:ascii="Times New Roman" w:eastAsia="Times New Roman" w:hAnsi="Times New Roman" w:cs="Times New Roman"/>
          <w:b/>
          <w:bCs/>
          <w:sz w:val="24"/>
          <w:szCs w:val="24"/>
          <w:lang w:val="en-GB" w:eastAsia="da-DK"/>
        </w:rPr>
        <w:t xml:space="preserve">Sponsor: </w:t>
      </w:r>
      <w:r w:rsidRPr="0080221F">
        <w:rPr>
          <w:rFonts w:ascii="Times New Roman" w:hAnsi="Times New Roman" w:cs="Times New Roman"/>
          <w:color w:val="000000" w:themeColor="text1"/>
          <w:sz w:val="24"/>
          <w:szCs w:val="24"/>
          <w:lang w:val="en-GB"/>
        </w:rPr>
        <w:t>Rupjyoti Talukdar, Department of Medical Gastroenterology, Asian Institute of Gastroenterology</w:t>
      </w:r>
      <w:r w:rsidRPr="0080221F">
        <w:rPr>
          <w:rFonts w:ascii="Times New Roman" w:hAnsi="Times New Roman" w:cs="Times New Roman"/>
          <w:i/>
          <w:iCs/>
          <w:color w:val="000000" w:themeColor="text1"/>
          <w:sz w:val="24"/>
          <w:szCs w:val="24"/>
          <w:lang w:val="en-GB"/>
        </w:rPr>
        <w:t>,</w:t>
      </w:r>
      <w:r w:rsidRPr="0080221F">
        <w:rPr>
          <w:rFonts w:ascii="Times New Roman" w:hAnsi="Times New Roman" w:cs="Times New Roman"/>
          <w:color w:val="000000" w:themeColor="text1"/>
          <w:sz w:val="24"/>
          <w:szCs w:val="24"/>
          <w:lang w:val="en-GB"/>
        </w:rPr>
        <w:t xml:space="preserve"> Hyderabad, Telangana, India</w:t>
      </w:r>
    </w:p>
    <w:p w14:paraId="73550EE1" w14:textId="7B4D74C5" w:rsidR="001543E0" w:rsidRPr="001543E0" w:rsidRDefault="001543E0" w:rsidP="006A3611">
      <w:pPr>
        <w:spacing w:before="100" w:beforeAutospacing="1" w:after="100" w:afterAutospacing="1"/>
        <w:rPr>
          <w:rFonts w:ascii="Times New Roman" w:eastAsia="Times New Roman" w:hAnsi="Times New Roman" w:cs="Times New Roman"/>
          <w:b/>
          <w:bCs/>
          <w:sz w:val="24"/>
          <w:szCs w:val="24"/>
          <w:lang w:val="en-GB" w:eastAsia="da-DK"/>
        </w:rPr>
      </w:pPr>
    </w:p>
    <w:p w14:paraId="2F966053" w14:textId="0419F83E" w:rsidR="001543E0" w:rsidRPr="001543E0" w:rsidRDefault="001543E0" w:rsidP="006A3611">
      <w:pPr>
        <w:spacing w:before="100" w:beforeAutospacing="1" w:after="100" w:afterAutospacing="1"/>
        <w:rPr>
          <w:rFonts w:ascii="Times New Roman" w:eastAsia="Times New Roman" w:hAnsi="Times New Roman" w:cs="Times New Roman"/>
          <w:b/>
          <w:bCs/>
          <w:sz w:val="24"/>
          <w:szCs w:val="24"/>
          <w:lang w:val="en-GB" w:eastAsia="da-DK"/>
        </w:rPr>
      </w:pPr>
      <w:r w:rsidRPr="001543E0">
        <w:rPr>
          <w:rFonts w:ascii="Times New Roman" w:eastAsia="Times New Roman" w:hAnsi="Times New Roman" w:cs="Times New Roman"/>
          <w:b/>
          <w:bCs/>
          <w:sz w:val="24"/>
          <w:szCs w:val="24"/>
          <w:lang w:val="en-GB" w:eastAsia="da-DK"/>
        </w:rPr>
        <w:t xml:space="preserve"> </w:t>
      </w:r>
    </w:p>
    <w:p w14:paraId="7E1CE737" w14:textId="77777777" w:rsidR="006A3611" w:rsidRPr="002013B9" w:rsidRDefault="006A3611" w:rsidP="00165214">
      <w:pPr>
        <w:spacing w:line="480" w:lineRule="auto"/>
        <w:jc w:val="both"/>
        <w:rPr>
          <w:rFonts w:ascii="Times New Roman" w:hAnsi="Times New Roman" w:cs="Times New Roman"/>
          <w:color w:val="000000" w:themeColor="text1"/>
          <w:sz w:val="24"/>
          <w:szCs w:val="24"/>
          <w:lang w:val="en-GB"/>
        </w:rPr>
      </w:pPr>
    </w:p>
    <w:p w14:paraId="1844A4FF" w14:textId="4694CA76" w:rsidR="00165214" w:rsidRPr="002013B9" w:rsidRDefault="00165214" w:rsidP="00906C29">
      <w:pPr>
        <w:rPr>
          <w:rFonts w:ascii="Times New Roman" w:hAnsi="Times New Roman" w:cs="Times New Roman"/>
          <w:b/>
          <w:bCs/>
          <w:sz w:val="24"/>
          <w:szCs w:val="24"/>
          <w:lang w:val="en-GB"/>
        </w:rPr>
      </w:pPr>
    </w:p>
    <w:p w14:paraId="5527DEB7" w14:textId="7598081D" w:rsidR="00EC0B36" w:rsidRPr="002013B9" w:rsidRDefault="00EC0B36" w:rsidP="00906C29">
      <w:pPr>
        <w:rPr>
          <w:rFonts w:ascii="Times New Roman" w:hAnsi="Times New Roman" w:cs="Times New Roman"/>
          <w:b/>
          <w:bCs/>
          <w:sz w:val="24"/>
          <w:szCs w:val="24"/>
          <w:lang w:val="en-GB"/>
        </w:rPr>
      </w:pPr>
    </w:p>
    <w:p w14:paraId="647C477B" w14:textId="0ECF18C5" w:rsidR="00EC0B36" w:rsidRPr="002013B9" w:rsidRDefault="00EC0B36" w:rsidP="00906C29">
      <w:pPr>
        <w:rPr>
          <w:rFonts w:ascii="Times New Roman" w:hAnsi="Times New Roman" w:cs="Times New Roman"/>
          <w:b/>
          <w:bCs/>
          <w:sz w:val="24"/>
          <w:szCs w:val="24"/>
          <w:lang w:val="en-GB"/>
        </w:rPr>
      </w:pPr>
    </w:p>
    <w:p w14:paraId="39F6044D" w14:textId="2E0FC36F" w:rsidR="00EC0B36" w:rsidRPr="002013B9" w:rsidRDefault="00EC0B36" w:rsidP="00906C29">
      <w:pPr>
        <w:rPr>
          <w:rFonts w:ascii="Times New Roman" w:hAnsi="Times New Roman" w:cs="Times New Roman"/>
          <w:b/>
          <w:bCs/>
          <w:sz w:val="24"/>
          <w:szCs w:val="24"/>
          <w:lang w:val="en-GB"/>
        </w:rPr>
      </w:pPr>
    </w:p>
    <w:p w14:paraId="2DC93B6A" w14:textId="1BF90CEE" w:rsidR="00EC0B36" w:rsidRPr="002013B9" w:rsidRDefault="00EC0B36" w:rsidP="00906C29">
      <w:pPr>
        <w:rPr>
          <w:rFonts w:ascii="Times New Roman" w:hAnsi="Times New Roman" w:cs="Times New Roman"/>
          <w:b/>
          <w:bCs/>
          <w:sz w:val="24"/>
          <w:szCs w:val="24"/>
          <w:lang w:val="en-GB"/>
        </w:rPr>
      </w:pPr>
    </w:p>
    <w:p w14:paraId="3C71BB83" w14:textId="72335B24" w:rsidR="00EC0B36" w:rsidRPr="002013B9" w:rsidRDefault="00EC0B36" w:rsidP="00906C29">
      <w:pPr>
        <w:rPr>
          <w:rFonts w:ascii="Times New Roman" w:hAnsi="Times New Roman" w:cs="Times New Roman"/>
          <w:b/>
          <w:bCs/>
          <w:sz w:val="24"/>
          <w:szCs w:val="24"/>
          <w:lang w:val="en-GB"/>
        </w:rPr>
      </w:pPr>
    </w:p>
    <w:p w14:paraId="373C6A04" w14:textId="23BBF1B3" w:rsidR="00EC0B36" w:rsidRPr="002013B9" w:rsidRDefault="00EC0B36" w:rsidP="00906C29">
      <w:pPr>
        <w:rPr>
          <w:rFonts w:ascii="Times New Roman" w:hAnsi="Times New Roman" w:cs="Times New Roman"/>
          <w:b/>
          <w:bCs/>
          <w:sz w:val="24"/>
          <w:szCs w:val="24"/>
          <w:lang w:val="en-GB"/>
        </w:rPr>
      </w:pPr>
    </w:p>
    <w:p w14:paraId="7C34161F" w14:textId="7541A901" w:rsidR="00EC0B36" w:rsidRPr="002013B9" w:rsidRDefault="00EC0B36" w:rsidP="00906C29">
      <w:pPr>
        <w:rPr>
          <w:rFonts w:ascii="Times New Roman" w:hAnsi="Times New Roman" w:cs="Times New Roman"/>
          <w:b/>
          <w:bCs/>
          <w:sz w:val="24"/>
          <w:szCs w:val="24"/>
          <w:lang w:val="en-GB"/>
        </w:rPr>
      </w:pPr>
    </w:p>
    <w:p w14:paraId="72FD9468" w14:textId="05333C2B" w:rsidR="00EC0B36" w:rsidRPr="002013B9" w:rsidRDefault="00EC0B36" w:rsidP="00906C29">
      <w:pPr>
        <w:rPr>
          <w:rFonts w:ascii="Times New Roman" w:hAnsi="Times New Roman" w:cs="Times New Roman"/>
          <w:b/>
          <w:bCs/>
          <w:sz w:val="24"/>
          <w:szCs w:val="24"/>
          <w:lang w:val="en-GB"/>
        </w:rPr>
      </w:pPr>
    </w:p>
    <w:p w14:paraId="1997DDC5" w14:textId="72237F1E" w:rsidR="00EC0B36" w:rsidRPr="002013B9" w:rsidRDefault="00EC0B36" w:rsidP="00906C29">
      <w:pPr>
        <w:rPr>
          <w:rFonts w:ascii="Times New Roman" w:hAnsi="Times New Roman" w:cs="Times New Roman"/>
          <w:b/>
          <w:bCs/>
          <w:sz w:val="24"/>
          <w:szCs w:val="24"/>
          <w:lang w:val="en-GB"/>
        </w:rPr>
      </w:pPr>
    </w:p>
    <w:p w14:paraId="56D096B6" w14:textId="1B32A4DA" w:rsidR="00EC0B36" w:rsidRPr="002013B9" w:rsidRDefault="00EC0B36" w:rsidP="00906C29">
      <w:pPr>
        <w:rPr>
          <w:rFonts w:ascii="Times New Roman" w:hAnsi="Times New Roman" w:cs="Times New Roman"/>
          <w:b/>
          <w:bCs/>
          <w:sz w:val="24"/>
          <w:szCs w:val="24"/>
          <w:lang w:val="en-GB"/>
        </w:rPr>
      </w:pPr>
    </w:p>
    <w:p w14:paraId="00EB05C8" w14:textId="5349812D" w:rsidR="00EC0B36" w:rsidRPr="002013B9" w:rsidRDefault="00EC0B36" w:rsidP="00906C29">
      <w:pPr>
        <w:rPr>
          <w:rFonts w:ascii="Times New Roman" w:hAnsi="Times New Roman" w:cs="Times New Roman"/>
          <w:b/>
          <w:bCs/>
          <w:sz w:val="24"/>
          <w:szCs w:val="24"/>
          <w:lang w:val="en-GB"/>
        </w:rPr>
      </w:pPr>
    </w:p>
    <w:p w14:paraId="45ED8C0A" w14:textId="45224821" w:rsidR="00EC0B36" w:rsidRPr="002013B9" w:rsidRDefault="00EC0B36" w:rsidP="00906C29">
      <w:pPr>
        <w:rPr>
          <w:rFonts w:ascii="Times New Roman" w:hAnsi="Times New Roman" w:cs="Times New Roman"/>
          <w:b/>
          <w:bCs/>
          <w:sz w:val="24"/>
          <w:szCs w:val="24"/>
          <w:lang w:val="en-GB"/>
        </w:rPr>
      </w:pPr>
    </w:p>
    <w:p w14:paraId="4F35F46D" w14:textId="63EEDCA7" w:rsidR="00EC0B36" w:rsidRPr="002013B9" w:rsidRDefault="00EC0B36" w:rsidP="00906C29">
      <w:pPr>
        <w:rPr>
          <w:rFonts w:ascii="Times New Roman" w:hAnsi="Times New Roman" w:cs="Times New Roman"/>
          <w:b/>
          <w:bCs/>
          <w:sz w:val="24"/>
          <w:szCs w:val="24"/>
          <w:lang w:val="en-GB"/>
        </w:rPr>
      </w:pPr>
    </w:p>
    <w:p w14:paraId="5D93D173" w14:textId="0AD7205E" w:rsidR="00EC0B36" w:rsidRPr="002013B9" w:rsidRDefault="00EC0B36" w:rsidP="00906C29">
      <w:pPr>
        <w:rPr>
          <w:rFonts w:ascii="Times New Roman" w:hAnsi="Times New Roman" w:cs="Times New Roman"/>
          <w:b/>
          <w:bCs/>
          <w:sz w:val="24"/>
          <w:szCs w:val="24"/>
          <w:lang w:val="en-GB"/>
        </w:rPr>
      </w:pPr>
    </w:p>
    <w:p w14:paraId="7A0165BA" w14:textId="22A87786" w:rsidR="00EC0B36" w:rsidRPr="002013B9" w:rsidRDefault="00EC0B36" w:rsidP="00906C29">
      <w:pPr>
        <w:rPr>
          <w:rFonts w:ascii="Times New Roman" w:hAnsi="Times New Roman" w:cs="Times New Roman"/>
          <w:b/>
          <w:bCs/>
          <w:sz w:val="24"/>
          <w:szCs w:val="24"/>
          <w:lang w:val="en-GB"/>
        </w:rPr>
      </w:pPr>
    </w:p>
    <w:p w14:paraId="33FE1956" w14:textId="361EC0EC" w:rsidR="00EC0B36" w:rsidRPr="002013B9" w:rsidRDefault="00EC0B36" w:rsidP="00906C29">
      <w:pPr>
        <w:rPr>
          <w:rFonts w:ascii="Times New Roman" w:hAnsi="Times New Roman" w:cs="Times New Roman"/>
          <w:b/>
          <w:bCs/>
          <w:sz w:val="24"/>
          <w:szCs w:val="24"/>
          <w:lang w:val="en-GB"/>
        </w:rPr>
      </w:pPr>
    </w:p>
    <w:p w14:paraId="54DBFEEA" w14:textId="16CF4767" w:rsidR="00EC0B36" w:rsidRPr="002013B9" w:rsidRDefault="00EC0B36" w:rsidP="00906C29">
      <w:pPr>
        <w:rPr>
          <w:rFonts w:ascii="Times New Roman" w:hAnsi="Times New Roman" w:cs="Times New Roman"/>
          <w:b/>
          <w:bCs/>
          <w:sz w:val="24"/>
          <w:szCs w:val="24"/>
          <w:lang w:val="en-GB"/>
        </w:rPr>
      </w:pPr>
    </w:p>
    <w:p w14:paraId="28F2FF94" w14:textId="0D439D59" w:rsidR="00EC0B36" w:rsidRPr="002013B9" w:rsidRDefault="00EC0B36" w:rsidP="00906C29">
      <w:pPr>
        <w:rPr>
          <w:rFonts w:ascii="Times New Roman" w:hAnsi="Times New Roman" w:cs="Times New Roman"/>
          <w:b/>
          <w:bCs/>
          <w:sz w:val="24"/>
          <w:szCs w:val="24"/>
          <w:lang w:val="en-GB"/>
        </w:rPr>
      </w:pPr>
    </w:p>
    <w:p w14:paraId="75F804DE" w14:textId="46DFB8ED" w:rsidR="00EC0B36" w:rsidRPr="002013B9" w:rsidRDefault="00EC0B36" w:rsidP="00906C29">
      <w:pPr>
        <w:rPr>
          <w:rFonts w:ascii="Times New Roman" w:hAnsi="Times New Roman" w:cs="Times New Roman"/>
          <w:b/>
          <w:bCs/>
          <w:sz w:val="24"/>
          <w:szCs w:val="24"/>
          <w:lang w:val="en-GB"/>
        </w:rPr>
      </w:pPr>
    </w:p>
    <w:p w14:paraId="0FC634BE" w14:textId="41E20BEE" w:rsidR="00EC0B36" w:rsidRPr="002013B9" w:rsidRDefault="00EC0B36" w:rsidP="00906C29">
      <w:pPr>
        <w:rPr>
          <w:rFonts w:ascii="Times New Roman" w:hAnsi="Times New Roman" w:cs="Times New Roman"/>
          <w:b/>
          <w:bCs/>
          <w:sz w:val="24"/>
          <w:szCs w:val="24"/>
          <w:lang w:val="en-GB"/>
        </w:rPr>
      </w:pPr>
    </w:p>
    <w:p w14:paraId="17F07810" w14:textId="7F3AC60A" w:rsidR="00EC0B36" w:rsidRPr="002013B9" w:rsidRDefault="00EC0B36" w:rsidP="00906C29">
      <w:pPr>
        <w:rPr>
          <w:rFonts w:ascii="Times New Roman" w:hAnsi="Times New Roman" w:cs="Times New Roman"/>
          <w:b/>
          <w:bCs/>
          <w:sz w:val="24"/>
          <w:szCs w:val="24"/>
          <w:lang w:val="en-GB"/>
        </w:rPr>
      </w:pPr>
    </w:p>
    <w:p w14:paraId="0CCC71BC" w14:textId="1A33F5C4" w:rsidR="00EC0B36" w:rsidRPr="002013B9" w:rsidRDefault="00EC0B36" w:rsidP="00906C29">
      <w:pPr>
        <w:rPr>
          <w:rFonts w:ascii="Times New Roman" w:hAnsi="Times New Roman" w:cs="Times New Roman"/>
          <w:b/>
          <w:bCs/>
          <w:sz w:val="24"/>
          <w:szCs w:val="24"/>
          <w:lang w:val="en-GB"/>
        </w:rPr>
      </w:pPr>
    </w:p>
    <w:p w14:paraId="56682A15" w14:textId="75234536" w:rsidR="00EC0B36" w:rsidRPr="002013B9" w:rsidRDefault="00EC0B36" w:rsidP="00906C29">
      <w:pPr>
        <w:rPr>
          <w:rFonts w:ascii="Times New Roman" w:hAnsi="Times New Roman" w:cs="Times New Roman"/>
          <w:b/>
          <w:bCs/>
          <w:sz w:val="24"/>
          <w:szCs w:val="24"/>
          <w:lang w:val="en-GB"/>
        </w:rPr>
      </w:pPr>
    </w:p>
    <w:p w14:paraId="652323CC" w14:textId="10213AA1" w:rsidR="00EC0B36" w:rsidRPr="002013B9" w:rsidRDefault="00EC0B36" w:rsidP="00906C29">
      <w:pPr>
        <w:rPr>
          <w:rFonts w:ascii="Times New Roman" w:hAnsi="Times New Roman" w:cs="Times New Roman"/>
          <w:b/>
          <w:bCs/>
          <w:sz w:val="24"/>
          <w:szCs w:val="24"/>
          <w:lang w:val="en-GB"/>
        </w:rPr>
      </w:pPr>
    </w:p>
    <w:p w14:paraId="65D2ED15" w14:textId="67DE1A1D" w:rsidR="00EC0B36" w:rsidRPr="002013B9" w:rsidRDefault="00EC0B36" w:rsidP="00906C29">
      <w:pPr>
        <w:rPr>
          <w:rFonts w:ascii="Times New Roman" w:hAnsi="Times New Roman" w:cs="Times New Roman"/>
          <w:b/>
          <w:bCs/>
          <w:sz w:val="24"/>
          <w:szCs w:val="24"/>
          <w:lang w:val="en-GB"/>
        </w:rPr>
      </w:pPr>
    </w:p>
    <w:p w14:paraId="624074A6" w14:textId="1C7A7C2B" w:rsidR="00E5649C" w:rsidRPr="002013B9" w:rsidRDefault="001B297B" w:rsidP="00906C29">
      <w:pPr>
        <w:rPr>
          <w:rFonts w:ascii="Times New Roman" w:hAnsi="Times New Roman" w:cs="Times New Roman"/>
          <w:b/>
          <w:bCs/>
          <w:sz w:val="24"/>
          <w:szCs w:val="24"/>
          <w:lang w:val="en-GB"/>
        </w:rPr>
      </w:pPr>
      <w:r w:rsidRPr="002013B9">
        <w:rPr>
          <w:rFonts w:ascii="Times New Roman" w:hAnsi="Times New Roman" w:cs="Times New Roman"/>
          <w:b/>
          <w:bCs/>
          <w:sz w:val="24"/>
          <w:szCs w:val="24"/>
          <w:lang w:val="en-GB"/>
        </w:rPr>
        <w:lastRenderedPageBreak/>
        <w:t>Introduction</w:t>
      </w:r>
    </w:p>
    <w:p w14:paraId="0919B164" w14:textId="77777777" w:rsidR="00193339" w:rsidRPr="002013B9" w:rsidRDefault="00193339" w:rsidP="00906C29">
      <w:pPr>
        <w:rPr>
          <w:rFonts w:ascii="Times New Roman" w:hAnsi="Times New Roman" w:cs="Times New Roman"/>
          <w:b/>
          <w:bCs/>
          <w:sz w:val="24"/>
          <w:szCs w:val="24"/>
          <w:lang w:val="en-GB"/>
        </w:rPr>
      </w:pPr>
    </w:p>
    <w:p w14:paraId="24BA14F4" w14:textId="5F7CC430" w:rsidR="00A84A0D" w:rsidRPr="002013B9" w:rsidRDefault="00A5745C" w:rsidP="00A84A0D">
      <w:pPr>
        <w:spacing w:line="480" w:lineRule="auto"/>
        <w:contextualSpacing/>
        <w:jc w:val="both"/>
        <w:rPr>
          <w:rFonts w:ascii="Times New Roman" w:hAnsi="Times New Roman" w:cs="Times New Roman"/>
          <w:color w:val="000000" w:themeColor="text1"/>
          <w:sz w:val="24"/>
          <w:szCs w:val="24"/>
          <w:lang w:val="en-GB"/>
        </w:rPr>
      </w:pPr>
      <w:r w:rsidRPr="002013B9">
        <w:rPr>
          <w:rFonts w:ascii="Times New Roman" w:hAnsi="Times New Roman" w:cs="Times New Roman"/>
          <w:color w:val="000000" w:themeColor="text1"/>
          <w:sz w:val="24"/>
          <w:szCs w:val="24"/>
          <w:lang w:val="en-GB"/>
        </w:rPr>
        <w:t xml:space="preserve">Pain is the </w:t>
      </w:r>
      <w:r w:rsidR="001B297B" w:rsidRPr="002013B9">
        <w:rPr>
          <w:rFonts w:ascii="Times New Roman" w:hAnsi="Times New Roman" w:cs="Times New Roman"/>
          <w:color w:val="000000" w:themeColor="text1"/>
          <w:sz w:val="24"/>
          <w:szCs w:val="24"/>
          <w:lang w:val="en-GB"/>
        </w:rPr>
        <w:t>primary symptom of</w:t>
      </w:r>
      <w:r w:rsidRPr="002013B9">
        <w:rPr>
          <w:rFonts w:ascii="Times New Roman" w:hAnsi="Times New Roman" w:cs="Times New Roman"/>
          <w:color w:val="000000" w:themeColor="text1"/>
          <w:sz w:val="24"/>
          <w:szCs w:val="24"/>
          <w:lang w:val="en-GB"/>
        </w:rPr>
        <w:t xml:space="preserve"> </w:t>
      </w:r>
      <w:r w:rsidR="00FD5CB4" w:rsidRPr="002013B9">
        <w:rPr>
          <w:rFonts w:ascii="Times New Roman" w:hAnsi="Times New Roman" w:cs="Times New Roman"/>
          <w:color w:val="000000" w:themeColor="text1"/>
          <w:sz w:val="24"/>
          <w:szCs w:val="24"/>
          <w:lang w:val="en-GB"/>
        </w:rPr>
        <w:t xml:space="preserve">chronic pancreatitis (CP) </w:t>
      </w:r>
      <w:r w:rsidRPr="002013B9">
        <w:rPr>
          <w:rFonts w:ascii="Times New Roman" w:hAnsi="Times New Roman" w:cs="Times New Roman"/>
          <w:color w:val="000000" w:themeColor="text1"/>
          <w:sz w:val="24"/>
          <w:szCs w:val="24"/>
          <w:lang w:val="en-GB"/>
        </w:rPr>
        <w:t>and remains a considerable therapeutic challenge</w:t>
      </w:r>
      <w:r w:rsidR="00422260" w:rsidRPr="002013B9">
        <w:rPr>
          <w:rFonts w:ascii="Times New Roman" w:hAnsi="Times New Roman" w:cs="Times New Roman"/>
          <w:color w:val="000000" w:themeColor="text1"/>
          <w:sz w:val="24"/>
          <w:szCs w:val="24"/>
          <w:lang w:val="en-GB"/>
        </w:rPr>
        <w:t xml:space="preserve"> </w:t>
      </w:r>
      <w:r w:rsidR="0016079C" w:rsidRPr="002013B9">
        <w:rPr>
          <w:rFonts w:ascii="Times New Roman" w:hAnsi="Times New Roman" w:cs="Times New Roman"/>
          <w:color w:val="000000" w:themeColor="text1"/>
          <w:sz w:val="24"/>
          <w:szCs w:val="24"/>
          <w:lang w:val="en-GB"/>
        </w:rPr>
        <w:fldChar w:fldCharType="begin" w:fldLock="1"/>
      </w:r>
      <w:r w:rsidR="00422260" w:rsidRPr="002013B9">
        <w:rPr>
          <w:rFonts w:ascii="Times New Roman" w:hAnsi="Times New Roman" w:cs="Times New Roman"/>
          <w:color w:val="000000" w:themeColor="text1"/>
          <w:sz w:val="24"/>
          <w:szCs w:val="24"/>
          <w:lang w:val="en-GB"/>
        </w:rPr>
        <w:instrText>ADDIN CSL_CITATION {"citationItems":[{"id":"ITEM-1","itemData":{"ISBN":"0016-5085; 0016-5085","author":[{"dropping-particle":"","family":"Warshaw","given":"A L","non-dropping-particle":"","parse-names":false,"suffix":""},{"dropping-particle":"","family":"Banks","given":"P A","non-dropping-particle":"","parse-names":false,"suffix":""},{"dropping-particle":"","family":"Castillo","given":"C Fernandez-Del","non-dropping-particle":"","parse-names":false,"suffix":""}],"container-title":"Gastroenterology","id":"ITEM-1","issue":"3","issued":{"date-parts":[["1998","9"]]},"note":"LR: 20111117; JID: 0374630; RF: 91; ppublish","page":"765-776","title":"AGA technical review: treatment of pain in chronic pancreatitis","type":"article-journal","volume":"115"},"uris":["http://www.mendeley.com/documents/?uuid=9937b93b-d0e0-4a05-a79e-4cb122653cf5"]}],"mendeley":{"formattedCitation":"[1]","plainTextFormattedCitation":"[1]","previouslyFormattedCitation":"[1]"},"properties":{"noteIndex":0},"schema":"https://github.com/citation-style-language/schema/raw/master/csl-citation.json"}</w:instrText>
      </w:r>
      <w:r w:rsidR="0016079C" w:rsidRPr="002013B9">
        <w:rPr>
          <w:rFonts w:ascii="Times New Roman" w:hAnsi="Times New Roman" w:cs="Times New Roman"/>
          <w:color w:val="000000" w:themeColor="text1"/>
          <w:sz w:val="24"/>
          <w:szCs w:val="24"/>
          <w:lang w:val="en-GB"/>
        </w:rPr>
        <w:fldChar w:fldCharType="separate"/>
      </w:r>
      <w:r w:rsidR="0024057D" w:rsidRPr="002013B9">
        <w:rPr>
          <w:rFonts w:ascii="Times New Roman" w:hAnsi="Times New Roman" w:cs="Times New Roman"/>
          <w:noProof/>
          <w:color w:val="000000" w:themeColor="text1"/>
          <w:sz w:val="24"/>
          <w:szCs w:val="24"/>
          <w:lang w:val="en-GB"/>
        </w:rPr>
        <w:t>[1]</w:t>
      </w:r>
      <w:r w:rsidR="0016079C" w:rsidRPr="002013B9">
        <w:rPr>
          <w:rFonts w:ascii="Times New Roman" w:hAnsi="Times New Roman" w:cs="Times New Roman"/>
          <w:color w:val="000000" w:themeColor="text1"/>
          <w:sz w:val="24"/>
          <w:szCs w:val="24"/>
          <w:lang w:val="en-GB"/>
        </w:rPr>
        <w:fldChar w:fldCharType="end"/>
      </w:r>
      <w:r w:rsidR="00FD5CB4" w:rsidRPr="002013B9">
        <w:rPr>
          <w:rFonts w:ascii="Times New Roman" w:hAnsi="Times New Roman" w:cs="Times New Roman"/>
          <w:color w:val="000000" w:themeColor="text1"/>
          <w:sz w:val="24"/>
          <w:szCs w:val="24"/>
          <w:lang w:val="en-GB"/>
        </w:rPr>
        <w:t xml:space="preserve">. In patients with </w:t>
      </w:r>
      <w:r w:rsidR="00194A33" w:rsidRPr="002013B9">
        <w:rPr>
          <w:rFonts w:ascii="Times New Roman" w:hAnsi="Times New Roman" w:cs="Times New Roman"/>
          <w:color w:val="000000" w:themeColor="text1"/>
          <w:sz w:val="24"/>
          <w:szCs w:val="24"/>
          <w:lang w:val="en-GB"/>
        </w:rPr>
        <w:t xml:space="preserve">pathological </w:t>
      </w:r>
      <w:r w:rsidR="00FD5CB4" w:rsidRPr="002013B9">
        <w:rPr>
          <w:rFonts w:ascii="Times New Roman" w:hAnsi="Times New Roman" w:cs="Times New Roman"/>
          <w:color w:val="000000" w:themeColor="text1"/>
          <w:sz w:val="24"/>
          <w:szCs w:val="24"/>
          <w:lang w:val="en-GB"/>
        </w:rPr>
        <w:t xml:space="preserve">changes </w:t>
      </w:r>
      <w:r w:rsidR="00230564" w:rsidRPr="002013B9">
        <w:rPr>
          <w:rFonts w:ascii="Times New Roman" w:hAnsi="Times New Roman" w:cs="Times New Roman"/>
          <w:color w:val="000000" w:themeColor="text1"/>
          <w:sz w:val="24"/>
          <w:szCs w:val="24"/>
          <w:lang w:val="en-GB"/>
        </w:rPr>
        <w:t>of</w:t>
      </w:r>
      <w:r w:rsidR="00FD5CB4" w:rsidRPr="002013B9">
        <w:rPr>
          <w:rFonts w:ascii="Times New Roman" w:hAnsi="Times New Roman" w:cs="Times New Roman"/>
          <w:color w:val="000000" w:themeColor="text1"/>
          <w:sz w:val="24"/>
          <w:szCs w:val="24"/>
          <w:lang w:val="en-GB"/>
        </w:rPr>
        <w:t xml:space="preserve"> the pancreatic duct, including</w:t>
      </w:r>
      <w:r w:rsidR="00D2462E" w:rsidRPr="002013B9">
        <w:rPr>
          <w:rFonts w:ascii="Times New Roman" w:hAnsi="Times New Roman" w:cs="Times New Roman"/>
          <w:color w:val="000000" w:themeColor="text1"/>
          <w:sz w:val="24"/>
          <w:szCs w:val="24"/>
          <w:lang w:val="en-GB"/>
        </w:rPr>
        <w:t xml:space="preserve"> stones and strictures,</w:t>
      </w:r>
      <w:r w:rsidR="00FD5CB4" w:rsidRPr="002013B9">
        <w:rPr>
          <w:rFonts w:ascii="Times New Roman" w:hAnsi="Times New Roman" w:cs="Times New Roman"/>
          <w:color w:val="000000" w:themeColor="text1"/>
          <w:sz w:val="24"/>
          <w:szCs w:val="24"/>
          <w:lang w:val="en-GB"/>
        </w:rPr>
        <w:t xml:space="preserve"> endoscopic </w:t>
      </w:r>
      <w:r w:rsidR="00A53B81" w:rsidRPr="002013B9">
        <w:rPr>
          <w:rFonts w:ascii="Times New Roman" w:hAnsi="Times New Roman" w:cs="Times New Roman"/>
          <w:color w:val="000000" w:themeColor="text1"/>
          <w:sz w:val="24"/>
          <w:szCs w:val="24"/>
          <w:lang w:val="en-GB"/>
        </w:rPr>
        <w:t>treatment</w:t>
      </w:r>
      <w:r w:rsidR="00FD5CB4" w:rsidRPr="002013B9">
        <w:rPr>
          <w:rFonts w:ascii="Times New Roman" w:hAnsi="Times New Roman" w:cs="Times New Roman"/>
          <w:color w:val="000000" w:themeColor="text1"/>
          <w:sz w:val="24"/>
          <w:szCs w:val="24"/>
          <w:lang w:val="en-GB"/>
        </w:rPr>
        <w:t xml:space="preserve"> with </w:t>
      </w:r>
      <w:r w:rsidR="006E6A60" w:rsidRPr="002013B9">
        <w:rPr>
          <w:rFonts w:ascii="Times New Roman" w:hAnsi="Times New Roman" w:cs="Times New Roman"/>
          <w:color w:val="000000" w:themeColor="text1"/>
          <w:sz w:val="24"/>
          <w:szCs w:val="24"/>
          <w:lang w:val="en-GB"/>
        </w:rPr>
        <w:t>or</w:t>
      </w:r>
      <w:r w:rsidR="00FD5CB4" w:rsidRPr="002013B9">
        <w:rPr>
          <w:rFonts w:ascii="Times New Roman" w:hAnsi="Times New Roman" w:cs="Times New Roman"/>
          <w:color w:val="000000" w:themeColor="text1"/>
          <w:sz w:val="24"/>
          <w:szCs w:val="24"/>
          <w:lang w:val="en-GB"/>
        </w:rPr>
        <w:t xml:space="preserve"> without</w:t>
      </w:r>
      <w:r w:rsidR="006E6A60" w:rsidRPr="002013B9">
        <w:rPr>
          <w:rFonts w:ascii="Times New Roman" w:hAnsi="Times New Roman" w:cs="Times New Roman"/>
          <w:color w:val="000000" w:themeColor="text1"/>
          <w:sz w:val="24"/>
          <w:szCs w:val="24"/>
          <w:lang w:val="en-GB"/>
        </w:rPr>
        <w:t xml:space="preserve"> preceding</w:t>
      </w:r>
      <w:r w:rsidR="00FD5CB4" w:rsidRPr="002013B9">
        <w:rPr>
          <w:rFonts w:ascii="Times New Roman" w:hAnsi="Times New Roman" w:cs="Times New Roman"/>
          <w:color w:val="000000" w:themeColor="text1"/>
          <w:sz w:val="24"/>
          <w:szCs w:val="24"/>
          <w:lang w:val="en-GB"/>
        </w:rPr>
        <w:t xml:space="preserve"> extracorporeal shock wave lithotripsy (ESWL) </w:t>
      </w:r>
      <w:r w:rsidR="00777B57" w:rsidRPr="002013B9">
        <w:rPr>
          <w:rFonts w:ascii="Times New Roman" w:hAnsi="Times New Roman" w:cs="Times New Roman"/>
          <w:color w:val="000000" w:themeColor="text1"/>
          <w:sz w:val="24"/>
          <w:szCs w:val="24"/>
          <w:lang w:val="en-GB"/>
        </w:rPr>
        <w:t>and</w:t>
      </w:r>
      <w:r w:rsidR="00CC2109" w:rsidRPr="002013B9">
        <w:rPr>
          <w:rFonts w:ascii="Times New Roman" w:hAnsi="Times New Roman" w:cs="Times New Roman"/>
          <w:color w:val="000000" w:themeColor="text1"/>
          <w:sz w:val="24"/>
          <w:szCs w:val="24"/>
          <w:lang w:val="en-GB"/>
        </w:rPr>
        <w:t xml:space="preserve"> surgery </w:t>
      </w:r>
      <w:r w:rsidR="007E5559" w:rsidRPr="002013B9">
        <w:rPr>
          <w:rFonts w:ascii="Times New Roman" w:hAnsi="Times New Roman" w:cs="Times New Roman"/>
          <w:color w:val="000000" w:themeColor="text1"/>
          <w:sz w:val="24"/>
          <w:szCs w:val="24"/>
          <w:lang w:val="en-GB"/>
        </w:rPr>
        <w:t>have</w:t>
      </w:r>
      <w:r w:rsidR="00FD5CB4" w:rsidRPr="002013B9">
        <w:rPr>
          <w:rFonts w:ascii="Times New Roman" w:hAnsi="Times New Roman" w:cs="Times New Roman"/>
          <w:color w:val="000000" w:themeColor="text1"/>
          <w:sz w:val="24"/>
          <w:szCs w:val="24"/>
          <w:lang w:val="en-GB"/>
        </w:rPr>
        <w:t xml:space="preserve"> been used </w:t>
      </w:r>
      <w:r w:rsidR="00F650AA" w:rsidRPr="002013B9">
        <w:rPr>
          <w:rFonts w:ascii="Times New Roman" w:hAnsi="Times New Roman" w:cs="Times New Roman"/>
          <w:color w:val="000000" w:themeColor="text1"/>
          <w:sz w:val="24"/>
          <w:szCs w:val="24"/>
          <w:lang w:val="en-GB"/>
        </w:rPr>
        <w:t>with varying success</w:t>
      </w:r>
      <w:r w:rsidRPr="002013B9">
        <w:rPr>
          <w:rFonts w:ascii="Times New Roman" w:hAnsi="Times New Roman" w:cs="Times New Roman"/>
          <w:color w:val="000000" w:themeColor="text1"/>
          <w:sz w:val="24"/>
          <w:szCs w:val="24"/>
          <w:lang w:val="en-GB"/>
        </w:rPr>
        <w:t xml:space="preserve"> to treat pain</w:t>
      </w:r>
      <w:r w:rsidR="00422260" w:rsidRPr="002013B9">
        <w:rPr>
          <w:rFonts w:ascii="Times New Roman" w:hAnsi="Times New Roman" w:cs="Times New Roman"/>
          <w:color w:val="000000" w:themeColor="text1"/>
          <w:sz w:val="24"/>
          <w:szCs w:val="24"/>
          <w:lang w:val="en-GB"/>
        </w:rPr>
        <w:t xml:space="preserve"> </w:t>
      </w:r>
      <w:r w:rsidR="0016079C" w:rsidRPr="002013B9">
        <w:rPr>
          <w:rFonts w:ascii="Times New Roman" w:hAnsi="Times New Roman" w:cs="Times New Roman"/>
          <w:color w:val="000000" w:themeColor="text1"/>
          <w:sz w:val="24"/>
          <w:szCs w:val="24"/>
          <w:lang w:val="en-GB"/>
        </w:rPr>
        <w:fldChar w:fldCharType="begin" w:fldLock="1"/>
      </w:r>
      <w:r w:rsidR="00CA1FAE" w:rsidRPr="002013B9">
        <w:rPr>
          <w:rFonts w:ascii="Times New Roman" w:hAnsi="Times New Roman" w:cs="Times New Roman"/>
          <w:color w:val="000000" w:themeColor="text1"/>
          <w:sz w:val="24"/>
          <w:szCs w:val="24"/>
          <w:lang w:val="en-GB"/>
        </w:rPr>
        <w:instrText>ADDIN CSL_CITATION {"citationItems":[{"id":"ITEM-1","itemData":{"DOI":"10.1177/2050640616684695","ISSN":"2050-6406","author":[{"dropping-particle":"","family":"Löhr","given":"J Matthias","non-dropping-particle":"","parse-names":false,"suffix":""},{"dropping-particle":"","family":"Dominguez-Munoz","given":"Enrique","non-dropping-particle":"","parse-names":false,"suffix":""},{"dropping-particle":"","family":"Rosendahl","given":"Jonas","non-dropping-particle":"","parse-names":false,"suffix":""},{"dropping-particle":"","family":"Besselink","given":"Marc","non-dropping-particle":"","parse-names":false,"suffix":""},{"dropping-particle":"","family":"Mayerle","given":"Julia","non-dropping-particle":"","parse-names":false,"suffix":""},{"dropping-particle":"","family":"Lerch","given":"Markus M","non-dropping-particle":"","parse-names":false,"suffix":""},{"dropping-particle":"","family":"Haas","given":"Stephan","non-dropping-particle":"","parse-names":false,"suffix":""},{"dropping-particle":"","family":"Akisik","given":"Fatih","non-dropping-particle":"","parse-names":false,"suffix":""},{"dropping-particle":"","family":"Kartalis","given":"Nikolaos","non-dropping-particle":"","parse-names":false,"suffix":""},{"dropping-particle":"","family":"Iglesias-Garcia","given":"Julio","non-dropping-particle":"","parse-names":false,"suffix":""},{"dropping-particle":"","family":"Keller","given":"Jutta","non-dropping-particle":"","parse-names":false,"suffix":""},{"dropping-particle":"","family":"Boermeester","given":"Marja","non-dropping-particle":"","parse-names":false,"suffix":""},{"dropping-particle":"","family":"Werner","given":"Jens","non-dropping-particle":"","parse-names":false,"suffix":""},{"dropping-particle":"","family":"Dumonceau","given":"Jean-Marc","non-dropping-particle":"","parse-names":false,"suffix":""},{"dropping-particle":"","family":"Fockens","given":"Paul","non-dropping-particle":"","parse-names":false,"suffix":""},{"dropping-particle":"","family":"Drewes","given":"Asbjorn","non-dropping-particle":"","parse-names":false,"suffix":""},{"dropping-particle":"","family":"Ceyhan","given":"Gürlap","non-dropping-particle":"","parse-names":false,"suffix":""},{"dropping-particle":"","family":"Lindkvist","given":"Björn","non-dropping-particle":"","parse-names":false,"suffix":""},{"dropping-particle":"","family":"Drenth","given":"Joost","non-dropping-particle":"","parse-names":false,"suffix":""},{"dropping-particle":"","family":"Ewald","given":"Nils","non-dropping-particle":"","parse-names":false,"suffix":""},{"dropping-particle":"","family":"Hardt","given":"Philip","non-dropping-particle":"","parse-names":false,"suffix":""},{"dropping-particle":"","family":"Madaria","given":"Enrique","non-dropping-particle":"de","parse-names":false,"suffix":""},{"dropping-particle":"","family":"Witt","given":"Heiko","non-dropping-particle":"","parse-names":false,"suffix":""},{"dropping-particle":"","family":"Schneider","given":"Alexander","non-dropping-particle":"","parse-names":false,"suffix":""},{"dropping-particle":"","family":"Manfredi","given":"Riccardo","non-dropping-particle":"","parse-names":false,"suffix":""},{"dropping-particle":"","family":"Brøndum","given":"Frøkjer J","non-dropping-particle":"","parse-names":false,"suffix":""},{"dropping-particle":"","family":"Rudolf","given":"Sasa","non-dropping-particle":"","parse-names":false,"suffix":""},{"dropping-particle":"","family":"Bollen","given":"Thomas","non-dropping-particle":"","parse-names":false,"suffix":""},{"dropping-particle":"","family":"Bruno","given":"Marco","non-dropping-particle":"","parse-names":false,"suffix":""}],"container-title":"United European Gastroenterology Journal","id":"ITEM-1","issue":"2","issued":{"date-parts":[["2017","3","16"]]},"page":"153-199","title":"United European Gastroenterology evidence-based guidelines for the diagnosis and therapy of chronic pancreatitis (HaPanEU)","type":"article-journal","volume":"5"},"uris":["http://www.mendeley.com/documents/?uuid=38774a3b-b4ce-4f27-9ff0-599506f568cf"]},{"id":"ITEM-2","itemData":{"DOI":"10.1055/s-0032-1309840","ISSN":"1438-8812","PMID":"22752888","abstract":"BACKGROUND AND AIMS: Clarification of the position of the European Society of Gastrointestinal Endoscopy (ESGE) regarding the interventional options available for treating patients with chronic pancreatitis.\n\nMETHODS: Systematic literature search to answer explicit key questions with levels of evidence serving to determine recommendation grades. The ESGE funded development of the Guideline.\n\nSUMMARY OF SELECTED RECOMMENDATIONS: For treating painful uncomplicated chronic pancreatitis, the ESGE recommends extracorporeal shockwave lithotripsy/endoscopic retrograde cholangiopancreatography as the first-line interventional option. The clinical response should be evaluated at 6 - 8 weeks; if it appears unsatisfactory, the patient's case should be discussed again in a multidisciplinary team. Surgical options should be considered, in particular in patients with a predicted poor outcome following endoscopic therapy (Recommendation grade B). For treating chronic pancreatitis associated with radiopaque stones ≥ 5 mm that obstruct the main pancreatic duct, the ESGE recommends extracorporeal shockwave lithotripsy as a first step, combined or not with endoscopic extraction of stone fragments depending on the expertise of the center (Recommendation grade B). For treating chronic pancreatitis associated with a dominant stricture of the main pancreatic duct, the ESGE recommends inserting a single 10-Fr plastic stent, with stent exchange planned within 1 year (Recommendation grade C). In patients with ductal strictures persisting after 12 months of single plastic stenting, the ESGE recommends that available options (e. g., endoscopic placement of multiple pancreatic stents, surgery) be discussed in a multidisciplinary team (Recommendation grade D).For treating uncomplicated chronic pancreatic pseudocysts that are within endoscopic reach, the ESGE recommends endoscopic drainage as a first-line therapy (Recommendation grade A).For treating chronic pancreatitis-related biliary strictures, the choice between endoscopic and surgical therapy should rely on local expertise, patient co-morbidities and expected patient compliance with repeat endoscopic procedures (Recommendation grade D). If endoscopy is elected, the ESGE recommends temporary placement of multiple, side-by-side, plastic biliary stents (Recommendation grade A).","author":[{"dropping-particle":"","family":"Dumonceau","given":"J-M","non-dropping-particle":"","parse-names":false,"suffix":""},{"dropping-particle":"","family":"Delhaye","given":"M","non-dropping-particle":"","parse-names":false,"suffix":""},{"dropping-particle":"","family":"Tringali","given":"a","non-dropping-particle":"","parse-names":false,"suffix":""},{"dropping-particle":"","family":"Dominguez-Munoz","given":"J E","non-dropping-particle":"","parse-names":false,"suffix":""},{"dropping-particle":"","family":"Poley","given":"J-W","non-dropping-particle":"","parse-names":false,"suffix":""},{"dropping-particle":"","family":"Arvanitaki","given":"M","non-dropping-particle":"","parse-names":false,"suffix":""},{"dropping-particle":"","family":"Costamagna","given":"G","non-dropping-particle":"","parse-names":false,"suffix":""},{"dropping-particle":"","family":"Costea","given":"F","non-dropping-particle":"","parse-names":false,"suffix":""},{"dropping-particle":"","family":"Devière","given":"J","non-dropping-particle":"","parse-names":false,"suffix":""},{"dropping-particle":"","family":"Eisendrath","given":"P","non-dropping-particle":"","parse-names":false,"suffix":""},{"dropping-particle":"","family":"Lakhtakia","given":"S","non-dropping-particle":"","parse-names":false,"suffix":""},{"dropping-particle":"","family":"Reddy","given":"N","non-dropping-particle":"","parse-names":false,"suffix":""},{"dropping-particle":"","family":"Fockens","given":"P","non-dropping-particle":"","parse-names":false,"suffix":""},{"dropping-particle":"","family":"Ponchon","given":"T","non-dropping-particle":"","parse-names":false,"suffix":""},{"dropping-particle":"","family":"Bruno","given":"M","non-dropping-particle":"","parse-names":false,"suffix":""}],"container-title":"Endoscopy","id":"ITEM-2","issue":"8","issued":{"date-parts":[["2012","8"]]},"page":"784-800","title":"Endoscopic treatment of chronic pancreatitis: European Society of Gastrointestinal Endoscopy (ESGE) Clinical Guideline.","type":"article-journal","volume":"44"},"uris":["http://www.mendeley.com/documents/?uuid=dedec915-dc02-436e-8a6d-db895dda1534"]},{"id":"ITEM-3","itemData":{"DOI":"10.1055/s-2007-966447","ISSN":"1438-8812","PMID":"17516288","abstract":"Endotherapy for pancreatic stone is an emerging specialty. The judicious application of extracorporeal shock-wave lithotripsy (ESWL) and endoscopic retrograde cholangiopancreatography (ERCP) in selected groups of patients has increased the success rates of endotherapy, with excellent long-term results. In this review the authors share their vast experience of treating patients with pancreatic stones. The article will focus on the basic principles of pancreatic endotherapy, the instrumentation required, details of the ESWL technique and its applications, as well as the limitations, success rate, and complications of endotherapy in selected patients.","author":[{"dropping-particle":"","family":"Maydeo","given":"A","non-dropping-particle":"","parse-names":false,"suffix":""},{"dropping-particle":"","family":"Soehendra","given":"N","non-dropping-particle":"","parse-names":false,"suffix":""},{"dropping-particle":"","family":"Reddy","given":"N","non-dropping-particle":"","parse-names":false,"suffix":""},{"dropping-particle":"","family":"Bhandari","given":"S","non-dropping-particle":"","parse-names":false,"suffix":""}],"container-title":"Endoscopy","id":"ITEM-3","issue":"7","issued":{"date-parts":[["2007","7"]]},"page":"653-8","title":"Endotherapy for chronic pancreatitis with intracanalar stones.","type":"article-journal","volume":"39"},"uris":["http://www.mendeley.com/documents/?uuid=0735edf2-a9ce-4ba7-acdc-9034455815a6"]}],"mendeley":{"formattedCitation":"[2–4]","plainTextFormattedCitation":"[2–4]","previouslyFormattedCitation":"[2–4]"},"properties":{"noteIndex":0},"schema":"https://github.com/citation-style-language/schema/raw/master/csl-citation.json"}</w:instrText>
      </w:r>
      <w:r w:rsidR="0016079C" w:rsidRPr="002013B9">
        <w:rPr>
          <w:rFonts w:ascii="Times New Roman" w:hAnsi="Times New Roman" w:cs="Times New Roman"/>
          <w:color w:val="000000" w:themeColor="text1"/>
          <w:sz w:val="24"/>
          <w:szCs w:val="24"/>
          <w:lang w:val="en-GB"/>
        </w:rPr>
        <w:fldChar w:fldCharType="separate"/>
      </w:r>
      <w:r w:rsidR="0024057D" w:rsidRPr="002013B9">
        <w:rPr>
          <w:rFonts w:ascii="Times New Roman" w:hAnsi="Times New Roman" w:cs="Times New Roman"/>
          <w:noProof/>
          <w:color w:val="000000" w:themeColor="text1"/>
          <w:sz w:val="24"/>
          <w:szCs w:val="24"/>
          <w:lang w:val="en-GB"/>
        </w:rPr>
        <w:t>[2–4]</w:t>
      </w:r>
      <w:r w:rsidR="0016079C" w:rsidRPr="002013B9">
        <w:rPr>
          <w:rFonts w:ascii="Times New Roman" w:hAnsi="Times New Roman" w:cs="Times New Roman"/>
          <w:color w:val="000000" w:themeColor="text1"/>
          <w:sz w:val="24"/>
          <w:szCs w:val="24"/>
          <w:lang w:val="en-GB"/>
        </w:rPr>
        <w:fldChar w:fldCharType="end"/>
      </w:r>
      <w:r w:rsidR="00FD5CB4" w:rsidRPr="002013B9">
        <w:rPr>
          <w:rFonts w:ascii="Times New Roman" w:hAnsi="Times New Roman" w:cs="Times New Roman"/>
          <w:color w:val="000000" w:themeColor="text1"/>
          <w:sz w:val="24"/>
          <w:szCs w:val="24"/>
          <w:lang w:val="en-GB"/>
        </w:rPr>
        <w:t xml:space="preserve">. </w:t>
      </w:r>
      <w:r w:rsidR="00F650AA" w:rsidRPr="002013B9">
        <w:rPr>
          <w:rFonts w:ascii="Times New Roman" w:hAnsi="Times New Roman" w:cs="Times New Roman"/>
          <w:color w:val="000000" w:themeColor="text1"/>
          <w:sz w:val="24"/>
          <w:szCs w:val="24"/>
          <w:lang w:val="en-GB"/>
        </w:rPr>
        <w:t xml:space="preserve">The rationale for </w:t>
      </w:r>
      <w:r w:rsidR="0059564A" w:rsidRPr="002013B9">
        <w:rPr>
          <w:rFonts w:ascii="Times New Roman" w:hAnsi="Times New Roman" w:cs="Times New Roman"/>
          <w:color w:val="000000" w:themeColor="text1"/>
          <w:sz w:val="24"/>
          <w:szCs w:val="24"/>
          <w:lang w:val="en-GB"/>
        </w:rPr>
        <w:t>such invasive</w:t>
      </w:r>
      <w:r w:rsidR="00194A33" w:rsidRPr="002013B9">
        <w:rPr>
          <w:rFonts w:ascii="Times New Roman" w:hAnsi="Times New Roman" w:cs="Times New Roman"/>
          <w:color w:val="000000" w:themeColor="text1"/>
          <w:sz w:val="24"/>
          <w:szCs w:val="24"/>
          <w:lang w:val="en-GB"/>
        </w:rPr>
        <w:t xml:space="preserve"> procedures </w:t>
      </w:r>
      <w:r w:rsidR="00D2462E" w:rsidRPr="002013B9">
        <w:rPr>
          <w:rFonts w:ascii="Times New Roman" w:hAnsi="Times New Roman" w:cs="Times New Roman"/>
          <w:color w:val="000000" w:themeColor="text1"/>
          <w:sz w:val="24"/>
          <w:szCs w:val="24"/>
          <w:lang w:val="en-GB"/>
        </w:rPr>
        <w:t>is</w:t>
      </w:r>
      <w:r w:rsidR="00F650AA" w:rsidRPr="002013B9">
        <w:rPr>
          <w:rFonts w:ascii="Times New Roman" w:hAnsi="Times New Roman" w:cs="Times New Roman"/>
          <w:color w:val="000000" w:themeColor="text1"/>
          <w:sz w:val="24"/>
          <w:szCs w:val="24"/>
          <w:lang w:val="en-GB"/>
        </w:rPr>
        <w:t xml:space="preserve"> based on </w:t>
      </w:r>
      <w:r w:rsidR="00194A33" w:rsidRPr="002013B9">
        <w:rPr>
          <w:rFonts w:ascii="Times New Roman" w:hAnsi="Times New Roman" w:cs="Times New Roman"/>
          <w:color w:val="000000" w:themeColor="text1"/>
          <w:sz w:val="24"/>
          <w:szCs w:val="24"/>
          <w:lang w:val="en-GB"/>
        </w:rPr>
        <w:t>the hypothesis that obstruction of the pancreatic duct leads to ductal</w:t>
      </w:r>
      <w:r w:rsidR="0059564A" w:rsidRPr="002013B9">
        <w:rPr>
          <w:rFonts w:ascii="Times New Roman" w:hAnsi="Times New Roman" w:cs="Times New Roman"/>
          <w:color w:val="000000" w:themeColor="text1"/>
          <w:sz w:val="24"/>
          <w:szCs w:val="24"/>
          <w:lang w:val="en-GB"/>
        </w:rPr>
        <w:t xml:space="preserve"> </w:t>
      </w:r>
      <w:r w:rsidR="00194A33" w:rsidRPr="002013B9">
        <w:rPr>
          <w:rFonts w:ascii="Times New Roman" w:hAnsi="Times New Roman" w:cs="Times New Roman"/>
          <w:color w:val="000000" w:themeColor="text1"/>
          <w:sz w:val="24"/>
          <w:szCs w:val="24"/>
          <w:lang w:val="en-GB"/>
        </w:rPr>
        <w:t>hypertension and pain</w:t>
      </w:r>
      <w:r w:rsidR="00422260" w:rsidRPr="002013B9">
        <w:rPr>
          <w:rFonts w:ascii="Times New Roman" w:hAnsi="Times New Roman" w:cs="Times New Roman"/>
          <w:color w:val="000000" w:themeColor="text1"/>
          <w:sz w:val="24"/>
          <w:szCs w:val="24"/>
          <w:lang w:val="en-GB"/>
        </w:rPr>
        <w:t xml:space="preserve"> </w:t>
      </w:r>
      <w:r w:rsidR="0016079C" w:rsidRPr="002013B9">
        <w:rPr>
          <w:rFonts w:ascii="Times New Roman" w:hAnsi="Times New Roman" w:cs="Times New Roman"/>
          <w:color w:val="000000" w:themeColor="text1"/>
          <w:sz w:val="24"/>
          <w:szCs w:val="24"/>
          <w:lang w:val="en-GB"/>
        </w:rPr>
        <w:fldChar w:fldCharType="begin" w:fldLock="1"/>
      </w:r>
      <w:r w:rsidR="00422260" w:rsidRPr="002013B9">
        <w:rPr>
          <w:rFonts w:ascii="Times New Roman" w:hAnsi="Times New Roman" w:cs="Times New Roman"/>
          <w:color w:val="000000" w:themeColor="text1"/>
          <w:sz w:val="24"/>
          <w:szCs w:val="24"/>
          <w:lang w:val="en-GB"/>
        </w:rPr>
        <w:instrText>ADDIN CSL_CITATION {"citationItems":[{"id":"ITEM-1","itemData":{"DOI":"10.3748/wjg.v19.i42.7282","ISSN":"2219-2840 (Electronic)","PMID":"24259959","abstract":"Despite multiple theories on the pathogenesis of pain in chronic pancreatitis, no uniform and consistently successful treatment strategy exists and abdominal pain still remains the dominating symptom for most patients and a major challenge for clinicians. Traditional theories focussed on a mechanical cause of pain related to anatomical changes and evidence of increased ductal and interstitial pressures. These observations form the basis for surgical and endoscopic drainage procedures, but the outcome is variable and often unsatisfactory. This underscores the fact that other factors must contribute to pathogenesis of pain, and has shifted the focus towards a more complex neurobiological understanding of pain generation. Amongst other explanations for pain, experimental and human studies have provided evidence that pain perception at the peripheral level and central pain processing of the nociceptive information is altered in patients with chronic pancreatitis, and resembles that seen in neuropathic and chronic pain disorders. However, pain due to e.g., complications to the disease and adverse effects to treatment must not be overlooked as an additional source of pain. This review outlines the current theories on pain generation in chronic pancreatitis which is crucial in order to understand the complexity and limitations of current therapeutic approaches. Furthermore, it may also serve as an inspiration for further research and development of methods that can evaluate the relative contribution and interplay of different pain mechanisms in the individual patients, before they are subjected to more or less empirical treatment.","author":[{"dropping-particle":"","family":"Poulsen","given":"Jakob Lykke","non-dropping-particle":"","parse-names":false,"suffix":""},{"dropping-particle":"","family":"Olesen","given":"Soren Schou","non-dropping-particle":"","parse-names":false,"suffix":""},{"dropping-particle":"","family":"Malver","given":"Lasse Paludan","non-dropping-particle":"","parse-names":false,"suffix":""},{"dropping-particle":"","family":"Frokjaer","given":"Jens Brondum","non-dropping-particle":"","parse-names":false,"suffix":""},{"dropping-particle":"","family":"Drewes","given":"Asbjorn Mohr","non-dropping-particle":"","parse-names":false,"suffix":""}],"container-title":"World journal of gastroenterology : WJG","id":"ITEM-1","issue":"42","issued":{"date-parts":[["2013","11"]]},"language":"eng","page":"7282-7291","publisher-place":"China","title":"Pain and chronic pancreatitis: a complex interplay of multiple mechanisms.","type":"article-journal","volume":"19"},"uris":["http://www.mendeley.com/documents/?uuid=af88554a-eda5-483a-8778-3f32bd1574c5"]},{"id":"ITEM-2","itemData":{"DOI":"10.1038/nrgastro.2011.274","ISSN":"1759-5053","PMID":"22269952","abstract":"Chronic pancreatitis is typically a painful condition and it can be associated with a severe burden of disease. The pathogenesis of pain in this disorder is poorly understood and its treatment has been largely empirical, often consisting of surgical or other invasive methods, with an outcome that is variable and frequently unsatisfactory. Human and experimental studies have indicated a critical role for neuronal mechanisms that result in peripheral and central sensitization. The pancreatic nociceptor seems to be significantly affected in this condition, with increased excitability associated with downregulation of potassium currents. Some of the specific molecules implicated in this process include the vanilloid receptor, TRPV1, nerve growth factor, the protease activated receptor 2 and a variety of others that are discussed in this Review. Studies have also indicated novel therapeutic targets for this condition.","author":[{"dropping-particle":"","family":"Pasricha","given":"Pankaj Jay","non-dropping-particle":"","parse-names":false,"suffix":""}],"container-title":"Nature reviews. Gastroenterology &amp; hepatology","id":"ITEM-2","issue":"3","issued":{"date-parts":[["2012","1"]]},"page":"140-51","title":"Unraveling the mystery of pain in chronic pancreatitis.","type":"article-journal","volume":"9"},"uris":["http://www.mendeley.com/documents/?uuid=b9cfe0c6-9177-419d-a5b2-f620c08d3cc2"]}],"mendeley":{"formattedCitation":"[5,6]","plainTextFormattedCitation":"[5,6]","previouslyFormattedCitation":"[5,6]"},"properties":{"noteIndex":0},"schema":"https://github.com/citation-style-language/schema/raw/master/csl-citation.json"}</w:instrText>
      </w:r>
      <w:r w:rsidR="0016079C" w:rsidRPr="002013B9">
        <w:rPr>
          <w:rFonts w:ascii="Times New Roman" w:hAnsi="Times New Roman" w:cs="Times New Roman"/>
          <w:color w:val="000000" w:themeColor="text1"/>
          <w:sz w:val="24"/>
          <w:szCs w:val="24"/>
          <w:lang w:val="en-GB"/>
        </w:rPr>
        <w:fldChar w:fldCharType="separate"/>
      </w:r>
      <w:r w:rsidR="0024057D" w:rsidRPr="002013B9">
        <w:rPr>
          <w:rFonts w:ascii="Times New Roman" w:hAnsi="Times New Roman" w:cs="Times New Roman"/>
          <w:noProof/>
          <w:color w:val="000000" w:themeColor="text1"/>
          <w:sz w:val="24"/>
          <w:szCs w:val="24"/>
          <w:lang w:val="en-GB"/>
        </w:rPr>
        <w:t>[5,6]</w:t>
      </w:r>
      <w:r w:rsidR="0016079C" w:rsidRPr="002013B9">
        <w:rPr>
          <w:rFonts w:ascii="Times New Roman" w:hAnsi="Times New Roman" w:cs="Times New Roman"/>
          <w:color w:val="000000" w:themeColor="text1"/>
          <w:sz w:val="24"/>
          <w:szCs w:val="24"/>
          <w:lang w:val="en-GB"/>
        </w:rPr>
        <w:fldChar w:fldCharType="end"/>
      </w:r>
      <w:r w:rsidR="00194A33" w:rsidRPr="002013B9">
        <w:rPr>
          <w:rFonts w:ascii="Times New Roman" w:hAnsi="Times New Roman" w:cs="Times New Roman"/>
          <w:color w:val="000000" w:themeColor="text1"/>
          <w:sz w:val="24"/>
          <w:szCs w:val="24"/>
          <w:lang w:val="en-GB"/>
        </w:rPr>
        <w:t>. However, clinical pain symptoms correlate poorly with pancreatic ductal morphology</w:t>
      </w:r>
      <w:r w:rsidR="00C23E4D" w:rsidRPr="002013B9">
        <w:rPr>
          <w:rFonts w:ascii="Times New Roman" w:hAnsi="Times New Roman" w:cs="Times New Roman"/>
          <w:color w:val="000000" w:themeColor="text1"/>
          <w:sz w:val="24"/>
          <w:szCs w:val="24"/>
          <w:lang w:val="en-GB"/>
        </w:rPr>
        <w:t>, as assessed on cross-sectional imaging</w:t>
      </w:r>
      <w:r w:rsidR="00422260" w:rsidRPr="002013B9">
        <w:rPr>
          <w:rFonts w:ascii="Times New Roman" w:hAnsi="Times New Roman" w:cs="Times New Roman"/>
          <w:color w:val="000000" w:themeColor="text1"/>
          <w:sz w:val="24"/>
          <w:szCs w:val="24"/>
          <w:lang w:val="en-GB"/>
        </w:rPr>
        <w:t xml:space="preserve"> </w:t>
      </w:r>
      <w:r w:rsidR="000269F7" w:rsidRPr="002013B9">
        <w:rPr>
          <w:rFonts w:ascii="Times New Roman" w:hAnsi="Times New Roman" w:cs="Times New Roman"/>
          <w:color w:val="000000" w:themeColor="text1"/>
          <w:sz w:val="24"/>
          <w:szCs w:val="24"/>
          <w:lang w:val="en-GB"/>
        </w:rPr>
        <w:fldChar w:fldCharType="begin" w:fldLock="1"/>
      </w:r>
      <w:r w:rsidR="00422260" w:rsidRPr="002013B9">
        <w:rPr>
          <w:rFonts w:ascii="Times New Roman" w:hAnsi="Times New Roman" w:cs="Times New Roman"/>
          <w:color w:val="000000" w:themeColor="text1"/>
          <w:sz w:val="24"/>
          <w:szCs w:val="24"/>
          <w:lang w:val="en-GB"/>
        </w:rPr>
        <w:instrText>ADDIN CSL_CITATION {"citationItems":[{"id":"ITEM-1","itemData":{"DOI":"10.1097/MPA.0b013e31829628f4","ISSN":"1536-4828","PMID":"24048457","abstract":"OBJECTIVES More knowledge into the pathophysiology underlying pain and other complications in chronic pancreatitis (CP) is needed. The aim was to associate advanced imaging information of the pancreas with etiology and clinical and laboratory parameters of CP. METHODS Magnetic resonance cholangiopancreatography including diffusion-weighted imaging was obtained in 23 patients with painful CP and 17 controls. Apparent diffusion coefficients, ductal pathology, and pancreas atrophy were assessed. Etiology of CP and clinical and laboratory parameters including pain scores were correlated with the imaging findings. RESULTS The patients had restricted apparent diffusion coefficients, that is, fibrotic changes, compared with the controls (P = 0.0003). The diffusion coefficients were not associated with atrophy- or ductal-related parameters (all P &gt; 0.7). The fibrotic changes as well as atrophy- and ductal-related parameters were not associated with pain or any other symptom parameters (all P &gt; 0.05). Alcoholic etiology was associated with ductal pathology (both P = 0.02). Furthermore, atrophy- and ductal-related parameters were associated with vitamin D, phosphate, hemoglobin, and glycated hemoglobin levels (all P &lt; 0.03). CONCLUSIONS Patients with CP have fibrosis, atrophy, and ductal pathology. Although changes in atrophy- and ductal-related parameters were, to some degree, associated with exocrine and endocrine insufficiency, pain and other symptoms seem to have a more complex pathogenesis independent of imaging pathology.","author":[{"dropping-particle":"","family":"Frøkjær","given":"Jens Brøndum","non-dropping-particle":"","parse-names":false,"suffix":""},{"dropping-particle":"","family":"Olesen","given":"Søren Schou","non-dropping-particle":"","parse-names":false,"suffix":""},{"dropping-particle":"","family":"Drewes","given":"Asbjørn Mohr","non-dropping-particle":"","parse-names":false,"suffix":""}],"container-title":"Pancreas","id":"ITEM-1","issue":"7","issued":{"date-parts":[["2013","10"]]},"language":"eng","page":"1182-7","publisher-place":"United States","title":"Fibrosis, atrophy, and ductal pathology in chronic pancreatitis are associated with pancreatic function but independent of symptoms.","type":"article-journal","volume":"42"},"uris":["http://www.mendeley.com/documents/?uuid=812138c1-eaa9-4848-927d-3ed6af44d0e5"]},{"id":"ITEM-2","itemData":{"DOI":"10.1016/j.cgh.2014.10.015","ISSN":"1542-7714 1542-3565","PMID":"25424572","abstract":"BACKGROUND &amp; AIMS: Chronic pancreatitis is characterized by inflammation, atrophy, fibrosis with progressive ductal changes, and functional changes that include variable exocrine and endocrine insufficiency and multiple patterns of pain. We investigated whether abdominal imaging features accurately predict patterns of pain. METHODS: We collected data from participants in the North American Pancreatitis Study 2 Continuation and Validation, a prospective multicenter study of patients with chronic pancreatitis performed at 13 expert centers in the United States from July 2008 through March 2012. Chronic pancreatitis was defined based on the detection of characteristic changes by cross-sectional abdominal imaging, endoscopic retrograde cholangiopancreatography, endoscopic ultrasonography, or histology analyses. Patients were asked by a physician or trained clinical research coordinator if they had any abdominal pain during the year before enrollment, those who responded \"yes\" were asked to select from a list of 5 pain patterns. By using these patterns, we classified patients' pain based on timing and severity. Abnormal pancreatitis-associated features on abdominal imaging were recorded using standardized case report forms. RESULTS: Data were collected from 518 patients (mean age, 52 +/- 14.6 y; 55% male; and 87.6% white). The most common physician-identified etiologies were alcohol (45.8%) and idiopathic (24.3%); 15.6% of patients reported no abdominal pain in the year before enrollment. The most common individual pain pattern was described as constant mild pain with episodes of severe pain and was reported in 45% of patients. The most common imaging findings included pancreatic ductal dilatation (68%), atrophy (57%), and  calcifications (55%). Imaging findings were categorized as obstructive for 20% and as inflammatory for 25% of cases. The distribution of individual imaging findings was similar among patients with different patterns of pain. The distribution of pain patterns did not differ among clinically relevant groups of  imaging findings. CONCLUSIONS: Mechanisms that determine patterns and severity of pain in patients with chronic pancreatitis are largely independent of structural  variants observed by abdominal imaging techniques. Pancreas-relevant quantitative and qualitative pain measures should be included in the evaluation of patients with chronic pancreatitis to assess pain severity independently of imaging findings.","author":[{"dropping-particle":"","family":"Wilcox","given":"C. Mel","non-dropping-particle":"","parse-names":false,"suffix":""},{"dropping-particle":"","family":"Yadav","given":"Dhiraj","non-dropping-particle":"","parse-names":false,"suffix":""},{"dropping-particle":"","family":"Ye","given":"Tian","non-dropping-particle":"","parse-names":false,"suffix":""},{"dropping-particle":"","family":"Gardner","given":"Timothy B.","non-dropping-particle":"","parse-names":false,"suffix":""},{"dropping-particle":"","family":"Gelrud","given":"Andres","non-dropping-particle":"","parse-names":false,"suffix":""},{"dropping-particle":"","family":"Sandhu","given":"Bimaljit S.","non-dropping-particle":"","parse-names":false,"suffix":""},{"dropping-particle":"","family":"Lewis","given":"Michele D.","non-dropping-particle":"","parse-names":false,"suffix":""},{"dropping-particle":"","family":"Al-Kaade","given":"Samer","non-dropping-particle":"","parse-names":false,"suffix":""},{"dropping-particle":"","family":"Cote","given":"Gregory A.","non-dropping-particle":"","parse-names":false,"suffix":""},{"dropping-particle":"","family":"Forsmark","given":"Christopher E.","non-dropping-particle":"","parse-names":false,"suffix":""},{"dropping-particle":"","family":"Guda","given":"Nalini M.","non-dropping-particle":"","parse-names":false,"suffix":""},{"dropping-particle":"","family":"Conwell","given":"Darwin L.","non-dropping-particle":"","parse-names":false,"suffix":""},{"dropping-particle":"","family":"Banks","given":"Peter A.","non-dropping-particle":"","parse-names":false,"suffix":""},{"dropping-particle":"","family":"Muniraj","given":"Thiruvengadam","non-dropping-particle":"","parse-names":false,"suffix":""},{"dropping-particle":"","family":"Romagnuolo","given":"Joseph","non-dropping-particle":"","parse-names":false,"suffix":""},{"dropping-particle":"","family":"Brand","given":"Randall E.","non-dropping-particle":"","parse-names":false,"suffix":""},{"dropping-particle":"","family":"Slivka","given":"Adam","non-dropping-particle":"","parse-names":false,"suffix":""},{"dropping-particle":"","family":"Sherman","given":"Stuart","non-dropping-particle":"","parse-names":false,"suffix":""},{"dropping-particle":"","family":"Wisniewski","given":"Stephen R.","non-dropping-particle":"","parse-names":false,"suffix":""},{"dropping-particle":"","family":"Whitcomb","given":"David C.","non-dropping-particle":"","parse-names":false,"suffix":""},{"dropping-particle":"","family":"Anderson","given":"Michelle A.","non-dropping-particle":"","parse-names":false,"suffix":""}],"container-title":"Clinical gastroenterology and hepatology : the official clinical practice journal of the American Gastroenterological Association","id":"ITEM-2","issue":"3","issued":{"date-parts":[["2015","3"]]},"language":"eng","page":"552-60; quiz e28-29","title":"Chronic pancreatitis pain pattern and severity are independent of abdominal imaging findings.","type":"article-journal","volume":"13"},"uris":["http://www.mendeley.com/documents/?uuid=69969685-7efc-4deb-a610-239923fec7cb"]}],"mendeley":{"formattedCitation":"[7,8]","plainTextFormattedCitation":"[7,8]","previouslyFormattedCitation":"[7,8]"},"properties":{"noteIndex":0},"schema":"https://github.com/citation-style-language/schema/raw/master/csl-citation.json"}</w:instrText>
      </w:r>
      <w:r w:rsidR="000269F7" w:rsidRPr="002013B9">
        <w:rPr>
          <w:rFonts w:ascii="Times New Roman" w:hAnsi="Times New Roman" w:cs="Times New Roman"/>
          <w:color w:val="000000" w:themeColor="text1"/>
          <w:sz w:val="24"/>
          <w:szCs w:val="24"/>
          <w:lang w:val="en-GB"/>
        </w:rPr>
        <w:fldChar w:fldCharType="separate"/>
      </w:r>
      <w:r w:rsidR="0024057D" w:rsidRPr="002013B9">
        <w:rPr>
          <w:rFonts w:ascii="Times New Roman" w:hAnsi="Times New Roman" w:cs="Times New Roman"/>
          <w:noProof/>
          <w:color w:val="000000" w:themeColor="text1"/>
          <w:sz w:val="24"/>
          <w:szCs w:val="24"/>
          <w:lang w:val="en-GB"/>
        </w:rPr>
        <w:t>[7,8]</w:t>
      </w:r>
      <w:r w:rsidR="000269F7" w:rsidRPr="002013B9">
        <w:rPr>
          <w:rFonts w:ascii="Times New Roman" w:hAnsi="Times New Roman" w:cs="Times New Roman"/>
          <w:color w:val="000000" w:themeColor="text1"/>
          <w:sz w:val="24"/>
          <w:szCs w:val="24"/>
          <w:lang w:val="en-GB"/>
        </w:rPr>
        <w:fldChar w:fldCharType="end"/>
      </w:r>
      <w:r w:rsidR="00C23E4D" w:rsidRPr="002013B9">
        <w:rPr>
          <w:rFonts w:ascii="Times New Roman" w:hAnsi="Times New Roman" w:cs="Times New Roman"/>
          <w:color w:val="000000" w:themeColor="text1"/>
          <w:sz w:val="24"/>
          <w:szCs w:val="24"/>
          <w:lang w:val="en-GB"/>
        </w:rPr>
        <w:t>,</w:t>
      </w:r>
      <w:r w:rsidR="00713A1E" w:rsidRPr="002013B9">
        <w:rPr>
          <w:rFonts w:ascii="Times New Roman" w:hAnsi="Times New Roman" w:cs="Times New Roman"/>
          <w:color w:val="000000" w:themeColor="text1"/>
          <w:sz w:val="24"/>
          <w:szCs w:val="24"/>
          <w:lang w:val="en-GB"/>
        </w:rPr>
        <w:t xml:space="preserve"> and </w:t>
      </w:r>
      <w:r w:rsidR="00194A33" w:rsidRPr="002013B9">
        <w:rPr>
          <w:rFonts w:ascii="Times New Roman" w:hAnsi="Times New Roman" w:cs="Times New Roman"/>
          <w:color w:val="000000" w:themeColor="text1"/>
          <w:sz w:val="24"/>
          <w:szCs w:val="24"/>
          <w:lang w:val="en-GB"/>
        </w:rPr>
        <w:t>the response to endoscopic or surgical treatment is unpredictable</w:t>
      </w:r>
      <w:r w:rsidR="000269F7" w:rsidRPr="002013B9">
        <w:rPr>
          <w:rFonts w:ascii="Times New Roman" w:hAnsi="Times New Roman" w:cs="Times New Roman"/>
          <w:color w:val="000000" w:themeColor="text1"/>
          <w:sz w:val="24"/>
          <w:szCs w:val="24"/>
          <w:lang w:val="en-GB"/>
        </w:rPr>
        <w:t>, with</w:t>
      </w:r>
      <w:r w:rsidR="00194A33" w:rsidRPr="002013B9">
        <w:rPr>
          <w:rFonts w:ascii="Times New Roman" w:hAnsi="Times New Roman" w:cs="Times New Roman"/>
          <w:color w:val="000000" w:themeColor="text1"/>
          <w:sz w:val="24"/>
          <w:szCs w:val="24"/>
          <w:lang w:val="en-GB"/>
        </w:rPr>
        <w:t xml:space="preserve"> </w:t>
      </w:r>
      <w:r w:rsidR="0091177F" w:rsidRPr="002013B9">
        <w:rPr>
          <w:rFonts w:ascii="Times New Roman" w:hAnsi="Times New Roman" w:cs="Times New Roman"/>
          <w:color w:val="000000" w:themeColor="text1"/>
          <w:sz w:val="24"/>
          <w:szCs w:val="24"/>
          <w:lang w:val="en-GB"/>
        </w:rPr>
        <w:t>l</w:t>
      </w:r>
      <w:r w:rsidR="002B7FCC" w:rsidRPr="002013B9">
        <w:rPr>
          <w:rFonts w:ascii="Times New Roman" w:hAnsi="Times New Roman" w:cs="Times New Roman"/>
          <w:color w:val="000000" w:themeColor="text1"/>
          <w:sz w:val="24"/>
          <w:szCs w:val="24"/>
          <w:lang w:val="en-GB"/>
        </w:rPr>
        <w:t>ong term r</w:t>
      </w:r>
      <w:r w:rsidR="00713A1E" w:rsidRPr="002013B9">
        <w:rPr>
          <w:rFonts w:ascii="Times New Roman" w:hAnsi="Times New Roman" w:cs="Times New Roman"/>
          <w:color w:val="000000" w:themeColor="text1"/>
          <w:sz w:val="24"/>
          <w:szCs w:val="24"/>
          <w:lang w:val="en-GB"/>
        </w:rPr>
        <w:t>esponse rates</w:t>
      </w:r>
      <w:r w:rsidR="000269F7" w:rsidRPr="002013B9">
        <w:rPr>
          <w:rFonts w:ascii="Times New Roman" w:hAnsi="Times New Roman" w:cs="Times New Roman"/>
          <w:color w:val="000000" w:themeColor="text1"/>
          <w:sz w:val="24"/>
          <w:szCs w:val="24"/>
          <w:lang w:val="en-GB"/>
        </w:rPr>
        <w:t xml:space="preserve"> ranging</w:t>
      </w:r>
      <w:r w:rsidR="00D144D2" w:rsidRPr="002013B9">
        <w:rPr>
          <w:rFonts w:ascii="Times New Roman" w:hAnsi="Times New Roman" w:cs="Times New Roman"/>
          <w:color w:val="000000" w:themeColor="text1"/>
          <w:sz w:val="24"/>
          <w:szCs w:val="24"/>
          <w:lang w:val="en-GB"/>
        </w:rPr>
        <w:t xml:space="preserve"> from 30-60%</w:t>
      </w:r>
      <w:r w:rsidR="00422260" w:rsidRPr="002013B9">
        <w:rPr>
          <w:rFonts w:ascii="Times New Roman" w:hAnsi="Times New Roman" w:cs="Times New Roman"/>
          <w:color w:val="000000" w:themeColor="text1"/>
          <w:sz w:val="24"/>
          <w:szCs w:val="24"/>
          <w:lang w:val="en-GB"/>
        </w:rPr>
        <w:t xml:space="preserve"> </w:t>
      </w:r>
      <w:r w:rsidR="008F038F" w:rsidRPr="002013B9">
        <w:rPr>
          <w:rFonts w:ascii="Times New Roman" w:hAnsi="Times New Roman" w:cs="Times New Roman"/>
          <w:color w:val="000000" w:themeColor="text1"/>
          <w:sz w:val="24"/>
          <w:szCs w:val="24"/>
          <w:lang w:val="en-GB"/>
        </w:rPr>
        <w:fldChar w:fldCharType="begin" w:fldLock="1"/>
      </w:r>
      <w:r w:rsidR="00422260" w:rsidRPr="002013B9">
        <w:rPr>
          <w:rFonts w:ascii="Times New Roman" w:hAnsi="Times New Roman" w:cs="Times New Roman"/>
          <w:color w:val="000000" w:themeColor="text1"/>
          <w:sz w:val="24"/>
          <w:szCs w:val="24"/>
          <w:lang w:val="en-GB"/>
        </w:rPr>
        <w:instrText>ADDIN CSL_CITATION {"citationItems":[{"id":"ITEM-1","itemData":{"DOI":"10.1055/s-2002-34256","ISSN":"0013-726X","PMID":"12244496","abstract":"BACKGROUND AND STUDY AIMS: Endoscopic ductal decompression therapy has become an established method of treating patients with painful obstructive chronic pancreatitis. Smaller series, mostly with a medium-term follow-up period, have reported encouraging results. The present analysis presents long-term follow-up data from a large multicenter patient cohort.\n\nPATIENTS AND METHODS: Patients with painful chronic pancreatitis and with ductal obstruction due to either strictures and/or stones treated endoscopically at eight different centers underwent follow-up after 2 - 12 years (mean 4.9 years). The patients' clinical data, the rate of technical success, and complications were recorded from the charts. Follow-up data were prospectively obtained using structured questionnaires; the main parameter for evaluating treatment success was a significant reduction in pain (no pain or only weak pain).\n\nRESULTS: Follow-up data were obtained from 1018 of 1211 patients treated (84%) with mainly strictures (47%), stones (18%), or strictures plus stones (32%). At the long-term follow-up, 60% of the patients had their endotherapy completed, 16% were still receiving some form of endoscopic treatment, and 24% had undergone surgery. The long-term success of endotherapy was 86% in the entire group, but only 65% in an intention-to-treat analysis. There were no significant differences between the patient groups with regard to either strictures, stones, or both. Pancreatic function was not positively affected by endoscopic therapy.\n\nCONCLUSIONS: Endoscopic ductal decompression therapy offers relief of pain in two-thirds of the patients when it is used as the only form of treatment. One-quarter of the patients have to undergo surgery.","author":[{"dropping-particle":"","family":"Rösch","given":"T","non-dropping-particle":"","parse-names":false,"suffix":""},{"dropping-particle":"","family":"Daniel","given":"S","non-dropping-particle":"","parse-names":false,"suffix":""},{"dropping-particle":"","family":"Scholz","given":"M","non-dropping-particle":"","parse-names":false,"suffix":""},{"dropping-particle":"","family":"Huibregtse","given":"K","non-dropping-particle":"","parse-names":false,"suffix":""},{"dropping-particle":"","family":"Smits","given":"M","non-dropping-particle":"","parse-names":false,"suffix":""},{"dropping-particle":"","family":"Schneider","given":"T","non-dropping-particle":"","parse-names":false,"suffix":""},{"dropping-particle":"","family":"Ell","given":"C","non-dropping-particle":"","parse-names":false,"suffix":""},{"dropping-particle":"","family":"Haber","given":"G","non-dropping-particle":"","parse-names":false,"suffix":""},{"dropping-particle":"","family":"Riemann","given":"J-F","non-dropping-particle":"","parse-names":false,"suffix":""},{"dropping-particle":"","family":"Jakobs","given":"R","non-dropping-particle":"","parse-names":false,"suffix":""},{"dropping-particle":"","family":"Hintze","given":"R","non-dropping-particle":"","parse-names":false,"suffix":""},{"dropping-particle":"","family":"Adler","given":"a","non-dropping-particle":"","parse-names":false,"suffix":""},{"dropping-particle":"","family":"Neuhaus","given":"H","non-dropping-particle":"","parse-names":false,"suffix":""},{"dropping-particle":"","family":"Zavoral","given":"M","non-dropping-particle":"","parse-names":false,"suffix":""},{"dropping-particle":"","family":"Zavada","given":"F","non-dropping-particle":"","parse-names":false,"suffix":""},{"dropping-particle":"","family":"Schusdziarra","given":"V","non-dropping-particle":"","parse-names":false,"suffix":""},{"dropping-particle":"","family":"Soehendra","given":"N","non-dropping-particle":"","parse-names":false,"suffix":""}],"container-title":"Endoscopy","id":"ITEM-1","issue":"10","issued":{"date-parts":[["2002","10"]]},"page":"765-71","title":"Endoscopic treatment of chronic pancreatitis: a multicenter study of 1000 patients with long-term follow-up.","type":"article-journal","volume":"34"},"uris":["http://www.mendeley.com/documents/?uuid=b3953fc6-1e2e-40fb-84df-91afe2bc7e52"]},{"id":"ITEM-2","itemData":{"DOI":"10.1016/j.gie.2013.05.012","ISSN":"1097-6779","PMID":"23891416","abstract":"BACKGROUND Long-term results of extracorporeal shockwave lithotripsy (ESWL) for large pancreatic duct (PD) stones in patients with idiopathic calcific pancreatitis (CP) are scanty. OBJECTIVE To evaluate intermediate and long-term results of ESWL in a large cohort of patients with idiopathic CP. DESIGN Cross-sectional study; retrospective chart review. SETTING A high-volume, tertiary-care center for endoscopy and GI diseases. PATIENTS A total of 636 patients with idiopathic CP who underwent ESWL and ERCP were followed-up. Patients were divided into intermediate (24-60 months) and long-term (&gt;60 months) follow-up groups. INTERVENTION ESWL and ERCP. MAIN OUTCOME MEASUREMENTS Improvement in pain, analgesic use, hospitalization for pain, recurrence of calculi, need for additional intervention, and quality of life. RESULTS A total of 636 of 1006 patients who underwent ESWL between 2004 and 2009 were followed for a maximum of 96 months. There were 364 patients in the intermediate follow-up group and 272 in the long-term follow-up group. After ESWL and ERCP, absence of pain was seen in 250 patients (68.7%), mild-to-moderate pain in 94 patients (25.4%), and severe pain in 20 patients (5.5%) of the intermediate group. In the long-term group, 164 patients (60.3%) had no pain, 97 patients (35.7%) had mild or moderate episodes of pain, whereas 11 patients (4.04%) had episodic severe pain. Recurrence of calculi was seen in 51 patients (14.01%) in the intermediate follow-up group and in 62 patients (22.8%) in the long-term group. Quality of life improved in a significant number of patients in both groups. LIMITATIONS Retrospective study, single center, recall bias, and subjective pain and quality-of-life measurement scale. CONCLUSION ESWL for large PD calculi offers good results in patients of idiopathic CP on intermediate and long-term follow-up.","author":[{"dropping-particle":"","family":"Tandan","given":"Manu","non-dropping-particle":"","parse-names":false,"suffix":""},{"dropping-particle":"","family":"Reddy","given":"Duvvur Nageshwar","non-dropping-particle":"","parse-names":false,"suffix":""},{"dropping-particle":"","family":"Talukdar","given":"Rupjyoti","non-dropping-particle":"","parse-names":false,"suffix":""},{"dropping-particle":"","family":"Vinod","given":"Koppuju","non-dropping-particle":"","parse-names":false,"suffix":""},{"dropping-particle":"","family":"Santosh","given":"Darisetty","non-dropping-particle":"","parse-names":false,"suffix":""},{"dropping-particle":"","family":"Lakhtakia","given":"Sundeep","non-dropping-particle":"","parse-names":false,"suffix":""},{"dropping-particle":"","family":"Gupta","given":"Rajesh","non-dropping-particle":"","parse-names":false,"suffix":""},{"dropping-particle":"","family":"Ramchandani","given":"Mohan J","non-dropping-particle":"","parse-names":false,"suffix":""},{"dropping-particle":"","family":"Banerjee","given":"Rupa","non-dropping-particle":"","parse-names":false,"suffix":""},{"dropping-particle":"","family":"Rakesh","given":"Kalapala","non-dropping-particle":"","parse-names":false,"suffix":""},{"dropping-particle":"","family":"Varadaraj","given":"Gokak","non-dropping-particle":"","parse-names":false,"suffix":""},{"dropping-particle":"","family":"Rao","given":"Guduru Venkat","non-dropping-particle":"","parse-names":false,"suffix":""}],"container-title":"Gastrointestinal endoscopy","id":"ITEM-2","issue":"5","issued":{"date-parts":[["2013","11"]]},"page":"726-33","title":"Long-term clinical outcomes of extracorporeal shockwave lithotripsy in painful chronic calcific pancreatitis.","type":"article-journal","volume":"78"},"uris":["http://www.mendeley.com/documents/?uuid=735000d7-c76c-48df-963e-812382217709"]},{"id":"ITEM-3","itemData":{"DOI":"10.1055/s-0032-1309840","ISSN":"1438-8812","PMID":"22752888","abstract":"BACKGROUND AND AIMS: Clarification of the position of the European Society of Gastrointestinal Endoscopy (ESGE) regarding the interventional options available for treating patients with chronic pancreatitis.\n\nMETHODS: Systematic literature search to answer explicit key questions with levels of evidence serving to determine recommendation grades. The ESGE funded development of the Guideline.\n\nSUMMARY OF SELECTED RECOMMENDATIONS: For treating painful uncomplicated chronic pancreatitis, the ESGE recommends extracorporeal shockwave lithotripsy/endoscopic retrograde cholangiopancreatography as the first-line interventional option. The clinical response should be evaluated at 6 - 8 weeks; if it appears unsatisfactory, the patient's case should be discussed again in a multidisciplinary team. Surgical options should be considered, in particular in patients with a predicted poor outcome following endoscopic therapy (Recommendation grade B). For treating chronic pancreatitis associated with radiopaque stones ≥ 5 mm that obstruct the main pancreatic duct, the ESGE recommends extracorporeal shockwave lithotripsy as a first step, combined or not with endoscopic extraction of stone fragments depending on the expertise of the center (Recommendation grade B). For treating chronic pancreatitis associated with a dominant stricture of the main pancreatic duct, the ESGE recommends inserting a single 10-Fr plastic stent, with stent exchange planned within 1 year (Recommendation grade C). In patients with ductal strictures persisting after 12 months of single plastic stenting, the ESGE recommends that available options (e. g., endoscopic placement of multiple pancreatic stents, surgery) be discussed in a multidisciplinary team (Recommendation grade D).For treating uncomplicated chronic pancreatic pseudocysts that are within endoscopic reach, the ESGE recommends endoscopic drainage as a first-line therapy (Recommendation grade A).For treating chronic pancreatitis-related biliary strictures, the choice between endoscopic and surgical therapy should rely on local expertise, patient co-morbidities and expected patient compliance with repeat endoscopic procedures (Recommendation grade D). If endoscopy is elected, the ESGE recommends temporary placement of multiple, side-by-side, plastic biliary stents (Recommendation grade A).","author":[{"dropping-particle":"","family":"Dumonceau","given":"J-M","non-dropping-particle":"","parse-names":false,"suffix":""},{"dropping-particle":"","family":"Delhaye","given":"M","non-dropping-particle":"","parse-names":false,"suffix":""},{"dropping-particle":"","family":"Tringali","given":"a","non-dropping-particle":"","parse-names":false,"suffix":""},{"dropping-particle":"","family":"Dominguez-Munoz","given":"J E","non-dropping-particle":"","parse-names":false,"suffix":""},{"dropping-particle":"","family":"Poley","given":"J-W","non-dropping-particle":"","parse-names":false,"suffix":""},{"dropping-particle":"","family":"Arvanitaki","given":"M","non-dropping-particle":"","parse-names":false,"suffix":""},{"dropping-particle":"","family":"Costamagna","given":"G","non-dropping-particle":"","parse-names":false,"suffix":""},{"dropping-particle":"","family":"Costea","given":"F","non-dropping-particle":"","parse-names":false,"suffix":""},{"dropping-particle":"","family":"Devière","given":"J","non-dropping-particle":"","parse-names":false,"suffix":""},{"dropping-particle":"","family":"Eisendrath","given":"P","non-dropping-particle":"","parse-names":false,"suffix":""},{"dropping-particle":"","family":"Lakhtakia","given":"S","non-dropping-particle":"","parse-names":false,"suffix":""},{"dropping-particle":"","family":"Reddy","given":"N","non-dropping-particle":"","parse-names":false,"suffix":""},{"dropping-particle":"","family":"Fockens","given":"P","non-dropping-particle":"","parse-names":false,"suffix":""},{"dropping-particle":"","family":"Ponchon","given":"T","non-dropping-particle":"","parse-names":false,"suffix":""},{"dropping-particle":"","family":"Bruno","given":"M","non-dropping-particle":"","parse-names":false,"suffix":""}],"container-title":"Endoscopy","id":"ITEM-3","issue":"8","issued":{"date-parts":[["2012","8"]]},"page":"784-800","title":"Endoscopic treatment of chronic pancreatitis: European Society of Gastrointestinal Endoscopy (ESGE) Clinical Guideline.","type":"article-journal","volume":"44"},"uris":["http://www.mendeley.com/documents/?uuid=dedec915-dc02-436e-8a6d-db895dda1534"]}],"mendeley":{"formattedCitation":"[3,9,10]","plainTextFormattedCitation":"[3,9,10]","previouslyFormattedCitation":"[3,9,10]"},"properties":{"noteIndex":0},"schema":"https://github.com/citation-style-language/schema/raw/master/csl-citation.json"}</w:instrText>
      </w:r>
      <w:r w:rsidR="008F038F" w:rsidRPr="002013B9">
        <w:rPr>
          <w:rFonts w:ascii="Times New Roman" w:hAnsi="Times New Roman" w:cs="Times New Roman"/>
          <w:color w:val="000000" w:themeColor="text1"/>
          <w:sz w:val="24"/>
          <w:szCs w:val="24"/>
          <w:lang w:val="en-GB"/>
        </w:rPr>
        <w:fldChar w:fldCharType="separate"/>
      </w:r>
      <w:r w:rsidR="0024057D" w:rsidRPr="002013B9">
        <w:rPr>
          <w:rFonts w:ascii="Times New Roman" w:hAnsi="Times New Roman" w:cs="Times New Roman"/>
          <w:noProof/>
          <w:color w:val="000000" w:themeColor="text1"/>
          <w:sz w:val="24"/>
          <w:szCs w:val="24"/>
          <w:lang w:val="en-GB"/>
        </w:rPr>
        <w:t>[3,9,10]</w:t>
      </w:r>
      <w:r w:rsidR="008F038F" w:rsidRPr="002013B9">
        <w:rPr>
          <w:rFonts w:ascii="Times New Roman" w:hAnsi="Times New Roman" w:cs="Times New Roman"/>
          <w:color w:val="000000" w:themeColor="text1"/>
          <w:sz w:val="24"/>
          <w:szCs w:val="24"/>
          <w:lang w:val="en-GB"/>
        </w:rPr>
        <w:fldChar w:fldCharType="end"/>
      </w:r>
      <w:r w:rsidR="00D144D2" w:rsidRPr="002013B9">
        <w:rPr>
          <w:rFonts w:ascii="Times New Roman" w:hAnsi="Times New Roman" w:cs="Times New Roman"/>
          <w:color w:val="000000" w:themeColor="text1"/>
          <w:sz w:val="24"/>
          <w:szCs w:val="24"/>
          <w:lang w:val="en-GB"/>
        </w:rPr>
        <w:t xml:space="preserve">. </w:t>
      </w:r>
      <w:r w:rsidR="003F55CE" w:rsidRPr="002013B9">
        <w:rPr>
          <w:rFonts w:ascii="Times New Roman" w:hAnsi="Times New Roman" w:cs="Times New Roman"/>
          <w:color w:val="000000" w:themeColor="text1"/>
          <w:sz w:val="24"/>
          <w:szCs w:val="24"/>
          <w:lang w:val="en-GB"/>
        </w:rPr>
        <w:t>Also, t</w:t>
      </w:r>
      <w:r w:rsidR="005C740E" w:rsidRPr="002013B9">
        <w:rPr>
          <w:rFonts w:ascii="Times New Roman" w:hAnsi="Times New Roman" w:cs="Times New Roman"/>
          <w:color w:val="000000" w:themeColor="text1"/>
          <w:sz w:val="24"/>
          <w:szCs w:val="24"/>
          <w:lang w:val="en-GB"/>
        </w:rPr>
        <w:t>he evidence for these treatments are</w:t>
      </w:r>
      <w:r w:rsidR="003F55CE" w:rsidRPr="002013B9">
        <w:rPr>
          <w:rFonts w:ascii="Times New Roman" w:hAnsi="Times New Roman" w:cs="Times New Roman"/>
          <w:color w:val="000000" w:themeColor="text1"/>
          <w:sz w:val="24"/>
          <w:szCs w:val="24"/>
          <w:lang w:val="en-GB"/>
        </w:rPr>
        <w:t xml:space="preserve"> </w:t>
      </w:r>
      <w:r w:rsidR="005C740E" w:rsidRPr="002013B9">
        <w:rPr>
          <w:rFonts w:ascii="Times New Roman" w:hAnsi="Times New Roman" w:cs="Times New Roman"/>
          <w:color w:val="000000" w:themeColor="text1"/>
          <w:sz w:val="24"/>
          <w:szCs w:val="24"/>
          <w:lang w:val="en-GB"/>
        </w:rPr>
        <w:t xml:space="preserve">based on case-series and comparison between different procedures, while no </w:t>
      </w:r>
      <w:r w:rsidR="0059564A" w:rsidRPr="002013B9">
        <w:rPr>
          <w:rFonts w:ascii="Times New Roman" w:hAnsi="Times New Roman" w:cs="Times New Roman"/>
          <w:color w:val="000000" w:themeColor="text1"/>
          <w:sz w:val="24"/>
          <w:szCs w:val="24"/>
          <w:lang w:val="en-GB"/>
        </w:rPr>
        <w:t xml:space="preserve">randomised </w:t>
      </w:r>
      <w:r w:rsidR="005C740E" w:rsidRPr="002013B9">
        <w:rPr>
          <w:rFonts w:ascii="Times New Roman" w:hAnsi="Times New Roman" w:cs="Times New Roman"/>
          <w:color w:val="000000" w:themeColor="text1"/>
          <w:sz w:val="24"/>
          <w:szCs w:val="24"/>
          <w:lang w:val="en-GB"/>
        </w:rPr>
        <w:t>prospective sham controlled trials have evaluated the effectiveness of invasive treatments for pain in CP</w:t>
      </w:r>
      <w:r w:rsidR="00422260" w:rsidRPr="002013B9">
        <w:rPr>
          <w:rFonts w:ascii="Times New Roman" w:hAnsi="Times New Roman" w:cs="Times New Roman"/>
          <w:color w:val="000000" w:themeColor="text1"/>
          <w:sz w:val="24"/>
          <w:szCs w:val="24"/>
          <w:lang w:val="en-GB"/>
        </w:rPr>
        <w:t xml:space="preserve"> </w:t>
      </w:r>
      <w:r w:rsidR="005C740E" w:rsidRPr="002013B9">
        <w:rPr>
          <w:rFonts w:ascii="Times New Roman" w:hAnsi="Times New Roman" w:cs="Times New Roman"/>
          <w:color w:val="000000" w:themeColor="text1"/>
          <w:sz w:val="24"/>
          <w:szCs w:val="24"/>
          <w:lang w:val="en-GB"/>
        </w:rPr>
        <w:fldChar w:fldCharType="begin" w:fldLock="1"/>
      </w:r>
      <w:r w:rsidR="00422260" w:rsidRPr="002013B9">
        <w:rPr>
          <w:rFonts w:ascii="Times New Roman" w:hAnsi="Times New Roman" w:cs="Times New Roman"/>
          <w:color w:val="000000" w:themeColor="text1"/>
          <w:sz w:val="24"/>
          <w:szCs w:val="24"/>
          <w:lang w:val="en-GB"/>
        </w:rPr>
        <w:instrText>ADDIN CSL_CITATION {"citationItems":[{"id":"ITEM-1","itemData":{"DOI":"10.1055/s-2002-34256","ISSN":"0013-726X","PMID":"12244496","abstract":"BACKGROUND AND STUDY AIMS: Endoscopic ductal decompression therapy has become an established method of treating patients with painful obstructive chronic pancreatitis. Smaller series, mostly with a medium-term follow-up period, have reported encouraging results. The present analysis presents long-term follow-up data from a large multicenter patient cohort.\n\nPATIENTS AND METHODS: Patients with painful chronic pancreatitis and with ductal obstruction due to either strictures and/or stones treated endoscopically at eight different centers underwent follow-up after 2 - 12 years (mean 4.9 years). The patients' clinical data, the rate of technical success, and complications were recorded from the charts. Follow-up data were prospectively obtained using structured questionnaires; the main parameter for evaluating treatment success was a significant reduction in pain (no pain or only weak pain).\n\nRESULTS: Follow-up data were obtained from 1018 of 1211 patients treated (84%) with mainly strictures (47%), stones (18%), or strictures plus stones (32%). At the long-term follow-up, 60% of the patients had their endotherapy completed, 16% were still receiving some form of endoscopic treatment, and 24% had undergone surgery. The long-term success of endotherapy was 86% in the entire group, but only 65% in an intention-to-treat analysis. There were no significant differences between the patient groups with regard to either strictures, stones, or both. Pancreatic function was not positively affected by endoscopic therapy.\n\nCONCLUSIONS: Endoscopic ductal decompression therapy offers relief of pain in two-thirds of the patients when it is used as the only form of treatment. One-quarter of the patients have to undergo surgery.","author":[{"dropping-particle":"","family":"Rösch","given":"T","non-dropping-particle":"","parse-names":false,"suffix":""},{"dropping-particle":"","family":"Daniel","given":"S","non-dropping-particle":"","parse-names":false,"suffix":""},{"dropping-particle":"","family":"Scholz","given":"M","non-dropping-particle":"","parse-names":false,"suffix":""},{"dropping-particle":"","family":"Huibregtse","given":"K","non-dropping-particle":"","parse-names":false,"suffix":""},{"dropping-particle":"","family":"Smits","given":"M","non-dropping-particle":"","parse-names":false,"suffix":""},{"dropping-particle":"","family":"Schneider","given":"T","non-dropping-particle":"","parse-names":false,"suffix":""},{"dropping-particle":"","family":"Ell","given":"C","non-dropping-particle":"","parse-names":false,"suffix":""},{"dropping-particle":"","family":"Haber","given":"G","non-dropping-particle":"","parse-names":false,"suffix":""},{"dropping-particle":"","family":"Riemann","given":"J-F","non-dropping-particle":"","parse-names":false,"suffix":""},{"dropping-particle":"","family":"Jakobs","given":"R","non-dropping-particle":"","parse-names":false,"suffix":""},{"dropping-particle":"","family":"Hintze","given":"R","non-dropping-particle":"","parse-names":false,"suffix":""},{"dropping-particle":"","family":"Adler","given":"a","non-dropping-particle":"","parse-names":false,"suffix":""},{"dropping-particle":"","family":"Neuhaus","given":"H","non-dropping-particle":"","parse-names":false,"suffix":""},{"dropping-particle":"","family":"Zavoral","given":"M","non-dropping-particle":"","parse-names":false,"suffix":""},{"dropping-particle":"","family":"Zavada","given":"F","non-dropping-particle":"","parse-names":false,"suffix":""},{"dropping-particle":"","family":"Schusdziarra","given":"V","non-dropping-particle":"","parse-names":false,"suffix":""},{"dropping-particle":"","family":"Soehendra","given":"N","non-dropping-particle":"","parse-names":false,"suffix":""}],"container-title":"Endoscopy","id":"ITEM-1","issue":"10","issued":{"date-parts":[["2002","10"]]},"page":"765-71","title":"Endoscopic treatment of chronic pancreatitis: a multicenter study of 1000 patients with long-term follow-up.","type":"article-journal","volume":"34"},"uris":["http://www.mendeley.com/documents/?uuid=b3953fc6-1e2e-40fb-84df-91afe2bc7e52"]},{"id":"ITEM-2","itemData":{"DOI":"10.1136/gut.2006.096883","ISSN":"0017-5749","PMID":"17047101","abstract":"BACKGROUND: In chronic pancreatitis, obstruction of the main pancreatic duct (MPD) may contribute to the pathogenesis of pain. Pilot studies suggest that extracorporeal shock wave lithotripsy (ESWL) alone relieves pain in calcified chronic pancreatitis.\n\nAIM: To compare ESWL alone with ESWL and endoscopic drainage of the MPD for treatment of pain in chronic pancreatitis.\n\nSUBJECTS: Patients with uncomplicated painful chronic pancreatitis and calcifications obstructing the MPD.\n\nMETHODS: 55 patients were randomised to ESWL alone (n = 26) or ESWL combined with endoscopy (n = 29).\n\nRESULTS: 2 years after trial intervention, 10 (38%) and 13 (45%) patients of the ESWL alone and ESWL combined with endoscopy group, respectively, had presented pain relapse (primary outcome) (OR 0.77; 95% CI 0.23 to 2.57). In both groups, a similar decrease was seen after treatment in the MPD diameter (mean decrease 1.7 mm; 95% CI 0.9 to 2.6; p&lt;0.001), and in the number of pain episodes/year (mean decrease, 3.7; 95% CI 2.6 to 4.9; p&lt;0.001). Treatment costs per patient were three times higher in the ESWL combined with endoscopy group compared with the ESWL alone group (p = 0.001). The median delay between the onset of chronic pancreatitis and persistent pain relief for both groups was 1.1 year (95% CI 0.7 to 1.6), as compared with 4 years (95% CI 3 to 4) for the natural history of chronic pancreatitis in a reference cohort (p&lt;0.001).\n\nCONCLUSIONS: ESWL is a safe and effective preferred treatment for selected patients with painful calcified chronic pancreatitis. Combining systematic endoscopy with ESWL adds to the cost of patient care, without improving the outcome of pancreatic pain.","author":[{"dropping-particle":"","family":"Dumonceau","given":"Jean-Marc","non-dropping-particle":"","parse-names":false,"suffix":""},{"dropping-particle":"","family":"Costamagna","given":"Guido","non-dropping-particle":"","parse-names":false,"suffix":""},{"dropping-particle":"","family":"Tringali","given":"Andrea","non-dropping-particle":"","parse-names":false,"suffix":""},{"dropping-particle":"","family":"Vahedi","given":"Kouroche","non-dropping-particle":"","parse-names":false,"suffix":""},{"dropping-particle":"","family":"Delhaye","given":"Myriam","non-dropping-particle":"","parse-names":false,"suffix":""},{"dropping-particle":"","family":"Hittelet","given":"Axel","non-dropping-particle":"","parse-names":false,"suffix":""},{"dropping-particle":"","family":"Spera","given":"Gianluca","non-dropping-particle":"","parse-names":false,"suffix":""},{"dropping-particle":"","family":"Giostra","given":"Emiliano","non-dropping-particle":"","parse-names":false,"suffix":""},{"dropping-particle":"","family":"Mutignani","given":"Massimiliano","non-dropping-particle":"","parse-names":false,"suffix":""},{"dropping-particle":"","family":"Maertelaer","given":"Viviane","non-dropping-particle":"De","parse-names":false,"suffix":""},{"dropping-particle":"","family":"Devière","given":"Jacques","non-dropping-particle":"","parse-names":false,"suffix":""}],"container-title":"Gut","id":"ITEM-2","issue":"4","issued":{"date-parts":[["2007","4"]]},"page":"545-52","title":"Treatment for painful calcified chronic pancreatitis: extracorporeal shock wave lithotripsy versus endoscopic treatment: a randomised controlled trial.","type":"article-journal","volume":"56"},"uris":["http://www.mendeley.com/documents/?uuid=d7dc36f9-adca-41ba-b318-d49d4426848e"]},{"id":"ITEM-3","itemData":{"DOI":"10.1016/j.gie.2013.05.012","ISSN":"1097-6779","PMID":"23891416","abstract":"BACKGROUND Long-term results of extracorporeal shockwave lithotripsy (ESWL) for large pancreatic duct (PD) stones in patients with idiopathic calcific pancreatitis (CP) are scanty. OBJECTIVE To evaluate intermediate and long-term results of ESWL in a large cohort of patients with idiopathic CP. DESIGN Cross-sectional study; retrospective chart review. SETTING A high-volume, tertiary-care center for endoscopy and GI diseases. PATIENTS A total of 636 patients with idiopathic CP who underwent ESWL and ERCP were followed-up. Patients were divided into intermediate (24-60 months) and long-term (&gt;60 months) follow-up groups. INTERVENTION ESWL and ERCP. MAIN OUTCOME MEASUREMENTS Improvement in pain, analgesic use, hospitalization for pain, recurrence of calculi, need for additional intervention, and quality of life. RESULTS A total of 636 of 1006 patients who underwent ESWL between 2004 and 2009 were followed for a maximum of 96 months. There were 364 patients in the intermediate follow-up group and 272 in the long-term follow-up group. After ESWL and ERCP, absence of pain was seen in 250 patients (68.7%), mild-to-moderate pain in 94 patients (25.4%), and severe pain in 20 patients (5.5%) of the intermediate group. In the long-term group, 164 patients (60.3%) had no pain, 97 patients (35.7%) had mild or moderate episodes of pain, whereas 11 patients (4.04%) had episodic severe pain. Recurrence of calculi was seen in 51 patients (14.01%) in the intermediate follow-up group and in 62 patients (22.8%) in the long-term group. Quality of life improved in a significant number of patients in both groups. LIMITATIONS Retrospective study, single center, recall bias, and subjective pain and quality-of-life measurement scale. CONCLUSION ESWL for large PD calculi offers good results in patients of idiopathic CP on intermediate and long-term follow-up.","author":[{"dropping-particle":"","family":"Tandan","given":"Manu","non-dropping-particle":"","parse-names":false,"suffix":""},{"dropping-particle":"","family":"Reddy","given":"Duvvur Nageshwar","non-dropping-particle":"","parse-names":false,"suffix":""},{"dropping-particle":"","family":"Talukdar","given":"Rupjyoti","non-dropping-particle":"","parse-names":false,"suffix":""},{"dropping-particle":"","family":"Vinod","given":"Koppuju","non-dropping-particle":"","parse-names":false,"suffix":""},{"dropping-particle":"","family":"Santosh","given":"Darisetty","non-dropping-particle":"","parse-names":false,"suffix":""},{"dropping-particle":"","family":"Lakhtakia","given":"Sundeep","non-dropping-particle":"","parse-names":false,"suffix":""},{"dropping-particle":"","family":"Gupta","given":"Rajesh","non-dropping-particle":"","parse-names":false,"suffix":""},{"dropping-particle":"","family":"Ramchandani","given":"Mohan J","non-dropping-particle":"","parse-names":false,"suffix":""},{"dropping-particle":"","family":"Banerjee","given":"Rupa","non-dropping-particle":"","parse-names":false,"suffix":""},{"dropping-particle":"","family":"Rakesh","given":"Kalapala","non-dropping-particle":"","parse-names":false,"suffix":""},{"dropping-particle":"","family":"Varadaraj","given":"Gokak","non-dropping-particle":"","parse-names":false,"suffix":""},{"dropping-particle":"","family":"Rao","given":"Guduru Venkat","non-dropping-particle":"","parse-names":false,"suffix":""}],"container-title":"Gastrointestinal endoscopy","id":"ITEM-3","issue":"5","issued":{"date-parts":[["2013","11"]]},"page":"726-33","title":"Long-term clinical outcomes of extracorporeal shockwave lithotripsy in painful chronic calcific pancreatitis.","type":"article-journal","volume":"78"},"uris":["http://www.mendeley.com/documents/?uuid=735000d7-c76c-48df-963e-812382217709"]}],"mendeley":{"formattedCitation":"[9–11]","plainTextFormattedCitation":"[9–11]","previouslyFormattedCitation":"[9–11]"},"properties":{"noteIndex":0},"schema":"https://github.com/citation-style-language/schema/raw/master/csl-citation.json"}</w:instrText>
      </w:r>
      <w:r w:rsidR="005C740E" w:rsidRPr="002013B9">
        <w:rPr>
          <w:rFonts w:ascii="Times New Roman" w:hAnsi="Times New Roman" w:cs="Times New Roman"/>
          <w:color w:val="000000" w:themeColor="text1"/>
          <w:sz w:val="24"/>
          <w:szCs w:val="24"/>
          <w:lang w:val="en-GB"/>
        </w:rPr>
        <w:fldChar w:fldCharType="separate"/>
      </w:r>
      <w:r w:rsidR="0024057D" w:rsidRPr="002013B9">
        <w:rPr>
          <w:rFonts w:ascii="Times New Roman" w:hAnsi="Times New Roman" w:cs="Times New Roman"/>
          <w:noProof/>
          <w:color w:val="000000" w:themeColor="text1"/>
          <w:sz w:val="24"/>
          <w:szCs w:val="24"/>
          <w:lang w:val="en-GB"/>
        </w:rPr>
        <w:t>[9–11]</w:t>
      </w:r>
      <w:r w:rsidR="005C740E" w:rsidRPr="002013B9">
        <w:rPr>
          <w:rFonts w:ascii="Times New Roman" w:hAnsi="Times New Roman" w:cs="Times New Roman"/>
          <w:color w:val="000000" w:themeColor="text1"/>
          <w:sz w:val="24"/>
          <w:szCs w:val="24"/>
          <w:lang w:val="en-GB"/>
        </w:rPr>
        <w:fldChar w:fldCharType="end"/>
      </w:r>
      <w:r w:rsidR="005C740E" w:rsidRPr="002013B9">
        <w:rPr>
          <w:rFonts w:ascii="Times New Roman" w:hAnsi="Times New Roman" w:cs="Times New Roman"/>
          <w:color w:val="000000" w:themeColor="text1"/>
          <w:sz w:val="24"/>
          <w:szCs w:val="24"/>
          <w:lang w:val="en-GB"/>
        </w:rPr>
        <w:t xml:space="preserve">. </w:t>
      </w:r>
      <w:r w:rsidR="00422260" w:rsidRPr="002013B9">
        <w:rPr>
          <w:rFonts w:ascii="Times New Roman" w:hAnsi="Times New Roman" w:cs="Times New Roman"/>
          <w:color w:val="000000" w:themeColor="text1"/>
          <w:sz w:val="24"/>
          <w:szCs w:val="24"/>
          <w:lang w:val="en-GB"/>
        </w:rPr>
        <w:t>Additionally</w:t>
      </w:r>
      <w:r w:rsidR="00D144D2" w:rsidRPr="002013B9">
        <w:rPr>
          <w:rFonts w:ascii="Times New Roman" w:hAnsi="Times New Roman" w:cs="Times New Roman"/>
          <w:color w:val="000000" w:themeColor="text1"/>
          <w:sz w:val="24"/>
          <w:szCs w:val="24"/>
          <w:lang w:val="en-GB"/>
        </w:rPr>
        <w:t xml:space="preserve">, a marked placebo effect </w:t>
      </w:r>
      <w:r w:rsidR="0032773E" w:rsidRPr="002013B9">
        <w:rPr>
          <w:rFonts w:ascii="Times New Roman" w:hAnsi="Times New Roman" w:cs="Times New Roman"/>
          <w:color w:val="000000" w:themeColor="text1"/>
          <w:sz w:val="24"/>
          <w:szCs w:val="24"/>
          <w:lang w:val="en-GB"/>
        </w:rPr>
        <w:t xml:space="preserve">has been </w:t>
      </w:r>
      <w:r w:rsidR="00D144D2" w:rsidRPr="002013B9">
        <w:rPr>
          <w:rFonts w:ascii="Times New Roman" w:hAnsi="Times New Roman" w:cs="Times New Roman"/>
          <w:color w:val="000000" w:themeColor="text1"/>
          <w:sz w:val="24"/>
          <w:szCs w:val="24"/>
          <w:lang w:val="en-GB"/>
        </w:rPr>
        <w:t xml:space="preserve">observed in most trials </w:t>
      </w:r>
      <w:r w:rsidR="009E401F" w:rsidRPr="002013B9">
        <w:rPr>
          <w:rFonts w:ascii="Times New Roman" w:hAnsi="Times New Roman" w:cs="Times New Roman"/>
          <w:color w:val="000000" w:themeColor="text1"/>
          <w:sz w:val="24"/>
          <w:szCs w:val="24"/>
          <w:lang w:val="en-GB"/>
        </w:rPr>
        <w:t xml:space="preserve">of painful CP </w:t>
      </w:r>
      <w:r w:rsidR="00D144D2" w:rsidRPr="002013B9">
        <w:rPr>
          <w:rFonts w:ascii="Times New Roman" w:hAnsi="Times New Roman" w:cs="Times New Roman"/>
          <w:color w:val="000000" w:themeColor="text1"/>
          <w:sz w:val="24"/>
          <w:szCs w:val="24"/>
          <w:lang w:val="en-GB"/>
        </w:rPr>
        <w:t xml:space="preserve">and this, together with the natural history of disease, needs consideration when </w:t>
      </w:r>
      <w:r w:rsidR="002B7FCC" w:rsidRPr="002013B9">
        <w:rPr>
          <w:rFonts w:ascii="Times New Roman" w:hAnsi="Times New Roman" w:cs="Times New Roman"/>
          <w:color w:val="000000" w:themeColor="text1"/>
          <w:sz w:val="24"/>
          <w:szCs w:val="24"/>
          <w:lang w:val="en-GB"/>
        </w:rPr>
        <w:t>treatment effects are</w:t>
      </w:r>
      <w:r w:rsidR="00D144D2" w:rsidRPr="002013B9">
        <w:rPr>
          <w:rFonts w:ascii="Times New Roman" w:hAnsi="Times New Roman" w:cs="Times New Roman"/>
          <w:color w:val="000000" w:themeColor="text1"/>
          <w:sz w:val="24"/>
          <w:szCs w:val="24"/>
          <w:lang w:val="en-GB"/>
        </w:rPr>
        <w:t xml:space="preserve"> evaluated</w:t>
      </w:r>
      <w:r w:rsidR="00422260" w:rsidRPr="002013B9">
        <w:rPr>
          <w:rFonts w:ascii="Times New Roman" w:hAnsi="Times New Roman" w:cs="Times New Roman"/>
          <w:color w:val="000000" w:themeColor="text1"/>
          <w:sz w:val="24"/>
          <w:szCs w:val="24"/>
          <w:lang w:val="en-GB"/>
        </w:rPr>
        <w:t xml:space="preserve"> </w:t>
      </w:r>
      <w:r w:rsidR="00D144D2" w:rsidRPr="002013B9">
        <w:rPr>
          <w:rFonts w:ascii="Times New Roman" w:hAnsi="Times New Roman" w:cs="Times New Roman"/>
          <w:color w:val="000000" w:themeColor="text1"/>
          <w:sz w:val="24"/>
          <w:szCs w:val="24"/>
          <w:lang w:val="en-GB"/>
        </w:rPr>
        <w:fldChar w:fldCharType="begin" w:fldLock="1"/>
      </w:r>
      <w:r w:rsidR="009A3A25" w:rsidRPr="002013B9">
        <w:rPr>
          <w:rFonts w:ascii="Times New Roman" w:hAnsi="Times New Roman" w:cs="Times New Roman"/>
          <w:color w:val="000000" w:themeColor="text1"/>
          <w:sz w:val="24"/>
          <w:szCs w:val="24"/>
          <w:lang w:val="en-GB"/>
        </w:rPr>
        <w:instrText>ADDIN CSL_CITATION {"citationItems":[{"id":"ITEM-1","itemData":{"DOI":"10.1097/MPA.0b013e318249ce93","ISSN":"1536-4828","PMID":"22513290","abstract":"OBJECTIVES: Treatment of the pain caused by chronic pancreatitis (CP) is not standardized. Knowledge of the response to placebo in this setting may aid the design of future trials. We aimed at investigating the placebo effect on abdominal pain remission rates in patients with CP.\n\nMETHODS: MEDLINE, EMBASE, and Scopus were searched, and randomized placebo-controlled trials in CP providing data on abdominal pain remission rates in placebo arms were included. Pooled estimates of the placebo rate were calculated using random-effects logistic regression analysis. Stratum-specific rates for different patients and study-level covariates were calculated to account for heterogeneity.\n\nRESULTS: Seven randomized controlled trials (202 placebo-treated patients) met the predefined criteria. The pooled estimate of the placebo rate for pain remission was 19.9% (95% confidence interval, 9%-36%). There was a statistically significant heterogeneity among the studies (I(2) = 76%; P &lt; 0.001). A multicenter design, a run-in period of less than 2 weeks, and absence of a washout in crossover trials were all significant sources of heterogeneity associated with higher placebo responses.\n\nCONCLUSIONS: This meta-analysis identifies for the first time the efficacy of placebo for pain in CP and variables determining it. These data provide a sound basis for designing future placebo-controlled randomized clinical trials for the treatment of pain in CP.","author":[{"dropping-particle":"","family":"Capurso","given":"Gabriele","non-dropping-particle":"","parse-names":false,"suffix":""},{"dropping-particle":"","family":"Cocomello","given":"Lucia","non-dropping-particle":"","parse-names":false,"suffix":""},{"dropping-particle":"","family":"Benedetto","given":"Umberto","non-dropping-particle":"","parse-names":false,"suffix":""},{"dropping-particle":"","family":"Cammà","given":"Carlo","non-dropping-particle":"","parse-names":false,"suffix":""},{"dropping-particle":"","family":"Delle Fave","given":"Gianfranco","non-dropping-particle":"","parse-names":false,"suffix":""}],"container-title":"Pancreas","id":"ITEM-1","issue":"7","issued":{"date-parts":[["2012","10"]]},"page":"1125-31","title":"Meta-analysis: the placebo rate of abdominal pain remission in clinical trials of chronic pancreatitis.","type":"article-journal","volume":"41"},"uris":["http://www.mendeley.com/documents/?uuid=afd43f5e-70dd-4ca1-a46a-3ed2e0d94b3b"]},{"id":"ITEM-2","itemData":{"ISSN":"0012-2823","PMID":"8359556","abstract":"The natural course of the classical symptoms of chronic pancreatitis, i.e. pain, exocrine and endocrine pancreatic insufficiency, was followed up in 335 patients over a median of 9.8 years (mean 11.3 +/- 8.3 years). Pain relief was not obtained in the majority of patients, even after a long-term observation of &gt; 10 years, and severe exocrine/endocrine insufficiency, severe duct abnormalities and pancreatic calcifications developed. Alcohol abstinence failed to have a significant beneficial effect on pain. Pancreatic surgery led to pain relief immediately after operation, but later on the pain course between operated and nonoperated patients was not significantly different. Repeated exocrine pancreatic function tests in 143 patients showed that functional exocrine impairment came to a standstill (46%), or improved (11%). At the end of observation, 22% of 335 patients still had normal endocrine function and only 40% required insulin treatment. Alcohol abstinence had a significant beneficial effect on endocrine, but not on exocrine pancreatic insufficiency. Chronic pancreatitis led to a sharp increase in unemployment and retirement. Pancreatic carcinoma occurred in 3% and extrapancreatic carcinoma in 4%. The mortality rate within the observation period was 22%, pancreatitis-induced complications accounted for 13% of these deaths.","author":[{"dropping-particle":"","family":"Lankisch","given":"P G","non-dropping-particle":"","parse-names":false,"suffix":""},{"dropping-particle":"","family":"Löhr-Happe","given":"A","non-dropping-particle":"","parse-names":false,"suffix":""},{"dropping-particle":"","family":"Otto","given":"J","non-dropping-particle":"","parse-names":false,"suffix":""},{"dropping-particle":"","family":"Creutzfeldt","given":"W","non-dropping-particle":"","parse-names":false,"suffix":""}],"container-title":"Digestion","id":"ITEM-2","issue":"3","issued":{"date-parts":[["1993"]]},"page":"148-55","title":"Natural course in chronic pancreatitis. Pain, exocrine and endocrine pancreatic insufficiency and prognosis of the disease.","type":"article-journal","volume":"54"},"uris":["http://www.mendeley.com/documents/?uuid=6d55e446-8283-4c04-9420-beeb02a689aa"]},{"id":"ITEM-3","itemData":{"DOI":"10.1136/gutjnl-2019-318742","ISSN":"1468-3288","PMID":"31129569","author":[{"dropping-particle":"","family":"Drewes","given":"Asbjørn Mohr","non-dropping-particle":"","parse-names":false,"suffix":""},{"dropping-particle":"","family":"Kempeneers","given":"Marinus A","non-dropping-particle":"","parse-names":false,"suffix":""},{"dropping-particle":"","family":"Andersen","given":"Dana K","non-dropping-particle":"","parse-names":false,"suffix":""},{"dropping-particle":"","family":"Arendt-Nielsen","given":"Lars","non-dropping-particle":"","parse-names":false,"suffix":""},{"dropping-particle":"","family":"Besselink","given":"Marc G","non-dropping-particle":"","parse-names":false,"suffix":""},{"dropping-particle":"","family":"Boermeester","given":"Marja A","non-dropping-particle":"","parse-names":false,"suffix":""},{"dropping-particle":"","family":"Bouwense","given":"Stefan","non-dropping-particle":"","parse-names":false,"suffix":""},{"dropping-particle":"","family":"Bruno","given":"Marco","non-dropping-particle":"","parse-names":false,"suffix":""},{"dropping-particle":"","family":"Freeman","given":"Martin","non-dropping-particle":"","parse-names":false,"suffix":""},{"dropping-particle":"","family":"Gress","given":"Thomas M","non-dropping-particle":"","parse-names":false,"suffix":""},{"dropping-particle":"","family":"Hooft","given":"Jeanin E","non-dropping-particle":"van","parse-names":false,"suffix":""},{"dropping-particle":"","family":"Morlion","given":"Bart","non-dropping-particle":"","parse-names":false,"suffix":""},{"dropping-particle":"","family":"Olesen","given":"Søren Schou","non-dropping-particle":"","parse-names":false,"suffix":""},{"dropping-particle":"","family":"Santvoort","given":"Hjalmar","non-dropping-particle":"van","parse-names":false,"suffix":""},{"dropping-particle":"","family":"Singh","given":"Vikesh","non-dropping-particle":"","parse-names":false,"suffix":""},{"dropping-particle":"","family":"Windsor","given":"John","non-dropping-particle":"","parse-names":false,"suffix":""}],"container-title":"Gut","id":"ITEM-3","issue":"8","issued":{"date-parts":[["2019","8","25"]]},"page":"1343-1351","title":"Controversies on the endoscopic and surgical management of pain in patients with chronic pancreatitis: pros and cons!","type":"article-journal","volume":"68"},"uris":["http://www.mendeley.com/documents/?uuid=a33ed883-97ff-45f0-881a-b95fb0a58ddc"]}],"mendeley":{"formattedCitation":"[12–14]","plainTextFormattedCitation":"[12–14]","previouslyFormattedCitation":"[12–14]"},"properties":{"noteIndex":0},"schema":"https://github.com/citation-style-language/schema/raw/master/csl-citation.json"}</w:instrText>
      </w:r>
      <w:r w:rsidR="00D144D2" w:rsidRPr="002013B9">
        <w:rPr>
          <w:rFonts w:ascii="Times New Roman" w:hAnsi="Times New Roman" w:cs="Times New Roman"/>
          <w:color w:val="000000" w:themeColor="text1"/>
          <w:sz w:val="24"/>
          <w:szCs w:val="24"/>
          <w:lang w:val="en-GB"/>
        </w:rPr>
        <w:fldChar w:fldCharType="separate"/>
      </w:r>
      <w:r w:rsidR="00422260" w:rsidRPr="002013B9">
        <w:rPr>
          <w:rFonts w:ascii="Times New Roman" w:hAnsi="Times New Roman" w:cs="Times New Roman"/>
          <w:noProof/>
          <w:color w:val="000000" w:themeColor="text1"/>
          <w:sz w:val="24"/>
          <w:szCs w:val="24"/>
          <w:lang w:val="en-GB"/>
        </w:rPr>
        <w:t>[12–14]</w:t>
      </w:r>
      <w:r w:rsidR="00D144D2" w:rsidRPr="002013B9">
        <w:rPr>
          <w:rFonts w:ascii="Times New Roman" w:hAnsi="Times New Roman" w:cs="Times New Roman"/>
          <w:color w:val="000000" w:themeColor="text1"/>
          <w:sz w:val="24"/>
          <w:szCs w:val="24"/>
          <w:lang w:val="en-GB"/>
        </w:rPr>
        <w:fldChar w:fldCharType="end"/>
      </w:r>
      <w:r w:rsidR="00D144D2" w:rsidRPr="002013B9">
        <w:rPr>
          <w:rFonts w:ascii="Times New Roman" w:hAnsi="Times New Roman" w:cs="Times New Roman"/>
          <w:color w:val="000000" w:themeColor="text1"/>
          <w:sz w:val="24"/>
          <w:szCs w:val="24"/>
          <w:lang w:val="en-GB"/>
        </w:rPr>
        <w:t xml:space="preserve">. </w:t>
      </w:r>
      <w:r w:rsidR="0091177F" w:rsidRPr="002013B9">
        <w:rPr>
          <w:rFonts w:ascii="Times New Roman" w:hAnsi="Times New Roman" w:cs="Times New Roman"/>
          <w:color w:val="000000" w:themeColor="text1"/>
          <w:sz w:val="24"/>
          <w:szCs w:val="24"/>
          <w:lang w:val="en-GB"/>
        </w:rPr>
        <w:t>There</w:t>
      </w:r>
      <w:r w:rsidR="00713A1E" w:rsidRPr="002013B9">
        <w:rPr>
          <w:rFonts w:ascii="Times New Roman" w:hAnsi="Times New Roman" w:cs="Times New Roman"/>
          <w:color w:val="000000" w:themeColor="text1"/>
          <w:sz w:val="24"/>
          <w:szCs w:val="24"/>
          <w:lang w:val="en-GB"/>
        </w:rPr>
        <w:t xml:space="preserve">fore, the </w:t>
      </w:r>
      <w:r w:rsidR="00F94DC1" w:rsidRPr="002013B9">
        <w:rPr>
          <w:rFonts w:ascii="Times New Roman" w:hAnsi="Times New Roman" w:cs="Times New Roman"/>
          <w:color w:val="000000" w:themeColor="text1"/>
          <w:sz w:val="24"/>
          <w:szCs w:val="24"/>
          <w:lang w:val="en-GB"/>
        </w:rPr>
        <w:t>evidence for</w:t>
      </w:r>
      <w:r w:rsidR="00713A1E" w:rsidRPr="002013B9">
        <w:rPr>
          <w:rFonts w:ascii="Times New Roman" w:hAnsi="Times New Roman" w:cs="Times New Roman"/>
          <w:color w:val="000000" w:themeColor="text1"/>
          <w:sz w:val="24"/>
          <w:szCs w:val="24"/>
          <w:lang w:val="en-GB"/>
        </w:rPr>
        <w:t xml:space="preserve"> invasive treatments for pain in CP</w:t>
      </w:r>
      <w:r w:rsidR="0091177F" w:rsidRPr="002013B9">
        <w:rPr>
          <w:rFonts w:ascii="Times New Roman" w:hAnsi="Times New Roman" w:cs="Times New Roman"/>
          <w:color w:val="000000" w:themeColor="text1"/>
          <w:sz w:val="24"/>
          <w:szCs w:val="24"/>
          <w:lang w:val="en-GB"/>
        </w:rPr>
        <w:t xml:space="preserve"> treatments can be questioned</w:t>
      </w:r>
      <w:r w:rsidR="00422260" w:rsidRPr="002013B9">
        <w:rPr>
          <w:rFonts w:ascii="Times New Roman" w:hAnsi="Times New Roman" w:cs="Times New Roman"/>
          <w:color w:val="000000" w:themeColor="text1"/>
          <w:sz w:val="24"/>
          <w:szCs w:val="24"/>
          <w:lang w:val="en-GB"/>
        </w:rPr>
        <w:t xml:space="preserve"> </w:t>
      </w:r>
      <w:r w:rsidR="00E309CB" w:rsidRPr="002013B9">
        <w:rPr>
          <w:rFonts w:ascii="Times New Roman" w:hAnsi="Times New Roman" w:cs="Times New Roman"/>
          <w:color w:val="000000" w:themeColor="text1"/>
          <w:sz w:val="24"/>
          <w:szCs w:val="24"/>
          <w:lang w:val="en-GB"/>
        </w:rPr>
        <w:fldChar w:fldCharType="begin" w:fldLock="1"/>
      </w:r>
      <w:r w:rsidR="009A3A25" w:rsidRPr="002013B9">
        <w:rPr>
          <w:rFonts w:ascii="Times New Roman" w:hAnsi="Times New Roman" w:cs="Times New Roman"/>
          <w:color w:val="000000" w:themeColor="text1"/>
          <w:sz w:val="24"/>
          <w:szCs w:val="24"/>
          <w:lang w:val="en-GB"/>
        </w:rPr>
        <w:instrText>ADDIN CSL_CITATION {"citationItems":[{"id":"ITEM-1","itemData":{"DOI":"10.1136/gutjnl-2019-318742","ISSN":"1468-3288","PMID":"31129569","author":[{"dropping-particle":"","family":"Drewes","given":"Asbjørn Mohr","non-dropping-particle":"","parse-names":false,"suffix":""},{"dropping-particle":"","family":"Kempeneers","given":"Marinus A","non-dropping-particle":"","parse-names":false,"suffix":""},{"dropping-particle":"","family":"Andersen","given":"Dana K","non-dropping-particle":"","parse-names":false,"suffix":""},{"dropping-particle":"","family":"Arendt-Nielsen","given":"Lars","non-dropping-particle":"","parse-names":false,"suffix":""},{"dropping-particle":"","family":"Besselink","given":"Marc G","non-dropping-particle":"","parse-names":false,"suffix":""},{"dropping-particle":"","family":"Boermeester","given":"Marja A","non-dropping-particle":"","parse-names":false,"suffix":""},{"dropping-particle":"","family":"Bouwense","given":"Stefan","non-dropping-particle":"","parse-names":false,"suffix":""},{"dropping-particle":"","family":"Bruno","given":"Marco","non-dropping-particle":"","parse-names":false,"suffix":""},{"dropping-particle":"","family":"Freeman","given":"Martin","non-dropping-particle":"","parse-names":false,"suffix":""},{"dropping-particle":"","family":"Gress","given":"Thomas M","non-dropping-particle":"","parse-names":false,"suffix":""},{"dropping-particle":"","family":"Hooft","given":"Jeanin E","non-dropping-particle":"van","parse-names":false,"suffix":""},{"dropping-particle":"","family":"Morlion","given":"Bart","non-dropping-particle":"","parse-names":false,"suffix":""},{"dropping-particle":"","family":"Olesen","given":"Søren Schou","non-dropping-particle":"","parse-names":false,"suffix":""},{"dropping-particle":"","family":"Santvoort","given":"Hjalmar","non-dropping-particle":"van","parse-names":false,"suffix":""},{"dropping-particle":"","family":"Singh","given":"Vikesh","non-dropping-particle":"","parse-names":false,"suffix":""},{"dropping-particle":"","family":"Windsor","given":"John","non-dropping-particle":"","parse-names":false,"suffix":""}],"container-title":"Gut","id":"ITEM-1","issue":"8","issued":{"date-parts":[["2019","8","25"]]},"page":"1343-1351","title":"Controversies on the endoscopic and surgical management of pain in patients with chronic pancreatitis: pros and cons!","type":"article-journal","volume":"68"},"uris":["http://www.mendeley.com/documents/?uuid=a33ed883-97ff-45f0-881a-b95fb0a58ddc"]}],"mendeley":{"formattedCitation":"[14]","plainTextFormattedCitation":"[14]","previouslyFormattedCitation":"[14]"},"properties":{"noteIndex":0},"schema":"https://github.com/citation-style-language/schema/raw/master/csl-citation.json"}</w:instrText>
      </w:r>
      <w:r w:rsidR="00E309CB" w:rsidRPr="002013B9">
        <w:rPr>
          <w:rFonts w:ascii="Times New Roman" w:hAnsi="Times New Roman" w:cs="Times New Roman"/>
          <w:color w:val="000000" w:themeColor="text1"/>
          <w:sz w:val="24"/>
          <w:szCs w:val="24"/>
          <w:lang w:val="en-GB"/>
        </w:rPr>
        <w:fldChar w:fldCharType="separate"/>
      </w:r>
      <w:r w:rsidR="0024057D" w:rsidRPr="002013B9">
        <w:rPr>
          <w:rFonts w:ascii="Times New Roman" w:hAnsi="Times New Roman" w:cs="Times New Roman"/>
          <w:noProof/>
          <w:color w:val="000000" w:themeColor="text1"/>
          <w:sz w:val="24"/>
          <w:szCs w:val="24"/>
          <w:lang w:val="en-GB"/>
        </w:rPr>
        <w:t>[14]</w:t>
      </w:r>
      <w:r w:rsidR="00E309CB" w:rsidRPr="002013B9">
        <w:rPr>
          <w:rFonts w:ascii="Times New Roman" w:hAnsi="Times New Roman" w:cs="Times New Roman"/>
          <w:color w:val="000000" w:themeColor="text1"/>
          <w:sz w:val="24"/>
          <w:szCs w:val="24"/>
          <w:lang w:val="en-GB"/>
        </w:rPr>
        <w:fldChar w:fldCharType="end"/>
      </w:r>
      <w:r w:rsidR="0091177F" w:rsidRPr="002013B9">
        <w:rPr>
          <w:rFonts w:ascii="Times New Roman" w:hAnsi="Times New Roman" w:cs="Times New Roman"/>
          <w:color w:val="000000" w:themeColor="text1"/>
          <w:sz w:val="24"/>
          <w:szCs w:val="24"/>
          <w:lang w:val="en-GB"/>
        </w:rPr>
        <w:t>.</w:t>
      </w:r>
    </w:p>
    <w:p w14:paraId="39170C89" w14:textId="416E2F73" w:rsidR="006F1976" w:rsidRPr="002013B9" w:rsidRDefault="005C740E" w:rsidP="00A84A0D">
      <w:pPr>
        <w:spacing w:line="480" w:lineRule="auto"/>
        <w:ind w:firstLine="567"/>
        <w:contextualSpacing/>
        <w:jc w:val="both"/>
        <w:rPr>
          <w:rFonts w:ascii="Times New Roman" w:hAnsi="Times New Roman" w:cs="Times New Roman"/>
          <w:color w:val="000000" w:themeColor="text1"/>
          <w:sz w:val="24"/>
          <w:szCs w:val="24"/>
          <w:lang w:val="en-GB"/>
        </w:rPr>
      </w:pPr>
      <w:r w:rsidRPr="002013B9">
        <w:rPr>
          <w:rFonts w:ascii="Times New Roman" w:hAnsi="Times New Roman" w:cs="Times New Roman"/>
          <w:color w:val="000000" w:themeColor="text1"/>
          <w:sz w:val="24"/>
          <w:szCs w:val="24"/>
          <w:lang w:val="en-GB"/>
        </w:rPr>
        <w:t>R</w:t>
      </w:r>
      <w:r w:rsidR="00E963BB" w:rsidRPr="002013B9">
        <w:rPr>
          <w:rFonts w:ascii="Times New Roman" w:hAnsi="Times New Roman" w:cs="Times New Roman"/>
          <w:color w:val="000000" w:themeColor="text1"/>
          <w:sz w:val="24"/>
          <w:szCs w:val="24"/>
          <w:lang w:val="en-GB"/>
        </w:rPr>
        <w:t>ecent meta-analyses have documented that non-specific effects of invasive procedures are generally large; particularly in the field of pain-related conditions</w:t>
      </w:r>
      <w:r w:rsidR="00A84A0D" w:rsidRPr="002013B9">
        <w:rPr>
          <w:rFonts w:ascii="Times New Roman" w:hAnsi="Times New Roman" w:cs="Times New Roman"/>
          <w:color w:val="000000" w:themeColor="text1"/>
          <w:sz w:val="24"/>
          <w:szCs w:val="24"/>
          <w:lang w:val="en-GB"/>
        </w:rPr>
        <w:t xml:space="preserve"> and for endoscopic based therapies</w:t>
      </w:r>
      <w:r w:rsidR="00422260" w:rsidRPr="002013B9">
        <w:rPr>
          <w:rFonts w:ascii="Times New Roman" w:hAnsi="Times New Roman" w:cs="Times New Roman"/>
          <w:color w:val="000000" w:themeColor="text1"/>
          <w:sz w:val="24"/>
          <w:szCs w:val="24"/>
          <w:lang w:val="en-GB"/>
        </w:rPr>
        <w:t xml:space="preserve"> </w:t>
      </w:r>
      <w:r w:rsidR="009F3512" w:rsidRPr="002013B9">
        <w:rPr>
          <w:rFonts w:ascii="Times New Roman" w:hAnsi="Times New Roman" w:cs="Times New Roman"/>
          <w:color w:val="000000" w:themeColor="text1"/>
          <w:sz w:val="24"/>
          <w:szCs w:val="24"/>
          <w:lang w:val="en-GB"/>
        </w:rPr>
        <w:fldChar w:fldCharType="begin" w:fldLock="1"/>
      </w:r>
      <w:r w:rsidR="00422260" w:rsidRPr="002013B9">
        <w:rPr>
          <w:rFonts w:ascii="Times New Roman" w:hAnsi="Times New Roman" w:cs="Times New Roman"/>
          <w:color w:val="000000" w:themeColor="text1"/>
          <w:sz w:val="24"/>
          <w:szCs w:val="24"/>
          <w:lang w:val="en-GB"/>
        </w:rPr>
        <w:instrText>ADDIN CSL_CITATION {"citationItems":[{"id":"ITEM-1","itemData":{"DOI":"10.1016/j.jclinepi.2016.12.010","ISSN":"1878-5921","PMID":"28063914","abstract":"OBJECTIVE To perform a systematic review and meta-analysis to study the magnitude of the placebo effect associated with sham surgery procedures. STUDY DESIGN AND SETTING We conducted a systematic search for randomized controlled clinical trials comparing any type of surgery to a corresponding sham placebo group and compared improvements in the sham treatment arms in subjective, objective, categorical, and continuous outcomes, as well as complication rates and mortality. Effect sizes were reported as standardized mean differences (SMDs). This is a systematic review and meta-analysis. RESULTS The overall effect size for pain improvement after sham surgery was SMD = 0.22 (95% confidence interval [CI] = 0.08-0.35) with improvement most marked at 1 month (SMD = 0.34, 95% CI = 0.26-0.43). There was a higher rate of improvement in subjective outcomes compared to objective outcomes for both dichotomized (number of patients with improvement) (42.8% compared to 27.1%) and continuous outcomes (SMD = 0.12, 95% CI = -0.05, 0.30 vs. SMD = -0.01, 95% CI = -0.05, 0.03). There were no deaths in the sham treatment arms and major complications were very rare (0.2%, 95% CI = 0.0-0.6%). CONCLUSION Sham surgery is associated with a large improvement in pain and other subjective patient-reported outcomes but with relatively small effect on objective outcomes. Sham surgeries are overwhelmingly safe. The magnitude of this effect should be used when planning future sham-controlled surgery trials.","author":[{"dropping-particle":"","family":"Gu","given":"Alice P","non-dropping-particle":"","parse-names":false,"suffix":""},{"dropping-particle":"","family":"Gu","given":"Chris N","non-dropping-particle":"","parse-names":false,"suffix":""},{"dropping-particle":"","family":"Ahmed","given":"Ahmed T","non-dropping-particle":"","parse-names":false,"suffix":""},{"dropping-particle":"","family":"Murad","given":"Mohammad H","non-dropping-particle":"","parse-names":false,"suffix":""},{"dropping-particle":"","family":"Wang","given":"Zhen","non-dropping-particle":"","parse-names":false,"suffix":""},{"dropping-particle":"","family":"Kallmes","given":"David F","non-dropping-particle":"","parse-names":false,"suffix":""},{"dropping-particle":"","family":"Brinjikji","given":"Waleed","non-dropping-particle":"","parse-names":false,"suffix":""}],"container-title":"Journal of clinical epidemiology","id":"ITEM-1","issued":{"date-parts":[["2017","1","4"]]},"title":"Sham surgical procedures for pain intervention result in significant improvements in pain: systematic review and meta-analysis.","type":"article-journal"},"uris":["http://www.mendeley.com/documents/?uuid=e8f4b9a2-a3c3-43c6-8d49-2b61a222ed44"]},{"id":"ITEM-2","itemData":{"DOI":"10.1136/bmjopen-2015-009655","ISSN":"2044-6055","PMID":"26656986","abstract":"OBJECTIVES To assess the quantity and quality of randomised, sham-controlled studies of surgery and invasive procedures and estimate the treatment-specific and non-specific effects of those procedures. DESIGN Systematic review and meta-analysis. DATA SOURCES We searched PubMed, EMBASE, CINAHL, CENTRAL (Cochrane Library), PILOTS, PsycInfo, DoD Biomedical Research, clinicaltrials.gov, NLM catalog and NIH Grantee Publications Database from their inception through January 2015. STUDY SELECTION We included randomised controlled trials of surgery and invasive procedures that penetrated the skin or an orifice and had a parallel sham procedure for comparison. DATA EXTRACTION AND ANALYSIS Three authors independently extracted data and assessed risk of bias. Studies reporting continuous outcomes were pooled and the standardised mean difference (SMD) with 95% CIs was calculated using a random effects model for difference between true and sham groups. RESULTS 55 studies (3574 patients) were identified meeting inclusion criteria; 39 provided sufficient data for inclusion in the main analysis (2902 patients). The overall SMD of the continuous primary outcome between treatment/sham-control groups was 0.34 (95% CI 0.20 to 0.49; p&lt;0.00001; I(2)=67%). The SMD for surgery versus sham surgery was non-significant for pain-related conditions (n=15, SMD=0.13, p=0.08), marginally significant for studies on weight loss (n=10, SMD=0.52, p=0.05) and significant for gastroesophageal reflux disorder (GERD) studies (n=5, SMD=0.65, p&lt;0.001) and for other conditions (n=8, SMD=0.44, p=0.004). Mean improvement in sham groups relative to active treatment was larger in pain-related conditions (78%) and obesity (71%) than in GERD (57%) and other conditions (57%), and was smaller in classical-surgery trials (21%) than in endoscopic trials (73%) and those using percutaneous procedures (64%). CONCLUSIONS The non-specific effects of surgery and other invasive procedures are generally large. Particularly in the field of pain-related conditions, more evidence from randomised placebo-controlled trials is needed to avoid continuation of ineffective treatments.","author":[{"dropping-particle":"","family":"Jonas","given":"Wayne B","non-dropping-particle":"","parse-names":false,"suffix":""},{"dropping-particle":"","family":"Crawford","given":"Cindy","non-dropping-particle":"","parse-names":false,"suffix":""},{"dropping-particle":"","family":"Colloca","given":"Luana","non-dropping-particle":"","parse-names":false,"suffix":""},{"dropping-particle":"","family":"Kaptchuk","given":"Ted J","non-dropping-particle":"","parse-names":false,"suffix":""},{"dropping-particle":"","family":"Moseley","given":"Bruce","non-dropping-particle":"","parse-names":false,"suffix":""},{"dropping-particle":"","family":"Miller","given":"Franklin G","non-dropping-particle":"","parse-names":false,"suffix":""},{"dropping-particle":"","family":"Kriston","given":"Levente","non-dropping-particle":"","parse-names":false,"suffix":""},{"dropping-particle":"","family":"Linde","given":"Klaus","non-dropping-particle":"","parse-names":false,"suffix":""},{"dropping-particle":"","family":"Meissner","given":"Karin","non-dropping-particle":"","parse-names":false,"suffix":""}],"container-title":"BMJ open","id":"ITEM-2","issue":"12","issued":{"date-parts":[["2015","12","11"]]},"page":"e009655","title":"To what extent are surgery and invasive procedures effective beyond a placebo response? A systematic review with meta-analysis of randomised, sham controlled trials.","type":"article-journal","volume":"5"},"uris":["http://www.mendeley.com/documents/?uuid=20205368-5ad6-4eb5-b39e-f2f218498a6e"]}],"mendeley":{"formattedCitation":"[15,16]","plainTextFormattedCitation":"[15,16]","previouslyFormattedCitation":"[15,16]"},"properties":{"noteIndex":0},"schema":"https://github.com/citation-style-language/schema/raw/master/csl-citation.json"}</w:instrText>
      </w:r>
      <w:r w:rsidR="009F3512" w:rsidRPr="002013B9">
        <w:rPr>
          <w:rFonts w:ascii="Times New Roman" w:hAnsi="Times New Roman" w:cs="Times New Roman"/>
          <w:color w:val="000000" w:themeColor="text1"/>
          <w:sz w:val="24"/>
          <w:szCs w:val="24"/>
          <w:lang w:val="en-GB"/>
        </w:rPr>
        <w:fldChar w:fldCharType="separate"/>
      </w:r>
      <w:r w:rsidR="0024057D" w:rsidRPr="002013B9">
        <w:rPr>
          <w:rFonts w:ascii="Times New Roman" w:hAnsi="Times New Roman" w:cs="Times New Roman"/>
          <w:noProof/>
          <w:color w:val="000000" w:themeColor="text1"/>
          <w:sz w:val="24"/>
          <w:szCs w:val="24"/>
          <w:lang w:val="en-GB"/>
        </w:rPr>
        <w:t>[15,16]</w:t>
      </w:r>
      <w:r w:rsidR="009F3512" w:rsidRPr="002013B9">
        <w:rPr>
          <w:rFonts w:ascii="Times New Roman" w:hAnsi="Times New Roman" w:cs="Times New Roman"/>
          <w:color w:val="000000" w:themeColor="text1"/>
          <w:sz w:val="24"/>
          <w:szCs w:val="24"/>
          <w:lang w:val="en-GB"/>
        </w:rPr>
        <w:fldChar w:fldCharType="end"/>
      </w:r>
      <w:r w:rsidR="00816E24" w:rsidRPr="002013B9">
        <w:rPr>
          <w:rFonts w:ascii="Times New Roman" w:hAnsi="Times New Roman" w:cs="Times New Roman"/>
          <w:color w:val="000000" w:themeColor="text1"/>
          <w:sz w:val="24"/>
          <w:szCs w:val="24"/>
          <w:lang w:val="en-GB"/>
        </w:rPr>
        <w:t xml:space="preserve">. </w:t>
      </w:r>
      <w:r w:rsidR="006979DF" w:rsidRPr="002013B9">
        <w:rPr>
          <w:rFonts w:ascii="Times New Roman" w:hAnsi="Times New Roman" w:cs="Times New Roman"/>
          <w:color w:val="000000" w:themeColor="text1"/>
          <w:sz w:val="24"/>
          <w:szCs w:val="24"/>
          <w:lang w:val="en-GB"/>
        </w:rPr>
        <w:t>For example</w:t>
      </w:r>
      <w:r w:rsidR="00816E24" w:rsidRPr="002013B9">
        <w:rPr>
          <w:rFonts w:ascii="Times New Roman" w:hAnsi="Times New Roman" w:cs="Times New Roman"/>
          <w:color w:val="000000" w:themeColor="text1"/>
          <w:sz w:val="24"/>
          <w:szCs w:val="24"/>
          <w:lang w:val="en-GB"/>
        </w:rPr>
        <w:t>,</w:t>
      </w:r>
      <w:r w:rsidR="00BA01F6" w:rsidRPr="002013B9">
        <w:rPr>
          <w:rFonts w:ascii="Times New Roman" w:hAnsi="Times New Roman" w:cs="Times New Roman"/>
          <w:color w:val="000000" w:themeColor="text1"/>
          <w:sz w:val="24"/>
          <w:szCs w:val="24"/>
          <w:lang w:val="en-GB"/>
        </w:rPr>
        <w:t xml:space="preserve"> endoscopic retrograde cholangiopancreatography (ERCP) with </w:t>
      </w:r>
      <w:r w:rsidR="00A84A0D" w:rsidRPr="002013B9">
        <w:rPr>
          <w:rFonts w:ascii="Times New Roman" w:eastAsia="Times New Roman" w:hAnsi="Times New Roman" w:cs="Times New Roman"/>
          <w:sz w:val="24"/>
          <w:szCs w:val="24"/>
          <w:lang w:val="en-GB" w:eastAsia="da-DK"/>
        </w:rPr>
        <w:t>sphincterotomy (</w:t>
      </w:r>
      <w:r w:rsidR="00A84A0D" w:rsidRPr="002013B9">
        <w:rPr>
          <w:rFonts w:ascii="Times New Roman" w:hAnsi="Times New Roman" w:cs="Times New Roman"/>
          <w:color w:val="211E1E"/>
          <w:sz w:val="24"/>
          <w:szCs w:val="24"/>
          <w:lang w:val="en-GB"/>
        </w:rPr>
        <w:t>biliary or pancreatic sphincterotomy or both</w:t>
      </w:r>
      <w:r w:rsidR="00A84A0D" w:rsidRPr="002013B9">
        <w:rPr>
          <w:rFonts w:ascii="Times New Roman" w:hAnsi="Times New Roman" w:cs="Times New Roman"/>
          <w:color w:val="000000" w:themeColor="text1"/>
          <w:sz w:val="24"/>
          <w:szCs w:val="24"/>
          <w:lang w:val="en-GB"/>
        </w:rPr>
        <w:t>)</w:t>
      </w:r>
      <w:r w:rsidR="00BA01F6" w:rsidRPr="002013B9">
        <w:rPr>
          <w:rFonts w:ascii="Times New Roman" w:hAnsi="Times New Roman" w:cs="Times New Roman"/>
          <w:color w:val="000000" w:themeColor="text1"/>
          <w:sz w:val="24"/>
          <w:szCs w:val="24"/>
          <w:lang w:val="en-GB"/>
        </w:rPr>
        <w:t xml:space="preserve"> has for many years been considered the state-of-the-art treatment for </w:t>
      </w:r>
      <w:r w:rsidR="00A84A0D" w:rsidRPr="002013B9">
        <w:rPr>
          <w:rFonts w:ascii="Times New Roman" w:hAnsi="Times New Roman" w:cs="Times New Roman"/>
          <w:color w:val="000000" w:themeColor="text1"/>
          <w:sz w:val="24"/>
          <w:szCs w:val="24"/>
          <w:lang w:val="en-GB"/>
        </w:rPr>
        <w:t xml:space="preserve">patients with abdominal pain due to suspected </w:t>
      </w:r>
      <w:r w:rsidR="00A84A0D" w:rsidRPr="002013B9">
        <w:rPr>
          <w:rFonts w:ascii="Times New Roman" w:hAnsi="Times New Roman" w:cs="Times New Roman"/>
          <w:sz w:val="24"/>
          <w:szCs w:val="24"/>
          <w:lang w:val="en-GB"/>
        </w:rPr>
        <w:t xml:space="preserve">sphincter of Oddi </w:t>
      </w:r>
      <w:r w:rsidR="00A84A0D" w:rsidRPr="002013B9">
        <w:rPr>
          <w:rFonts w:ascii="Times New Roman" w:eastAsia="Times New Roman" w:hAnsi="Times New Roman" w:cs="Times New Roman"/>
          <w:sz w:val="24"/>
          <w:szCs w:val="24"/>
          <w:lang w:val="en-GB" w:eastAsia="da-DK"/>
        </w:rPr>
        <w:t>dysfunction</w:t>
      </w:r>
      <w:r w:rsidR="00BA01F6" w:rsidRPr="002013B9">
        <w:rPr>
          <w:rFonts w:ascii="Times New Roman" w:hAnsi="Times New Roman" w:cs="Times New Roman"/>
          <w:color w:val="000000" w:themeColor="text1"/>
          <w:sz w:val="24"/>
          <w:szCs w:val="24"/>
          <w:lang w:val="en-GB"/>
        </w:rPr>
        <w:t xml:space="preserve">. However, a high quality randomized controlled trial (RCT) </w:t>
      </w:r>
      <w:r w:rsidR="00BA01F6" w:rsidRPr="002013B9">
        <w:rPr>
          <w:rFonts w:ascii="Times New Roman" w:eastAsia="Times New Roman" w:hAnsi="Times New Roman" w:cs="Times New Roman"/>
          <w:sz w:val="24"/>
          <w:szCs w:val="24"/>
          <w:lang w:val="en-GB" w:eastAsia="da-DK"/>
        </w:rPr>
        <w:t xml:space="preserve">showed that patients who had no sphincterotomy at ERCP, and who were blinded to their treatment, reported as much pain relief as those </w:t>
      </w:r>
      <w:r w:rsidR="00BA01F6" w:rsidRPr="002013B9">
        <w:rPr>
          <w:rFonts w:ascii="Times New Roman" w:hAnsi="Times New Roman" w:cs="Times New Roman"/>
          <w:sz w:val="24"/>
          <w:szCs w:val="24"/>
          <w:lang w:val="en-GB"/>
        </w:rPr>
        <w:t>who underwent sphincterotomy</w:t>
      </w:r>
      <w:r w:rsidR="009A3A25" w:rsidRPr="002013B9">
        <w:rPr>
          <w:rFonts w:ascii="Times New Roman" w:hAnsi="Times New Roman" w:cs="Times New Roman"/>
          <w:sz w:val="24"/>
          <w:szCs w:val="24"/>
          <w:lang w:val="en-GB"/>
        </w:rPr>
        <w:t xml:space="preserve"> </w:t>
      </w:r>
      <w:r w:rsidR="009A3A25" w:rsidRPr="002013B9">
        <w:rPr>
          <w:rFonts w:ascii="Times New Roman" w:hAnsi="Times New Roman" w:cs="Times New Roman"/>
          <w:sz w:val="24"/>
          <w:szCs w:val="24"/>
          <w:lang w:val="en-GB"/>
        </w:rPr>
        <w:fldChar w:fldCharType="begin" w:fldLock="1"/>
      </w:r>
      <w:r w:rsidR="00CC4815" w:rsidRPr="002013B9">
        <w:rPr>
          <w:rFonts w:ascii="Times New Roman" w:hAnsi="Times New Roman" w:cs="Times New Roman"/>
          <w:sz w:val="24"/>
          <w:szCs w:val="24"/>
          <w:lang w:val="en-GB"/>
        </w:rPr>
        <w:instrText>ADDIN CSL_CITATION {"citationItems":[{"id":"ITEM-1","itemData":{"DOI":"10.1001/jama.2014.5220","ISSN":"1538-3598","PMID":"24867013","abstract":"IMPORTANCE Abdominal pain after cholecystectomy is common and may be attributed to sphincter of Oddi dysfunction. Management often involves endoscopic retrograde cholangiopancreatography (ERCP) with manometry and sphincterotomy. OBJECTIVE To determine whether endoscopic sphincterotomy reduces pain and whether sphincter manometric pressure is predictive of pain relief. DESIGN, SETTING, AND PATIENTS Multicenter, sham-controlled, randomized trial involving 214 patients with pain after cholecystectomy without significant abnormalities on imaging or laboratory studies, and no prior sphincter treatment or pancreatitis randomly assigned (August 6, 2008-March 23, 2012) to undergo sphincterotomy or sham therapy at 7 referral medical centers. One-year follow-up was blinded. The final follow-up visit was March 21, 2013. INTERVENTIONS After ERCP, patients were randomized 2:1 to sphincterotomy (n = 141) or sham (n = 73) irrespective of manometry findings. Those randomized to sphincterotomy with elevated pancreatic sphincter pressures were randomized again (1:1) to biliary or to both biliary and pancreatic sphincterotomies. Seventy-two were entered into an observational study with conventional ERCP managemeny. MAIN OUTCOMES AND MEASURES Success of treatment was defined as less than 6 days of disability due to pain in the prior 90 days both at months 9 and 12 after randomization, with no narcotic use and no further sphincter intervention. RESULTS Twenty-seven patients (37%; 95% CI, 25.9%-48.1%) in the sham treatment group vs 32 (23%; 95% CI, 15.8%-29.6%) in the sphincterotomy group experienced successful treatment (adjusted risk difference, -15.6%; 95% CI, -28.0% to -3.3%; P = .01). Of the patients with pancreatic sphincter hypertension, 14 (30%; 95% CI, 16.7%-42.9%) who underwent dual sphincterotomy and 10 (20%; 95% CI, 8.7%-30.5%) who underwent biliary sphincterotomy alone experienced successful treatment. Thirty-seven treated patients (26%; 95% CI,19%-34%) and 25 patients (34%; 95% CI, 23%-45%) in the sham group underwent repeat ERCP interventions (P = .22). Manometry results were not associated with the outcome. No clinical subgroups appeared to benefit from sphincterotomy more than others. Pancreatitis occurred in 15 patients (11%) after primary sphincterotomies and in 11 patients (15%) in the sham group. Of the nonrandomized patients in the observational study group, 5 (24%; 95% CI, 6%-42%) who underwent biliary sphincterotomy, 12 (31%; 95% CI, 16%-45%) who unde…","author":[{"dropping-particle":"","family":"Cotton","given":"Peter B","non-dropping-particle":"","parse-names":false,"suffix":""},{"dropping-particle":"","family":"Durkalski","given":"Valerie","non-dropping-particle":"","parse-names":false,"suffix":""},{"dropping-particle":"","family":"Romagnuolo","given":"Joseph","non-dropping-particle":"","parse-names":false,"suffix":""},{"dropping-particle":"","family":"Pauls","given":"Qi","non-dropping-particle":"","parse-names":false,"suffix":""},{"dropping-particle":"","family":"Fogel","given":"Evan","non-dropping-particle":"","parse-names":false,"suffix":""},{"dropping-particle":"","family":"Tarnasky","given":"Paul","non-dropping-particle":"","parse-names":false,"suffix":""},{"dropping-particle":"","family":"Aliperti","given":"Giuseppe","non-dropping-particle":"","parse-names":false,"suffix":""},{"dropping-particle":"","family":"Freeman","given":"Martin","non-dropping-particle":"","parse-names":false,"suffix":""},{"dropping-particle":"","family":"Kozarek","given":"Richard","non-dropping-particle":"","parse-names":false,"suffix":""},{"dropping-particle":"","family":"Jamidar","given":"Priya","non-dropping-particle":"","parse-names":false,"suffix":""},{"dropping-particle":"","family":"Wilcox","given":"Mel","non-dropping-particle":"","parse-names":false,"suffix":""},{"dropping-particle":"","family":"Serrano","given":"Jose","non-dropping-particle":"","parse-names":false,"suffix":""},{"dropping-particle":"","family":"Brawman-Mintzer","given":"Olga","non-dropping-particle":"","parse-names":false,"suffix":""},{"dropping-particle":"","family":"Elta","given":"Grace","non-dropping-particle":"","parse-names":false,"suffix":""},{"dropping-particle":"","family":"Mauldin","given":"Patrick","non-dropping-particle":"","parse-names":false,"suffix":""},{"dropping-particle":"","family":"Thornhill","given":"Andre","non-dropping-particle":"","parse-names":false,"suffix":""},{"dropping-particle":"","family":"Hawes","given":"Robert","non-dropping-particle":"","parse-names":false,"suffix":""},{"dropping-particle":"","family":"Wood-Williams","given":"April","non-dropping-particle":"","parse-names":false,"suffix":""},{"dropping-particle":"","family":"Orrell","given":"Kyle","non-dropping-particle":"","parse-names":false,"suffix":""},{"dropping-particle":"","family":"Drossman","given":"Douglas","non-dropping-particle":"","parse-names":false,"suffix":""},{"dropping-particle":"","family":"Robuck","given":"Patricia","non-dropping-particle":"","parse-names":false,"suffix":""}],"container-title":"JAMA","id":"ITEM-1","issue":"20","issued":{"date-parts":[["2014","5"]]},"page":"2101-9","title":"Effect of endoscopic sphincterotomy for suspected sphincter of Oddi dysfunction on pain-related disability following cholecystectomy: the EPISOD randomized clinical trial.","type":"article-journal","volume":"311"},"uris":["http://www.mendeley.com/documents/?uuid=53fe3ac3-ba0a-40c7-aa20-bbdef178affe"]},{"id":"ITEM-2","itemData":{"DOI":"10.1016/j.gie.2017.04.015","ISSN":"1097-6779","PMID":"28455162","abstract":"BACKGROUND AND AIMS The EPISOD (Evaluating Predictors and Interventions in Sphincter of Oddi Dysfunction) study randomized patients with post-cholecystectomy pain, and little or no objective evidence for biliary obstruction, to sphincterotomy or sham intervention. Results at 1 year showed no benefit for the active treatment. We now report the outcomes at up to 5 years. METHODS One hundred three patients completing 1 year, and still blinded to treatment allocation, were enrolled and followed by phone every 6 months for a median of 58 months (range, 17-71 months). Their success was assessed at the final visit by 2 criteria: (1) a low pain score (Recurrent Abdominal Pain and Disability instrument [RAPID] &lt;6) and (2) much or very much improved on the Patients' Global Impression of Change (PGIC) questionnaire (both with no repeat intervention and not taking narcotics). RESULTS By the RAPID criteria, success rates for the patients in the sphincterotomy and sham arms were similar: 26/65 (40%) versus 16/38 (42%), respectively. However, by the PGIC criteria, actively treated patients fared worse: 16/43 (37%) versus 16/22 (73%). A total of 75 patients underwent active treatment during the entire study. Their success rate by the RAPID criteria was 31 (41%) compared with 16 (62%) who had no active treatment at any time. CONCLUSIONS These data confirm our initial report that endoscopic sphincterotomy is no better than sham intervention in these patients (and, by some criteria, worse), and that ERCP can no longer be recommended. The patients have genuine and often severe symptoms, and further research is needed to establish effective management. (Clinical trial registration number: 00688662 05/3/2008.).","author":[{"dropping-particle":"","family":"Cotton","given":"Peter B","non-dropping-particle":"","parse-names":false,"suffix":""},{"dropping-particle":"","family":"Pauls","given":"Qi","non-dropping-particle":"","parse-names":false,"suffix":""},{"dropping-particle":"","family":"Keith","given":"Jamila","non-dropping-particle":"","parse-names":false,"suffix":""},{"dropping-particle":"","family":"Thornhill","given":"Andre","non-dropping-particle":"","parse-names":false,"suffix":""},{"dropping-particle":"","family":"Drossman","given":"Douglas","non-dropping-particle":"","parse-names":false,"suffix":""},{"dropping-particle":"","family":"Williams","given":"April","non-dropping-particle":"","parse-names":false,"suffix":""},{"dropping-particle":"","family":"Durkalski-Mauldin","given":"Valerie","non-dropping-particle":"","parse-names":false,"suffix":""}],"container-title":"Gastrointestinal endoscopy","id":"ITEM-2","issue":"1","issued":{"date-parts":[["2018","1"]]},"page":"205-210","title":"The EPISOD study: long-term outcomes.","type":"article-journal","volume":"87"},"uris":["http://www.mendeley.com/documents/?uuid=64edb2a1-935c-4f00-8b13-28faa3d267f7"]}],"mendeley":{"formattedCitation":"[17,18]","plainTextFormattedCitation":"[17,18]","previouslyFormattedCitation":"[17,18]"},"properties":{"noteIndex":0},"schema":"https://github.com/citation-style-language/schema/raw/master/csl-citation.json"}</w:instrText>
      </w:r>
      <w:r w:rsidR="009A3A25" w:rsidRPr="002013B9">
        <w:rPr>
          <w:rFonts w:ascii="Times New Roman" w:hAnsi="Times New Roman" w:cs="Times New Roman"/>
          <w:sz w:val="24"/>
          <w:szCs w:val="24"/>
          <w:lang w:val="en-GB"/>
        </w:rPr>
        <w:fldChar w:fldCharType="separate"/>
      </w:r>
      <w:r w:rsidR="009A3A25" w:rsidRPr="002013B9">
        <w:rPr>
          <w:rFonts w:ascii="Times New Roman" w:hAnsi="Times New Roman" w:cs="Times New Roman"/>
          <w:noProof/>
          <w:sz w:val="24"/>
          <w:szCs w:val="24"/>
          <w:lang w:val="en-GB"/>
        </w:rPr>
        <w:t>[17,18]</w:t>
      </w:r>
      <w:r w:rsidR="009A3A25" w:rsidRPr="002013B9">
        <w:rPr>
          <w:rFonts w:ascii="Times New Roman" w:hAnsi="Times New Roman" w:cs="Times New Roman"/>
          <w:sz w:val="24"/>
          <w:szCs w:val="24"/>
          <w:lang w:val="en-GB"/>
        </w:rPr>
        <w:fldChar w:fldCharType="end"/>
      </w:r>
      <w:r w:rsidR="00BA01F6" w:rsidRPr="002013B9">
        <w:rPr>
          <w:rFonts w:ascii="Times New Roman" w:hAnsi="Times New Roman" w:cs="Times New Roman"/>
          <w:sz w:val="24"/>
          <w:szCs w:val="24"/>
          <w:lang w:val="en-GB"/>
        </w:rPr>
        <w:t xml:space="preserve">. </w:t>
      </w:r>
      <w:r w:rsidR="009E401F" w:rsidRPr="002013B9">
        <w:rPr>
          <w:rFonts w:ascii="Times New Roman" w:hAnsi="Times New Roman" w:cs="Times New Roman"/>
          <w:color w:val="000000" w:themeColor="text1"/>
          <w:sz w:val="24"/>
          <w:szCs w:val="24"/>
          <w:lang w:val="en-GB"/>
        </w:rPr>
        <w:t>These findings</w:t>
      </w:r>
      <w:r w:rsidR="00816E24" w:rsidRPr="002013B9">
        <w:rPr>
          <w:rFonts w:ascii="Times New Roman" w:hAnsi="Times New Roman" w:cs="Times New Roman"/>
          <w:color w:val="000000" w:themeColor="text1"/>
          <w:sz w:val="24"/>
          <w:szCs w:val="24"/>
          <w:lang w:val="en-GB"/>
        </w:rPr>
        <w:t xml:space="preserve"> challenge conventional wisdom and </w:t>
      </w:r>
      <w:r w:rsidR="007335FA" w:rsidRPr="002013B9">
        <w:rPr>
          <w:rFonts w:ascii="Times New Roman" w:hAnsi="Times New Roman" w:cs="Times New Roman"/>
          <w:color w:val="000000" w:themeColor="text1"/>
          <w:sz w:val="24"/>
          <w:szCs w:val="24"/>
          <w:lang w:val="en-GB"/>
        </w:rPr>
        <w:lastRenderedPageBreak/>
        <w:t xml:space="preserve">underscore </w:t>
      </w:r>
      <w:r w:rsidR="00816E24" w:rsidRPr="002013B9">
        <w:rPr>
          <w:rFonts w:ascii="Times New Roman" w:hAnsi="Times New Roman" w:cs="Times New Roman"/>
          <w:color w:val="000000" w:themeColor="text1"/>
          <w:sz w:val="24"/>
          <w:szCs w:val="24"/>
          <w:lang w:val="en-GB"/>
        </w:rPr>
        <w:t xml:space="preserve">the necessity of </w:t>
      </w:r>
      <w:r w:rsidR="007335FA" w:rsidRPr="002013B9">
        <w:rPr>
          <w:rFonts w:ascii="Times New Roman" w:hAnsi="Times New Roman" w:cs="Times New Roman"/>
          <w:color w:val="000000" w:themeColor="text1"/>
          <w:sz w:val="24"/>
          <w:szCs w:val="24"/>
          <w:lang w:val="en-GB"/>
        </w:rPr>
        <w:t xml:space="preserve">appropriately </w:t>
      </w:r>
      <w:r w:rsidR="00816E24" w:rsidRPr="002013B9">
        <w:rPr>
          <w:rFonts w:ascii="Times New Roman" w:hAnsi="Times New Roman" w:cs="Times New Roman"/>
          <w:color w:val="000000" w:themeColor="text1"/>
          <w:sz w:val="24"/>
          <w:szCs w:val="24"/>
          <w:lang w:val="en-GB"/>
        </w:rPr>
        <w:t>conducted RCTs</w:t>
      </w:r>
      <w:r w:rsidR="006979DF" w:rsidRPr="002013B9">
        <w:rPr>
          <w:rFonts w:ascii="Times New Roman" w:hAnsi="Times New Roman" w:cs="Times New Roman"/>
          <w:color w:val="000000" w:themeColor="text1"/>
          <w:sz w:val="24"/>
          <w:szCs w:val="24"/>
          <w:lang w:val="en-GB"/>
        </w:rPr>
        <w:t xml:space="preserve"> including a sham procedure</w:t>
      </w:r>
      <w:r w:rsidR="00D12300" w:rsidRPr="002013B9">
        <w:rPr>
          <w:rFonts w:ascii="Times New Roman" w:hAnsi="Times New Roman" w:cs="Times New Roman"/>
          <w:color w:val="000000" w:themeColor="text1"/>
          <w:sz w:val="24"/>
          <w:szCs w:val="24"/>
          <w:lang w:val="en-GB"/>
        </w:rPr>
        <w:t>,</w:t>
      </w:r>
      <w:r w:rsidR="006979DF" w:rsidRPr="002013B9">
        <w:rPr>
          <w:rFonts w:ascii="Times New Roman" w:hAnsi="Times New Roman" w:cs="Times New Roman"/>
          <w:color w:val="000000" w:themeColor="text1"/>
          <w:sz w:val="24"/>
          <w:szCs w:val="24"/>
          <w:lang w:val="en-GB"/>
        </w:rPr>
        <w:t xml:space="preserve"> when the effectiveness of invasive procedures</w:t>
      </w:r>
      <w:r w:rsidR="008F038F" w:rsidRPr="002013B9">
        <w:rPr>
          <w:rFonts w:ascii="Times New Roman" w:hAnsi="Times New Roman" w:cs="Times New Roman"/>
          <w:color w:val="000000" w:themeColor="text1"/>
          <w:sz w:val="24"/>
          <w:szCs w:val="24"/>
          <w:lang w:val="en-GB"/>
        </w:rPr>
        <w:t xml:space="preserve"> is</w:t>
      </w:r>
      <w:r w:rsidR="006979DF" w:rsidRPr="002013B9">
        <w:rPr>
          <w:rFonts w:ascii="Times New Roman" w:hAnsi="Times New Roman" w:cs="Times New Roman"/>
          <w:color w:val="000000" w:themeColor="text1"/>
          <w:sz w:val="24"/>
          <w:szCs w:val="24"/>
          <w:lang w:val="en-GB"/>
        </w:rPr>
        <w:t xml:space="preserve"> evaluated</w:t>
      </w:r>
      <w:r w:rsidR="00422260" w:rsidRPr="002013B9">
        <w:rPr>
          <w:rFonts w:ascii="Times New Roman" w:hAnsi="Times New Roman" w:cs="Times New Roman"/>
          <w:color w:val="000000" w:themeColor="text1"/>
          <w:sz w:val="24"/>
          <w:szCs w:val="24"/>
          <w:lang w:val="en-GB"/>
        </w:rPr>
        <w:t xml:space="preserve"> </w:t>
      </w:r>
      <w:r w:rsidR="00E309CB" w:rsidRPr="002013B9">
        <w:rPr>
          <w:rFonts w:ascii="Times New Roman" w:hAnsi="Times New Roman" w:cs="Times New Roman"/>
          <w:color w:val="000000" w:themeColor="text1"/>
          <w:sz w:val="24"/>
          <w:szCs w:val="24"/>
          <w:lang w:val="en-GB"/>
        </w:rPr>
        <w:fldChar w:fldCharType="begin" w:fldLock="1"/>
      </w:r>
      <w:r w:rsidR="009A3A25" w:rsidRPr="002013B9">
        <w:rPr>
          <w:rFonts w:ascii="Times New Roman" w:hAnsi="Times New Roman" w:cs="Times New Roman"/>
          <w:color w:val="000000" w:themeColor="text1"/>
          <w:sz w:val="24"/>
          <w:szCs w:val="24"/>
          <w:lang w:val="en-GB"/>
        </w:rPr>
        <w:instrText>ADDIN CSL_CITATION {"citationItems":[{"id":"ITEM-1","itemData":{"DOI":"10.1136/gutjnl-2019-318742","ISSN":"1468-3288","PMID":"31129569","author":[{"dropping-particle":"","family":"Drewes","given":"Asbjørn Mohr","non-dropping-particle":"","parse-names":false,"suffix":""},{"dropping-particle":"","family":"Kempeneers","given":"Marinus A","non-dropping-particle":"","parse-names":false,"suffix":""},{"dropping-particle":"","family":"Andersen","given":"Dana K","non-dropping-particle":"","parse-names":false,"suffix":""},{"dropping-particle":"","family":"Arendt-Nielsen","given":"Lars","non-dropping-particle":"","parse-names":false,"suffix":""},{"dropping-particle":"","family":"Besselink","given":"Marc G","non-dropping-particle":"","parse-names":false,"suffix":""},{"dropping-particle":"","family":"Boermeester","given":"Marja A","non-dropping-particle":"","parse-names":false,"suffix":""},{"dropping-particle":"","family":"Bouwense","given":"Stefan","non-dropping-particle":"","parse-names":false,"suffix":""},{"dropping-particle":"","family":"Bruno","given":"Marco","non-dropping-particle":"","parse-names":false,"suffix":""},{"dropping-particle":"","family":"Freeman","given":"Martin","non-dropping-particle":"","parse-names":false,"suffix":""},{"dropping-particle":"","family":"Gress","given":"Thomas M","non-dropping-particle":"","parse-names":false,"suffix":""},{"dropping-particle":"","family":"Hooft","given":"Jeanin E","non-dropping-particle":"van","parse-names":false,"suffix":""},{"dropping-particle":"","family":"Morlion","given":"Bart","non-dropping-particle":"","parse-names":false,"suffix":""},{"dropping-particle":"","family":"Olesen","given":"Søren Schou","non-dropping-particle":"","parse-names":false,"suffix":""},{"dropping-particle":"","family":"Santvoort","given":"Hjalmar","non-dropping-particle":"van","parse-names":false,"suffix":""},{"dropping-particle":"","family":"Singh","given":"Vikesh","non-dropping-particle":"","parse-names":false,"suffix":""},{"dropping-particle":"","family":"Windsor","given":"John","non-dropping-particle":"","parse-names":false,"suffix":""}],"container-title":"Gut","id":"ITEM-1","issue":"8","issued":{"date-parts":[["2019","8","25"]]},"page":"1343-1351","title":"Controversies on the endoscopic and surgical management of pain in patients with chronic pancreatitis: pros and cons!","type":"article-journal","volume":"68"},"uris":["http://www.mendeley.com/documents/?uuid=a33ed883-97ff-45f0-881a-b95fb0a58ddc"]}],"mendeley":{"formattedCitation":"[14]","plainTextFormattedCitation":"[14]","previouslyFormattedCitation":"[14]"},"properties":{"noteIndex":0},"schema":"https://github.com/citation-style-language/schema/raw/master/csl-citation.json"}</w:instrText>
      </w:r>
      <w:r w:rsidR="00E309CB" w:rsidRPr="002013B9">
        <w:rPr>
          <w:rFonts w:ascii="Times New Roman" w:hAnsi="Times New Roman" w:cs="Times New Roman"/>
          <w:color w:val="000000" w:themeColor="text1"/>
          <w:sz w:val="24"/>
          <w:szCs w:val="24"/>
          <w:lang w:val="en-GB"/>
        </w:rPr>
        <w:fldChar w:fldCharType="separate"/>
      </w:r>
      <w:r w:rsidR="0024057D" w:rsidRPr="002013B9">
        <w:rPr>
          <w:rFonts w:ascii="Times New Roman" w:hAnsi="Times New Roman" w:cs="Times New Roman"/>
          <w:noProof/>
          <w:color w:val="000000" w:themeColor="text1"/>
          <w:sz w:val="24"/>
          <w:szCs w:val="24"/>
          <w:lang w:val="en-GB"/>
        </w:rPr>
        <w:t>[14]</w:t>
      </w:r>
      <w:r w:rsidR="00E309CB" w:rsidRPr="002013B9">
        <w:rPr>
          <w:rFonts w:ascii="Times New Roman" w:hAnsi="Times New Roman" w:cs="Times New Roman"/>
          <w:color w:val="000000" w:themeColor="text1"/>
          <w:sz w:val="24"/>
          <w:szCs w:val="24"/>
          <w:lang w:val="en-GB"/>
        </w:rPr>
        <w:fldChar w:fldCharType="end"/>
      </w:r>
      <w:r w:rsidR="00816E24" w:rsidRPr="002013B9">
        <w:rPr>
          <w:rFonts w:ascii="Times New Roman" w:hAnsi="Times New Roman" w:cs="Times New Roman"/>
          <w:color w:val="000000" w:themeColor="text1"/>
          <w:sz w:val="24"/>
          <w:szCs w:val="24"/>
          <w:lang w:val="en-GB"/>
        </w:rPr>
        <w:t xml:space="preserve">. </w:t>
      </w:r>
    </w:p>
    <w:p w14:paraId="129E20B7" w14:textId="3BEC36BA" w:rsidR="004F5EB6" w:rsidRPr="002013B9" w:rsidRDefault="001B6D70" w:rsidP="00A84A0D">
      <w:pPr>
        <w:widowControl w:val="0"/>
        <w:autoSpaceDE w:val="0"/>
        <w:autoSpaceDN w:val="0"/>
        <w:adjustRightInd w:val="0"/>
        <w:spacing w:line="480" w:lineRule="auto"/>
        <w:ind w:firstLine="567"/>
        <w:contextualSpacing/>
        <w:jc w:val="both"/>
        <w:rPr>
          <w:rFonts w:ascii="Times New Roman" w:hAnsi="Times New Roman" w:cs="Times New Roman"/>
          <w:color w:val="000000" w:themeColor="text1"/>
          <w:sz w:val="24"/>
          <w:szCs w:val="24"/>
          <w:lang w:val="en-GB"/>
        </w:rPr>
      </w:pPr>
      <w:r w:rsidRPr="002013B9">
        <w:rPr>
          <w:rFonts w:ascii="Times New Roman" w:hAnsi="Times New Roman" w:cs="Times New Roman"/>
          <w:color w:val="000000" w:themeColor="text1"/>
          <w:sz w:val="24"/>
          <w:szCs w:val="24"/>
          <w:lang w:val="en-GB"/>
        </w:rPr>
        <w:t>Albeit endoscopic t</w:t>
      </w:r>
      <w:r w:rsidR="009B1F73" w:rsidRPr="002013B9">
        <w:rPr>
          <w:rFonts w:ascii="Times New Roman" w:hAnsi="Times New Roman" w:cs="Times New Roman"/>
          <w:color w:val="000000" w:themeColor="text1"/>
          <w:sz w:val="24"/>
          <w:szCs w:val="24"/>
          <w:lang w:val="en-GB"/>
        </w:rPr>
        <w:t>reatment</w:t>
      </w:r>
      <w:r w:rsidRPr="002013B9">
        <w:rPr>
          <w:rFonts w:ascii="Times New Roman" w:hAnsi="Times New Roman" w:cs="Times New Roman"/>
          <w:color w:val="000000" w:themeColor="text1"/>
          <w:sz w:val="24"/>
          <w:szCs w:val="24"/>
          <w:lang w:val="en-GB"/>
        </w:rPr>
        <w:t xml:space="preserve"> or surgery are widely used for</w:t>
      </w:r>
      <w:r w:rsidR="00194A33" w:rsidRPr="002013B9">
        <w:rPr>
          <w:rFonts w:ascii="Times New Roman" w:hAnsi="Times New Roman" w:cs="Times New Roman"/>
          <w:color w:val="000000" w:themeColor="text1"/>
          <w:sz w:val="24"/>
          <w:szCs w:val="24"/>
          <w:lang w:val="en-GB"/>
        </w:rPr>
        <w:t xml:space="preserve"> pain in</w:t>
      </w:r>
      <w:r w:rsidRPr="002013B9">
        <w:rPr>
          <w:rFonts w:ascii="Times New Roman" w:hAnsi="Times New Roman" w:cs="Times New Roman"/>
          <w:color w:val="000000" w:themeColor="text1"/>
          <w:sz w:val="24"/>
          <w:szCs w:val="24"/>
          <w:lang w:val="en-GB"/>
        </w:rPr>
        <w:t xml:space="preserve"> CP</w:t>
      </w:r>
      <w:r w:rsidR="007E5559" w:rsidRPr="002013B9">
        <w:rPr>
          <w:rFonts w:ascii="Times New Roman" w:hAnsi="Times New Roman" w:cs="Times New Roman"/>
          <w:color w:val="000000" w:themeColor="text1"/>
          <w:sz w:val="24"/>
          <w:szCs w:val="24"/>
          <w:lang w:val="en-GB"/>
        </w:rPr>
        <w:t xml:space="preserve"> </w:t>
      </w:r>
      <w:r w:rsidR="009B1F73" w:rsidRPr="002013B9">
        <w:rPr>
          <w:rFonts w:ascii="Times New Roman" w:hAnsi="Times New Roman" w:cs="Times New Roman"/>
          <w:color w:val="000000" w:themeColor="text1"/>
          <w:sz w:val="24"/>
          <w:szCs w:val="24"/>
          <w:lang w:val="en-GB"/>
        </w:rPr>
        <w:t>they</w:t>
      </w:r>
      <w:r w:rsidRPr="002013B9">
        <w:rPr>
          <w:rFonts w:ascii="Times New Roman" w:hAnsi="Times New Roman" w:cs="Times New Roman"/>
          <w:color w:val="000000" w:themeColor="text1"/>
          <w:sz w:val="24"/>
          <w:szCs w:val="24"/>
          <w:lang w:val="en-GB"/>
        </w:rPr>
        <w:t xml:space="preserve"> are</w:t>
      </w:r>
      <w:r w:rsidR="007E5559" w:rsidRPr="002013B9">
        <w:rPr>
          <w:rFonts w:ascii="Times New Roman" w:hAnsi="Times New Roman" w:cs="Times New Roman"/>
          <w:color w:val="000000" w:themeColor="text1"/>
          <w:sz w:val="24"/>
          <w:szCs w:val="24"/>
          <w:lang w:val="en-GB"/>
        </w:rPr>
        <w:t xml:space="preserve"> only effective in a subset of patients</w:t>
      </w:r>
      <w:r w:rsidR="00422260" w:rsidRPr="002013B9">
        <w:rPr>
          <w:rFonts w:ascii="Times New Roman" w:hAnsi="Times New Roman" w:cs="Times New Roman"/>
          <w:color w:val="000000" w:themeColor="text1"/>
          <w:sz w:val="24"/>
          <w:szCs w:val="24"/>
          <w:lang w:val="en-GB"/>
        </w:rPr>
        <w:t xml:space="preserve"> </w:t>
      </w:r>
      <w:r w:rsidR="00ED6CB0" w:rsidRPr="002013B9">
        <w:rPr>
          <w:rFonts w:ascii="Times New Roman" w:hAnsi="Times New Roman" w:cs="Times New Roman"/>
          <w:color w:val="000000" w:themeColor="text1"/>
          <w:sz w:val="24"/>
          <w:szCs w:val="24"/>
          <w:lang w:val="en-GB"/>
        </w:rPr>
        <w:fldChar w:fldCharType="begin" w:fldLock="1"/>
      </w:r>
      <w:r w:rsidR="00422260" w:rsidRPr="002013B9">
        <w:rPr>
          <w:rFonts w:ascii="Times New Roman" w:hAnsi="Times New Roman" w:cs="Times New Roman"/>
          <w:color w:val="000000" w:themeColor="text1"/>
          <w:sz w:val="24"/>
          <w:szCs w:val="24"/>
          <w:lang w:val="en-GB"/>
        </w:rPr>
        <w:instrText>ADDIN CSL_CITATION {"citationItems":[{"id":"ITEM-1","itemData":{"DOI":"10.1055/s-2002-34256","ISSN":"0013-726X","PMID":"12244496","abstract":"BACKGROUND AND STUDY AIMS: Endoscopic ductal decompression therapy has become an established method of treating patients with painful obstructive chronic pancreatitis. Smaller series, mostly with a medium-term follow-up period, have reported encouraging results. The present analysis presents long-term follow-up data from a large multicenter patient cohort.\n\nPATIENTS AND METHODS: Patients with painful chronic pancreatitis and with ductal obstruction due to either strictures and/or stones treated endoscopically at eight different centers underwent follow-up after 2 - 12 years (mean 4.9 years). The patients' clinical data, the rate of technical success, and complications were recorded from the charts. Follow-up data were prospectively obtained using structured questionnaires; the main parameter for evaluating treatment success was a significant reduction in pain (no pain or only weak pain).\n\nRESULTS: Follow-up data were obtained from 1018 of 1211 patients treated (84%) with mainly strictures (47%), stones (18%), or strictures plus stones (32%). At the long-term follow-up, 60% of the patients had their endotherapy completed, 16% were still receiving some form of endoscopic treatment, and 24% had undergone surgery. The long-term success of endotherapy was 86% in the entire group, but only 65% in an intention-to-treat analysis. There were no significant differences between the patient groups with regard to either strictures, stones, or both. Pancreatic function was not positively affected by endoscopic therapy.\n\nCONCLUSIONS: Endoscopic ductal decompression therapy offers relief of pain in two-thirds of the patients when it is used as the only form of treatment. One-quarter of the patients have to undergo surgery.","author":[{"dropping-particle":"","family":"Rösch","given":"T","non-dropping-particle":"","parse-names":false,"suffix":""},{"dropping-particle":"","family":"Daniel","given":"S","non-dropping-particle":"","parse-names":false,"suffix":""},{"dropping-particle":"","family":"Scholz","given":"M","non-dropping-particle":"","parse-names":false,"suffix":""},{"dropping-particle":"","family":"Huibregtse","given":"K","non-dropping-particle":"","parse-names":false,"suffix":""},{"dropping-particle":"","family":"Smits","given":"M","non-dropping-particle":"","parse-names":false,"suffix":""},{"dropping-particle":"","family":"Schneider","given":"T","non-dropping-particle":"","parse-names":false,"suffix":""},{"dropping-particle":"","family":"Ell","given":"C","non-dropping-particle":"","parse-names":false,"suffix":""},{"dropping-particle":"","family":"Haber","given":"G","non-dropping-particle":"","parse-names":false,"suffix":""},{"dropping-particle":"","family":"Riemann","given":"J-F","non-dropping-particle":"","parse-names":false,"suffix":""},{"dropping-particle":"","family":"Jakobs","given":"R","non-dropping-particle":"","parse-names":false,"suffix":""},{"dropping-particle":"","family":"Hintze","given":"R","non-dropping-particle":"","parse-names":false,"suffix":""},{"dropping-particle":"","family":"Adler","given":"a","non-dropping-particle":"","parse-names":false,"suffix":""},{"dropping-particle":"","family":"Neuhaus","given":"H","non-dropping-particle":"","parse-names":false,"suffix":""},{"dropping-particle":"","family":"Zavoral","given":"M","non-dropping-particle":"","parse-names":false,"suffix":""},{"dropping-particle":"","family":"Zavada","given":"F","non-dropping-particle":"","parse-names":false,"suffix":""},{"dropping-particle":"","family":"Schusdziarra","given":"V","non-dropping-particle":"","parse-names":false,"suffix":""},{"dropping-particle":"","family":"Soehendra","given":"N","non-dropping-particle":"","parse-names":false,"suffix":""}],"container-title":"Endoscopy","id":"ITEM-1","issue":"10","issued":{"date-parts":[["2002","10"]]},"page":"765-71","title":"Endoscopic treatment of chronic pancreatitis: a multicenter study of 1000 patients with long-term follow-up.","type":"article-journal","volume":"34"},"uris":["http://www.mendeley.com/documents/?uuid=b3953fc6-1e2e-40fb-84df-91afe2bc7e52"]},{"id":"ITEM-2","itemData":{"DOI":"10.1016/j.cgh.2011.12.040","ISSN":"1542-7714","PMID":"22245964","abstract":"BACKGROUND &amp; AIMS: Endoscopic therapy (ET) frequently is used to treat patients with painful chronic pancreatitis (CP), but little is known about outcomes of patients for whom ET was not successful who then underwent surgery, or outcomes after ET compared with only medical treatment. We evaluated use and long-term effectiveness of ET in a well-defined cohort of patients with CP.\n\nMETHODS: We analyzed data from 146 patients with CP who participated in the North American Pancreatitis Study 2 at the University of Pittsburgh Medical Center from 2000 to 2006; 71 (49%) patients received ET at the University of Pittsburgh Medical Center. Success of ET and surgery were defined by cessation of narcotic therapy and resolution of episodes of acute pancreatitis. Disease progression was followed up from its onset until January 1, 2011 (mean, 8.2 ± 4.7 y).\n\nRESULTS: Patients who underwent ET had more symptoms (pain, recurrent pancreatitis) and had more complex pancreatic morphology (based on imaging) than patients who received medical therapy. ET had a high rate of technical success (60 of 71 cases; 85%); its rates of clinical success were 51% for 28 of 55 patients for whom follow-up data were available (mean time, 4.8 ± 3.0 y) and 50% for 12 of 24 patients who underwent surgery after receiving ET. Patients who responded to ET were significantly older, had a shorter duration of disease before ET, had less constant pain, and required fewer daily narcotics than patients who did not respond to ET. Among the 36 symptomatic patients who received medical therapy and were followed up for a mean period of 5.7 ± 4.1 years, 31% improved and 53% had no change in symptoms; of these, 21% underwent surgery.\n\nCONCLUSIONS: ET is clinically successful for 50% of patients with symptomatic CP. When ET is not successful, surgery has successful outcomes in 50% of patients. Symptoms resolve in 31% of symptomatic patients who receive only medical therapy.","author":[{"dropping-particle":"","family":"Clarke","given":"Bridger","non-dropping-particle":"","parse-names":false,"suffix":""},{"dropping-particle":"","family":"Slivka","given":"Adam","non-dropping-particle":"","parse-names":false,"suffix":""},{"dropping-particle":"","family":"Tomizawa","given":"Yutaka","non-dropping-particle":"","parse-names":false,"suffix":""},{"dropping-particle":"","family":"Sanders","given":"Michael","non-dropping-particle":"","parse-names":false,"suffix":""},{"dropping-particle":"","family":"Papachristou","given":"Georgios I","non-dropping-particle":"","parse-names":false,"suffix":""},{"dropping-particle":"","family":"Whitcomb","given":"David C","non-dropping-particle":"","parse-names":false,"suffix":""},{"dropping-particle":"","family":"Yadav","given":"Dhiraj","non-dropping-particle":"","parse-names":false,"suffix":""}],"container-title":"Clinical gastroenterology and hepatology : the official clinical practice journal of the American Gastroenterological Association","id":"ITEM-2","issue":"7","issued":{"date-parts":[["2012","7"]]},"page":"795-802","publisher":"Elsevier Inc.","title":"Endoscopic therapy is effective for patients with chronic pancreatitis.","type":"article-journal","volume":"10"},"uris":["http://www.mendeley.com/documents/?uuid=7b8c8f91-c99a-4aa4-9f6f-182d7d082a8d"]},{"id":"ITEM-3","itemData":{"DOI":"10.1016/j.cgh.2012.03.022","ISSN":"1542-7714","PMID":"22504003","author":[{"dropping-particle":"","family":"Reddy","given":"D Nageshwar","non-dropping-particle":"","parse-names":false,"suffix":""},{"dropping-particle":"","family":"Ramchandani","given":"Mohan J","non-dropping-particle":"","parse-names":false,"suffix":""},{"dropping-particle":"","family":"Talukdar","given":"Rupjyoti","non-dropping-particle":"","parse-names":false,"suffix":""}],"container-title":"Clinical gastroenterology and hepatology : the official clinical practice journal of the American Gastroenterological Association","id":"ITEM-3","issue":"7","issued":{"date-parts":[["2012","7"]]},"page":"803-4","title":"Individualizing therapy for chronic pancreatitis.","type":"article-journal","volume":"10"},"uris":["http://www.mendeley.com/documents/?uuid=7046f81c-3e85-4614-96be-92ae04f1cbd6"]},{"id":"ITEM-4","itemData":{"DOI":"10.1055/s-2007-966447","ISSN":"1438-8812","PMID":"17516288","abstract":"Endotherapy for pancreatic stone is an emerging specialty. The judicious application of extracorporeal shock-wave lithotripsy (ESWL) and endoscopic retrograde cholangiopancreatography (ERCP) in selected groups of patients has increased the success rates of endotherapy, with excellent long-term results. In this review the authors share their vast experience of treating patients with pancreatic stones. The article will focus on the basic principles of pancreatic endotherapy, the instrumentation required, details of the ESWL technique and its applications, as well as the limitations, success rate, and complications of endotherapy in selected patients.","author":[{"dropping-particle":"","family":"Maydeo","given":"A","non-dropping-particle":"","parse-names":false,"suffix":""},{"dropping-particle":"","family":"Soehendra","given":"N","non-dropping-particle":"","parse-names":false,"suffix":""},{"dropping-particle":"","family":"Reddy","given":"N","non-dropping-particle":"","parse-names":false,"suffix":""},{"dropping-particle":"","family":"Bhandari","given":"S","non-dropping-particle":"","parse-names":false,"suffix":""}],"container-title":"Endoscopy","id":"ITEM-4","issue":"7","issued":{"date-parts":[["2007","7"]]},"page":"653-8","title":"Endotherapy for chronic pancreatitis with intracanalar stones.","type":"article-journal","volume":"39"},"uris":["http://www.mendeley.com/documents/?uuid=0735edf2-a9ce-4ba7-acdc-9034455815a6"]}],"mendeley":{"formattedCitation":"[4,9,19,20]","plainTextFormattedCitation":"[4,9,19,20]","previouslyFormattedCitation":"[4,9,19,20]"},"properties":{"noteIndex":0},"schema":"https://github.com/citation-style-language/schema/raw/master/csl-citation.json"}</w:instrText>
      </w:r>
      <w:r w:rsidR="00ED6CB0" w:rsidRPr="002013B9">
        <w:rPr>
          <w:rFonts w:ascii="Times New Roman" w:hAnsi="Times New Roman" w:cs="Times New Roman"/>
          <w:color w:val="000000" w:themeColor="text1"/>
          <w:sz w:val="24"/>
          <w:szCs w:val="24"/>
          <w:lang w:val="en-GB"/>
        </w:rPr>
        <w:fldChar w:fldCharType="separate"/>
      </w:r>
      <w:r w:rsidR="0024057D" w:rsidRPr="002013B9">
        <w:rPr>
          <w:rFonts w:ascii="Times New Roman" w:hAnsi="Times New Roman" w:cs="Times New Roman"/>
          <w:noProof/>
          <w:color w:val="000000" w:themeColor="text1"/>
          <w:sz w:val="24"/>
          <w:szCs w:val="24"/>
          <w:lang w:val="en-GB"/>
        </w:rPr>
        <w:t>[4,9,19,20]</w:t>
      </w:r>
      <w:r w:rsidR="00ED6CB0" w:rsidRPr="002013B9">
        <w:rPr>
          <w:rFonts w:ascii="Times New Roman" w:hAnsi="Times New Roman" w:cs="Times New Roman"/>
          <w:color w:val="000000" w:themeColor="text1"/>
          <w:sz w:val="24"/>
          <w:szCs w:val="24"/>
          <w:lang w:val="en-GB"/>
        </w:rPr>
        <w:fldChar w:fldCharType="end"/>
      </w:r>
      <w:r w:rsidR="007E5559" w:rsidRPr="002013B9">
        <w:rPr>
          <w:rFonts w:ascii="Times New Roman" w:hAnsi="Times New Roman" w:cs="Times New Roman"/>
          <w:color w:val="000000" w:themeColor="text1"/>
          <w:sz w:val="24"/>
          <w:szCs w:val="24"/>
          <w:lang w:val="en-GB"/>
        </w:rPr>
        <w:t xml:space="preserve">. </w:t>
      </w:r>
      <w:r w:rsidR="001C68D6" w:rsidRPr="002013B9">
        <w:rPr>
          <w:rFonts w:ascii="Times New Roman" w:hAnsi="Times New Roman" w:cs="Times New Roman"/>
          <w:color w:val="000000" w:themeColor="text1"/>
          <w:sz w:val="24"/>
          <w:szCs w:val="24"/>
          <w:lang w:val="en-GB"/>
        </w:rPr>
        <w:t xml:space="preserve">An improved understanding of the mechanisms underlying pain in CP suggest that the pain </w:t>
      </w:r>
      <w:r w:rsidR="006F1976" w:rsidRPr="002013B9">
        <w:rPr>
          <w:rFonts w:ascii="Times New Roman" w:hAnsi="Times New Roman" w:cs="Times New Roman"/>
          <w:color w:val="000000" w:themeColor="text1"/>
          <w:sz w:val="24"/>
          <w:szCs w:val="24"/>
          <w:lang w:val="en-GB"/>
        </w:rPr>
        <w:t>aetiology</w:t>
      </w:r>
      <w:r w:rsidR="001C68D6" w:rsidRPr="002013B9">
        <w:rPr>
          <w:rFonts w:ascii="Times New Roman" w:hAnsi="Times New Roman" w:cs="Times New Roman"/>
          <w:color w:val="000000" w:themeColor="text1"/>
          <w:sz w:val="24"/>
          <w:szCs w:val="24"/>
          <w:lang w:val="en-GB"/>
        </w:rPr>
        <w:t xml:space="preserve"> in most patients is multifactorial and</w:t>
      </w:r>
      <w:r w:rsidR="00A5745C" w:rsidRPr="002013B9">
        <w:rPr>
          <w:rFonts w:ascii="Times New Roman" w:hAnsi="Times New Roman" w:cs="Times New Roman"/>
          <w:color w:val="000000" w:themeColor="text1"/>
          <w:sz w:val="24"/>
          <w:szCs w:val="24"/>
          <w:lang w:val="en-GB"/>
        </w:rPr>
        <w:t>,</w:t>
      </w:r>
      <w:r w:rsidR="001C68D6" w:rsidRPr="002013B9">
        <w:rPr>
          <w:rFonts w:ascii="Times New Roman" w:hAnsi="Times New Roman" w:cs="Times New Roman"/>
          <w:color w:val="000000" w:themeColor="text1"/>
          <w:sz w:val="24"/>
          <w:szCs w:val="24"/>
          <w:lang w:val="en-GB"/>
        </w:rPr>
        <w:t xml:space="preserve"> in addition to the proposed mechanical mechanis</w:t>
      </w:r>
      <w:r w:rsidR="00214AA5" w:rsidRPr="002013B9">
        <w:rPr>
          <w:rFonts w:ascii="Times New Roman" w:hAnsi="Times New Roman" w:cs="Times New Roman"/>
          <w:color w:val="000000" w:themeColor="text1"/>
          <w:sz w:val="24"/>
          <w:szCs w:val="24"/>
          <w:lang w:val="en-GB"/>
        </w:rPr>
        <w:t>ms for pain (ductal obstruction/</w:t>
      </w:r>
      <w:r w:rsidR="001C68D6" w:rsidRPr="002013B9">
        <w:rPr>
          <w:rFonts w:ascii="Times New Roman" w:hAnsi="Times New Roman" w:cs="Times New Roman"/>
          <w:color w:val="000000" w:themeColor="text1"/>
          <w:sz w:val="24"/>
          <w:szCs w:val="24"/>
          <w:lang w:val="en-GB"/>
        </w:rPr>
        <w:t>hypertension)</w:t>
      </w:r>
      <w:r w:rsidR="00A5745C" w:rsidRPr="002013B9">
        <w:rPr>
          <w:rFonts w:ascii="Times New Roman" w:hAnsi="Times New Roman" w:cs="Times New Roman"/>
          <w:color w:val="000000" w:themeColor="text1"/>
          <w:sz w:val="24"/>
          <w:szCs w:val="24"/>
          <w:lang w:val="en-GB"/>
        </w:rPr>
        <w:t>,</w:t>
      </w:r>
      <w:r w:rsidR="001C68D6" w:rsidRPr="002013B9">
        <w:rPr>
          <w:rFonts w:ascii="Times New Roman" w:hAnsi="Times New Roman" w:cs="Times New Roman"/>
          <w:color w:val="000000" w:themeColor="text1"/>
          <w:sz w:val="24"/>
          <w:szCs w:val="24"/>
          <w:lang w:val="en-GB"/>
        </w:rPr>
        <w:t xml:space="preserve"> a large body of evidence support a </w:t>
      </w:r>
      <w:r w:rsidR="00422260" w:rsidRPr="002013B9">
        <w:rPr>
          <w:rFonts w:ascii="Times New Roman" w:hAnsi="Times New Roman" w:cs="Times New Roman"/>
          <w:color w:val="000000" w:themeColor="text1"/>
          <w:sz w:val="24"/>
          <w:szCs w:val="24"/>
          <w:lang w:val="en-GB"/>
        </w:rPr>
        <w:t>“</w:t>
      </w:r>
      <w:r w:rsidR="001C68D6" w:rsidRPr="002013B9">
        <w:rPr>
          <w:rFonts w:ascii="Times New Roman" w:hAnsi="Times New Roman" w:cs="Times New Roman"/>
          <w:color w:val="000000" w:themeColor="text1"/>
          <w:sz w:val="24"/>
          <w:szCs w:val="24"/>
          <w:lang w:val="en-GB"/>
        </w:rPr>
        <w:t>neuropathic pain phenotype</w:t>
      </w:r>
      <w:r w:rsidR="00422260" w:rsidRPr="002013B9">
        <w:rPr>
          <w:rFonts w:ascii="Times New Roman" w:hAnsi="Times New Roman" w:cs="Times New Roman"/>
          <w:color w:val="000000" w:themeColor="text1"/>
          <w:sz w:val="24"/>
          <w:szCs w:val="24"/>
          <w:lang w:val="en-GB"/>
        </w:rPr>
        <w:t>”</w:t>
      </w:r>
      <w:r w:rsidR="001C68D6" w:rsidRPr="002013B9">
        <w:rPr>
          <w:rFonts w:ascii="Times New Roman" w:hAnsi="Times New Roman" w:cs="Times New Roman"/>
          <w:color w:val="000000" w:themeColor="text1"/>
          <w:sz w:val="24"/>
          <w:szCs w:val="24"/>
          <w:lang w:val="en-GB"/>
        </w:rPr>
        <w:t xml:space="preserve"> with abnormal processing in the peripheral and central neural pathways</w:t>
      </w:r>
      <w:r w:rsidR="00422260" w:rsidRPr="002013B9">
        <w:rPr>
          <w:rFonts w:ascii="Times New Roman" w:hAnsi="Times New Roman" w:cs="Times New Roman"/>
          <w:color w:val="000000" w:themeColor="text1"/>
          <w:sz w:val="24"/>
          <w:szCs w:val="24"/>
          <w:lang w:val="en-GB"/>
        </w:rPr>
        <w:t xml:space="preserve"> </w:t>
      </w:r>
      <w:r w:rsidR="00ED6CB0" w:rsidRPr="002013B9">
        <w:rPr>
          <w:rFonts w:ascii="Times New Roman" w:hAnsi="Times New Roman" w:cs="Times New Roman"/>
          <w:color w:val="000000" w:themeColor="text1"/>
          <w:sz w:val="24"/>
          <w:szCs w:val="24"/>
          <w:lang w:val="en-GB"/>
        </w:rPr>
        <w:fldChar w:fldCharType="begin" w:fldLock="1"/>
      </w:r>
      <w:r w:rsidR="00422260" w:rsidRPr="002013B9">
        <w:rPr>
          <w:rFonts w:ascii="Times New Roman" w:hAnsi="Times New Roman" w:cs="Times New Roman"/>
          <w:color w:val="000000" w:themeColor="text1"/>
          <w:sz w:val="24"/>
          <w:szCs w:val="24"/>
          <w:lang w:val="en-GB"/>
        </w:rPr>
        <w:instrText>ADDIN CSL_CITATION {"citationItems":[{"id":"ITEM-1","itemData":{"DOI":"10.1136/gut.2007.146621","ISSN":"1468-3288","PMID":"18566105","abstract":"Pain mechanisms in patients with chronic pancreatitis are incompletely understood and probably multifactorial. Recently, evidence from experimental human pain research has indicated that in many of these patients pain processing in the central nervous system is abnormal and mimics that seen in neuropathic pain disorders. The current review focuses on several lines of evidence supporting this hypothesis. Hence, the spontaneous and postprandial pain in chronic pancreatitis may reflect the characteristic pain features seen in patients with neuropathic pain. Biochemical and histopathological findings in tissues from patients with chronic pancreatitis are similar to those observed in patients with other nerve fibre lesions. Experimental studies have shown that patients with chronic pancreatitis show signs of spinal hyper-excitability counter-balanced by segmental and descending inhibition. Changes in the brain with cortical reorganisation to gut stimulation and increased activity in specific electroencephalographic features characteristic for neuropathic pain are also seen in patients with chronic pancreatitis. Finally, principles involved in the treatment of pancreatic pain have many similarities with those recommended in neuropathic pain disorders. In conclusion, a mechanism-based understanding of pain in chronic pancreatitis may have important implications for the treatment.","author":[{"dropping-particle":"","family":"Drewes","given":"a M","non-dropping-particle":"","parse-names":false,"suffix":""},{"dropping-particle":"","family":"Krarup","given":"a L","non-dropping-particle":"","parse-names":false,"suffix":""},{"dropping-particle":"","family":"Detlefsen","given":"S","non-dropping-particle":"","parse-names":false,"suffix":""},{"dropping-particle":"","family":"Malmstrøm","given":"M-L","non-dropping-particle":"","parse-names":false,"suffix":""},{"dropping-particle":"","family":"Dimcevski","given":"G","non-dropping-particle":"","parse-names":false,"suffix":""},{"dropping-particle":"","family":"Funch-Jensen","given":"P","non-dropping-particle":"","parse-names":false,"suffix":""}],"container-title":"Gut","id":"ITEM-1","issue":"11","issued":{"date-parts":[["2008","11"]]},"page":"1616-27","title":"Pain in chronic pancreatitis: the role of neuropathic pain mechanisms.","type":"article-journal","volume":"57"},"uris":["http://www.mendeley.com/documents/?uuid=25e51404-c735-4a1f-954f-9a1f75849daf"]},{"id":"ITEM-2","itemData":{"DOI":"10.1038/nrgastro.2015.166","ISBN":"1759-5053 (Electronic)\\r1759-5045 (Linking)","ISSN":"1759-5045","PMID":"26460352","abstract":"Pancreatic nerves undergo prominent alterations during the evolution and progression of human chronic pancreatitis and pancreatic cancer. Intrapancreatic nerves increase in size (neural hypertrophy) and number (increased neural density). The proportion of autonomic and sensory fibres (neural remodelling) is switched, and are infiltrated by perineural inflammatory cells (pancreatic neuritis) or invaded by pancreatic cancer cells (neural invasion). These neuropathic alterations also correlate with neuropathic pain. Instead of being mere histopathological manifestations of disease progression, pancreatic neural plasticity synergizes with the enhanced excitability of sensory neurons, with Schwann cell recruitment toward cancer and with central nervous system alterations. These alterations maintain a bidirectional interaction between nerves and non-neural pancreatic cells, as demonstrated by tissue and neural damage inducing neuropathic pain, and activated neurons releasing mediators that modulate inflammation and cancer growth. Owing to the prognostic effects of pain and neural invasion in pancreatic cancer, dissecting the mechanism of pancreatic neuroplasticity holds major translational relevance. However, current in vivo models of pancreatic cancer and chronic pancreatitis contain many discrepancies from human disease that overshadow their translational value. The present Review discusses novel possibilities for mechanistically uncovering the role of the nervous system in pancreatic disease progression.","author":[{"dropping-particle":"","family":"Demir","given":"Ihsan Ekin","non-dropping-particle":"","parse-names":false,"suffix":""},{"dropping-particle":"","family":"Friess","given":"Helmut","non-dropping-particle":"","parse-names":false,"suffix":""},{"dropping-particle":"","family":"Ceyhan","given":"Güralp O.","non-dropping-particle":"","parse-names":false,"suffix":""}],"container-title":"Nature Reviews Gastroenterology &amp; Hepatology","id":"ITEM-2","issue":"11","issued":{"date-parts":[["2015"]]},"page":"649-659","title":"Neural plasticity in pancreatitis and pancreatic cancer","type":"article-journal","volume":"12"},"uris":["http://www.mendeley.com/documents/?uuid=f4e66168-71a3-4d95-af19-624f3fe29c26"]},{"id":"ITEM-3","itemData":{"DOI":"10.1038/nrgastro.2011.274","ISSN":"1759-5053","PMID":"22269952","abstract":"Chronic pancreatitis is typically a painful condition and it can be associated with a severe burden of disease. The pathogenesis of pain in this disorder is poorly understood and its treatment has been largely empirical, often consisting of surgical or other invasive methods, with an outcome that is variable and frequently unsatisfactory. Human and experimental studies have indicated a critical role for neuronal mechanisms that result in peripheral and central sensitization. The pancreatic nociceptor seems to be significantly affected in this condition, with increased excitability associated with downregulation of potassium currents. Some of the specific molecules implicated in this process include the vanilloid receptor, TRPV1, nerve growth factor, the protease activated receptor 2 and a variety of others that are discussed in this Review. Studies have also indicated novel therapeutic targets for this condition.","author":[{"dropping-particle":"","family":"Pasricha","given":"Pankaj Jay","non-dropping-particle":"","parse-names":false,"suffix":""}],"container-title":"Nature reviews. Gastroenterology &amp; hepatology","id":"ITEM-3","issue":"3","issued":{"date-parts":[["2012","1"]]},"page":"140-51","title":"Unraveling the mystery of pain in chronic pancreatitis.","type":"article-journal","volume":"9"},"uris":["http://www.mendeley.com/documents/?uuid=b9cfe0c6-9177-419d-a5b2-f620c08d3cc2"]}],"mendeley":{"formattedCitation":"[6,21,22]","plainTextFormattedCitation":"[6,21,22]","previouslyFormattedCitation":"[6,21,22]"},"properties":{"noteIndex":0},"schema":"https://github.com/citation-style-language/schema/raw/master/csl-citation.json"}</w:instrText>
      </w:r>
      <w:r w:rsidR="00ED6CB0" w:rsidRPr="002013B9">
        <w:rPr>
          <w:rFonts w:ascii="Times New Roman" w:hAnsi="Times New Roman" w:cs="Times New Roman"/>
          <w:color w:val="000000" w:themeColor="text1"/>
          <w:sz w:val="24"/>
          <w:szCs w:val="24"/>
          <w:lang w:val="en-GB"/>
        </w:rPr>
        <w:fldChar w:fldCharType="separate"/>
      </w:r>
      <w:r w:rsidR="0024057D" w:rsidRPr="002013B9">
        <w:rPr>
          <w:rFonts w:ascii="Times New Roman" w:hAnsi="Times New Roman" w:cs="Times New Roman"/>
          <w:noProof/>
          <w:color w:val="000000" w:themeColor="text1"/>
          <w:sz w:val="24"/>
          <w:szCs w:val="24"/>
          <w:lang w:val="en-GB"/>
        </w:rPr>
        <w:t>[6,21,22]</w:t>
      </w:r>
      <w:r w:rsidR="00ED6CB0" w:rsidRPr="002013B9">
        <w:rPr>
          <w:rFonts w:ascii="Times New Roman" w:hAnsi="Times New Roman" w:cs="Times New Roman"/>
          <w:color w:val="000000" w:themeColor="text1"/>
          <w:sz w:val="24"/>
          <w:szCs w:val="24"/>
          <w:lang w:val="en-GB"/>
        </w:rPr>
        <w:fldChar w:fldCharType="end"/>
      </w:r>
      <w:r w:rsidR="001C68D6" w:rsidRPr="002013B9">
        <w:rPr>
          <w:rFonts w:ascii="Times New Roman" w:hAnsi="Times New Roman" w:cs="Times New Roman"/>
          <w:color w:val="000000" w:themeColor="text1"/>
          <w:sz w:val="24"/>
          <w:szCs w:val="24"/>
          <w:lang w:val="en-GB"/>
        </w:rPr>
        <w:t xml:space="preserve">. </w:t>
      </w:r>
      <w:r w:rsidR="0059564A" w:rsidRPr="002013B9">
        <w:rPr>
          <w:rFonts w:ascii="Times New Roman" w:hAnsi="Times New Roman" w:cs="Times New Roman"/>
          <w:color w:val="000000" w:themeColor="text1"/>
          <w:sz w:val="24"/>
          <w:szCs w:val="24"/>
          <w:lang w:val="en-GB"/>
        </w:rPr>
        <w:t>Invasive procedures will not be effective in neuropathic pain, and can even be considered harmful</w:t>
      </w:r>
      <w:r w:rsidR="00120429" w:rsidRPr="002013B9">
        <w:rPr>
          <w:rFonts w:ascii="Times New Roman" w:hAnsi="Times New Roman" w:cs="Times New Roman"/>
          <w:color w:val="000000" w:themeColor="text1"/>
          <w:sz w:val="24"/>
          <w:szCs w:val="24"/>
          <w:lang w:val="en-GB"/>
        </w:rPr>
        <w:t xml:space="preserve"> </w:t>
      </w:r>
      <w:r w:rsidR="00120429" w:rsidRPr="002013B9">
        <w:rPr>
          <w:rFonts w:ascii="Times New Roman" w:hAnsi="Times New Roman" w:cs="Times New Roman"/>
          <w:color w:val="000000" w:themeColor="text1"/>
          <w:sz w:val="24"/>
          <w:szCs w:val="24"/>
          <w:lang w:val="en-GB"/>
        </w:rPr>
        <w:fldChar w:fldCharType="begin" w:fldLock="1"/>
      </w:r>
      <w:r w:rsidR="009A3A25" w:rsidRPr="002013B9">
        <w:rPr>
          <w:rFonts w:ascii="Times New Roman" w:hAnsi="Times New Roman" w:cs="Times New Roman"/>
          <w:color w:val="000000" w:themeColor="text1"/>
          <w:sz w:val="24"/>
          <w:szCs w:val="24"/>
          <w:lang w:val="en-GB"/>
        </w:rPr>
        <w:instrText>ADDIN CSL_CITATION {"citationItems":[{"id":"ITEM-1","itemData":{"DOI":"10.1136/gutjnl-2019-318742","ISSN":"1468-3288","PMID":"31129569","author":[{"dropping-particle":"","family":"Drewes","given":"Asbjørn Mohr","non-dropping-particle":"","parse-names":false,"suffix":""},{"dropping-particle":"","family":"Kempeneers","given":"Marinus A","non-dropping-particle":"","parse-names":false,"suffix":""},{"dropping-particle":"","family":"Andersen","given":"Dana K","non-dropping-particle":"","parse-names":false,"suffix":""},{"dropping-particle":"","family":"Arendt-Nielsen","given":"Lars","non-dropping-particle":"","parse-names":false,"suffix":""},{"dropping-particle":"","family":"Besselink","given":"Marc G","non-dropping-particle":"","parse-names":false,"suffix":""},{"dropping-particle":"","family":"Boermeester","given":"Marja A","non-dropping-particle":"","parse-names":false,"suffix":""},{"dropping-particle":"","family":"Bouwense","given":"Stefan","non-dropping-particle":"","parse-names":false,"suffix":""},{"dropping-particle":"","family":"Bruno","given":"Marco","non-dropping-particle":"","parse-names":false,"suffix":""},{"dropping-particle":"","family":"Freeman","given":"Martin","non-dropping-particle":"","parse-names":false,"suffix":""},{"dropping-particle":"","family":"Gress","given":"Thomas M","non-dropping-particle":"","parse-names":false,"suffix":""},{"dropping-particle":"","family":"Hooft","given":"Jeanin E","non-dropping-particle":"van","parse-names":false,"suffix":""},{"dropping-particle":"","family":"Morlion","given":"Bart","non-dropping-particle":"","parse-names":false,"suffix":""},{"dropping-particle":"","family":"Olesen","given":"Søren Schou","non-dropping-particle":"","parse-names":false,"suffix":""},{"dropping-particle":"","family":"Santvoort","given":"Hjalmar","non-dropping-particle":"van","parse-names":false,"suffix":""},{"dropping-particle":"","family":"Singh","given":"Vikesh","non-dropping-particle":"","parse-names":false,"suffix":""},{"dropping-particle":"","family":"Windsor","given":"John","non-dropping-particle":"","parse-names":false,"suffix":""}],"container-title":"Gut","id":"ITEM-1","issue":"8","issued":{"date-parts":[["2019","8","25"]]},"page":"1343-1351","title":"Controversies on the endoscopic and surgical management of pain in patients with chronic pancreatitis: pros and cons!","type":"article-journal","volume":"68"},"uris":["http://www.mendeley.com/documents/?uuid=a33ed883-97ff-45f0-881a-b95fb0a58ddc"]}],"mendeley":{"formattedCitation":"[14]","plainTextFormattedCitation":"[14]","previouslyFormattedCitation":"[14]"},"properties":{"noteIndex":0},"schema":"https://github.com/citation-style-language/schema/raw/master/csl-citation.json"}</w:instrText>
      </w:r>
      <w:r w:rsidR="00120429" w:rsidRPr="002013B9">
        <w:rPr>
          <w:rFonts w:ascii="Times New Roman" w:hAnsi="Times New Roman" w:cs="Times New Roman"/>
          <w:color w:val="000000" w:themeColor="text1"/>
          <w:sz w:val="24"/>
          <w:szCs w:val="24"/>
          <w:lang w:val="en-GB"/>
        </w:rPr>
        <w:fldChar w:fldCharType="separate"/>
      </w:r>
      <w:r w:rsidR="00120429" w:rsidRPr="002013B9">
        <w:rPr>
          <w:rFonts w:ascii="Times New Roman" w:hAnsi="Times New Roman" w:cs="Times New Roman"/>
          <w:noProof/>
          <w:color w:val="000000" w:themeColor="text1"/>
          <w:sz w:val="24"/>
          <w:szCs w:val="24"/>
          <w:lang w:val="en-GB"/>
        </w:rPr>
        <w:t>[14]</w:t>
      </w:r>
      <w:r w:rsidR="00120429" w:rsidRPr="002013B9">
        <w:rPr>
          <w:rFonts w:ascii="Times New Roman" w:hAnsi="Times New Roman" w:cs="Times New Roman"/>
          <w:color w:val="000000" w:themeColor="text1"/>
          <w:sz w:val="24"/>
          <w:szCs w:val="24"/>
          <w:lang w:val="en-GB"/>
        </w:rPr>
        <w:fldChar w:fldCharType="end"/>
      </w:r>
      <w:r w:rsidR="0059564A" w:rsidRPr="002013B9">
        <w:rPr>
          <w:rFonts w:ascii="Times New Roman" w:hAnsi="Times New Roman" w:cs="Times New Roman"/>
          <w:color w:val="000000" w:themeColor="text1"/>
          <w:sz w:val="24"/>
          <w:szCs w:val="24"/>
          <w:lang w:val="en-GB"/>
        </w:rPr>
        <w:t xml:space="preserve">. </w:t>
      </w:r>
      <w:r w:rsidR="001C68D6" w:rsidRPr="002013B9">
        <w:rPr>
          <w:rFonts w:ascii="Times New Roman" w:hAnsi="Times New Roman" w:cs="Times New Roman"/>
          <w:color w:val="000000" w:themeColor="text1"/>
          <w:sz w:val="24"/>
          <w:szCs w:val="24"/>
          <w:lang w:val="en-GB"/>
        </w:rPr>
        <w:t>This likely explains the variable response to endoscopic</w:t>
      </w:r>
      <w:r w:rsidR="00230564" w:rsidRPr="002013B9">
        <w:rPr>
          <w:rFonts w:ascii="Times New Roman" w:hAnsi="Times New Roman" w:cs="Times New Roman"/>
          <w:color w:val="000000" w:themeColor="text1"/>
          <w:sz w:val="24"/>
          <w:szCs w:val="24"/>
          <w:lang w:val="en-GB"/>
        </w:rPr>
        <w:t xml:space="preserve"> and surgical</w:t>
      </w:r>
      <w:r w:rsidR="001C68D6" w:rsidRPr="002013B9">
        <w:rPr>
          <w:rFonts w:ascii="Times New Roman" w:hAnsi="Times New Roman" w:cs="Times New Roman"/>
          <w:color w:val="000000" w:themeColor="text1"/>
          <w:sz w:val="24"/>
          <w:szCs w:val="24"/>
          <w:lang w:val="en-GB"/>
        </w:rPr>
        <w:t xml:space="preserve"> treatment</w:t>
      </w:r>
      <w:r w:rsidR="00230564" w:rsidRPr="002013B9">
        <w:rPr>
          <w:rFonts w:ascii="Times New Roman" w:hAnsi="Times New Roman" w:cs="Times New Roman"/>
          <w:color w:val="000000" w:themeColor="text1"/>
          <w:sz w:val="24"/>
          <w:szCs w:val="24"/>
          <w:lang w:val="en-GB"/>
        </w:rPr>
        <w:t>s</w:t>
      </w:r>
      <w:r w:rsidR="001C68D6" w:rsidRPr="002013B9">
        <w:rPr>
          <w:rFonts w:ascii="Times New Roman" w:hAnsi="Times New Roman" w:cs="Times New Roman"/>
          <w:color w:val="000000" w:themeColor="text1"/>
          <w:sz w:val="24"/>
          <w:szCs w:val="24"/>
          <w:lang w:val="en-GB"/>
        </w:rPr>
        <w:t xml:space="preserve"> and underline an unmet need for biomarkers to identify responders to the different treatment</w:t>
      </w:r>
      <w:r w:rsidR="00A5745C" w:rsidRPr="002013B9">
        <w:rPr>
          <w:rFonts w:ascii="Times New Roman" w:hAnsi="Times New Roman" w:cs="Times New Roman"/>
          <w:color w:val="000000" w:themeColor="text1"/>
          <w:sz w:val="24"/>
          <w:szCs w:val="24"/>
          <w:lang w:val="en-GB"/>
        </w:rPr>
        <w:t xml:space="preserve"> modalities</w:t>
      </w:r>
      <w:r w:rsidR="001C68D6" w:rsidRPr="002013B9">
        <w:rPr>
          <w:rFonts w:ascii="Times New Roman" w:hAnsi="Times New Roman" w:cs="Times New Roman"/>
          <w:color w:val="000000" w:themeColor="text1"/>
          <w:sz w:val="24"/>
          <w:szCs w:val="24"/>
          <w:lang w:val="en-GB"/>
        </w:rPr>
        <w:t>.</w:t>
      </w:r>
      <w:r w:rsidR="00194A33" w:rsidRPr="002013B9">
        <w:rPr>
          <w:rFonts w:ascii="Times New Roman" w:hAnsi="Times New Roman" w:cs="Times New Roman"/>
          <w:color w:val="000000" w:themeColor="text1"/>
          <w:sz w:val="24"/>
          <w:szCs w:val="24"/>
          <w:lang w:val="en-GB"/>
        </w:rPr>
        <w:t xml:space="preserve"> </w:t>
      </w:r>
    </w:p>
    <w:p w14:paraId="114B2764" w14:textId="350C4977" w:rsidR="007D497F" w:rsidRPr="002013B9" w:rsidRDefault="007E5559" w:rsidP="00164C1D">
      <w:pPr>
        <w:widowControl w:val="0"/>
        <w:autoSpaceDE w:val="0"/>
        <w:autoSpaceDN w:val="0"/>
        <w:adjustRightInd w:val="0"/>
        <w:spacing w:line="480" w:lineRule="auto"/>
        <w:ind w:firstLine="567"/>
        <w:contextualSpacing/>
        <w:jc w:val="both"/>
        <w:rPr>
          <w:rFonts w:ascii="Times New Roman" w:hAnsi="Times New Roman" w:cs="Times New Roman"/>
          <w:color w:val="000000" w:themeColor="text1"/>
          <w:sz w:val="24"/>
          <w:szCs w:val="24"/>
          <w:lang w:val="en-GB"/>
        </w:rPr>
      </w:pPr>
      <w:r w:rsidRPr="002013B9">
        <w:rPr>
          <w:rFonts w:ascii="Times New Roman" w:hAnsi="Times New Roman" w:cs="Times New Roman"/>
          <w:color w:val="000000" w:themeColor="text1"/>
          <w:sz w:val="24"/>
          <w:szCs w:val="24"/>
          <w:lang w:val="en-GB"/>
        </w:rPr>
        <w:t xml:space="preserve">Quantitative sensory testing (QST) can </w:t>
      </w:r>
      <w:r w:rsidR="00A5745C" w:rsidRPr="002013B9">
        <w:rPr>
          <w:rFonts w:ascii="Times New Roman" w:hAnsi="Times New Roman" w:cs="Times New Roman"/>
          <w:color w:val="000000" w:themeColor="text1"/>
          <w:sz w:val="24"/>
          <w:szCs w:val="24"/>
          <w:lang w:val="en-GB"/>
        </w:rPr>
        <w:t>be used to investigate</w:t>
      </w:r>
      <w:r w:rsidRPr="002013B9">
        <w:rPr>
          <w:rFonts w:ascii="Times New Roman" w:hAnsi="Times New Roman" w:cs="Times New Roman"/>
          <w:color w:val="000000" w:themeColor="text1"/>
          <w:sz w:val="24"/>
          <w:szCs w:val="24"/>
          <w:lang w:val="en-GB"/>
        </w:rPr>
        <w:t xml:space="preserve"> the</w:t>
      </w:r>
      <w:r w:rsidR="00230564" w:rsidRPr="002013B9">
        <w:rPr>
          <w:rFonts w:ascii="Times New Roman" w:hAnsi="Times New Roman" w:cs="Times New Roman"/>
          <w:color w:val="000000" w:themeColor="text1"/>
          <w:sz w:val="24"/>
          <w:szCs w:val="24"/>
          <w:lang w:val="en-GB"/>
        </w:rPr>
        <w:t xml:space="preserve"> state of the</w:t>
      </w:r>
      <w:r w:rsidRPr="002013B9">
        <w:rPr>
          <w:rFonts w:ascii="Times New Roman" w:hAnsi="Times New Roman" w:cs="Times New Roman"/>
          <w:color w:val="000000" w:themeColor="text1"/>
          <w:sz w:val="24"/>
          <w:szCs w:val="24"/>
          <w:lang w:val="en-GB"/>
        </w:rPr>
        <w:t xml:space="preserve"> pain system</w:t>
      </w:r>
      <w:r w:rsidR="00422260" w:rsidRPr="002013B9">
        <w:rPr>
          <w:rFonts w:ascii="Times New Roman" w:hAnsi="Times New Roman" w:cs="Times New Roman"/>
          <w:color w:val="000000" w:themeColor="text1"/>
          <w:sz w:val="24"/>
          <w:szCs w:val="24"/>
          <w:lang w:val="en-GB"/>
        </w:rPr>
        <w:t>. T</w:t>
      </w:r>
      <w:r w:rsidRPr="002013B9">
        <w:rPr>
          <w:rFonts w:ascii="Times New Roman" w:hAnsi="Times New Roman" w:cs="Times New Roman"/>
          <w:color w:val="000000" w:themeColor="text1"/>
          <w:sz w:val="24"/>
          <w:szCs w:val="24"/>
          <w:lang w:val="en-GB"/>
        </w:rPr>
        <w:t xml:space="preserve">he technique is based on the rationale that different neural pathways and networks can be explored using standardized stimulation </w:t>
      </w:r>
      <w:r w:rsidR="00230564" w:rsidRPr="002013B9">
        <w:rPr>
          <w:rFonts w:ascii="Times New Roman" w:hAnsi="Times New Roman" w:cs="Times New Roman"/>
          <w:color w:val="000000" w:themeColor="text1"/>
          <w:sz w:val="24"/>
          <w:szCs w:val="24"/>
          <w:lang w:val="en-GB"/>
        </w:rPr>
        <w:t xml:space="preserve">with </w:t>
      </w:r>
      <w:r w:rsidRPr="002013B9">
        <w:rPr>
          <w:rFonts w:ascii="Times New Roman" w:hAnsi="Times New Roman" w:cs="Times New Roman"/>
          <w:color w:val="000000" w:themeColor="text1"/>
          <w:sz w:val="24"/>
          <w:szCs w:val="24"/>
          <w:lang w:val="en-GB"/>
        </w:rPr>
        <w:t>simultaneous recording of the evoked pain response by psychophysical and/or objective methods</w:t>
      </w:r>
      <w:r w:rsidR="00081435" w:rsidRPr="002013B9">
        <w:rPr>
          <w:rFonts w:ascii="Times New Roman" w:hAnsi="Times New Roman" w:cs="Times New Roman"/>
          <w:color w:val="000000" w:themeColor="text1"/>
          <w:sz w:val="24"/>
          <w:szCs w:val="24"/>
          <w:lang w:val="en-GB"/>
        </w:rPr>
        <w:t xml:space="preserve"> </w:t>
      </w:r>
      <w:r w:rsidR="00ED6CB0" w:rsidRPr="002013B9">
        <w:rPr>
          <w:rFonts w:ascii="Times New Roman" w:hAnsi="Times New Roman" w:cs="Times New Roman"/>
          <w:color w:val="000000" w:themeColor="text1"/>
          <w:sz w:val="24"/>
          <w:szCs w:val="24"/>
          <w:lang w:val="en-GB"/>
        </w:rPr>
        <w:fldChar w:fldCharType="begin" w:fldLock="1"/>
      </w:r>
      <w:r w:rsidR="00422260" w:rsidRPr="002013B9">
        <w:rPr>
          <w:rFonts w:ascii="Times New Roman" w:hAnsi="Times New Roman" w:cs="Times New Roman"/>
          <w:color w:val="000000" w:themeColor="text1"/>
          <w:sz w:val="24"/>
          <w:szCs w:val="24"/>
          <w:lang w:val="en-GB"/>
        </w:rPr>
        <w:instrText>ADDIN CSL_CITATION {"citationItems":[{"id":"ITEM-1","itemData":{"DOI":"10.3748/wjg.v21.i1.47","ISSN":"2219-2840 (Electronic)","PMID":"25574079","abstract":"Pain in chronic pancreatitis (CP) shows similarities with other visceral pain syndromes (i.e., inflammatory bowel disease and esophagitis), which should thus be managed in a similar fashion. Typical causes of CP pain include increased intrapancreatic pressure, pancreatic inflammation and pancreatic/extrapancreatic complications. Unfortunately, CP pain continues to be a major clinical challenge. It is recognized that ongoing pain may induce altered central pain processing, e.g., central sensitization or pro-nociceptive pain modulation. When this is present conventional pain treatment targeting the nociceptive focus, e.g., opioid analgesia or surgical/endoscopic intervention, often fails even if technically successful. If central nervous system pain processing is altered, specific treatment targeting these changes should be instituted (e.g., gabapentinoids, ketamine or tricyclic antidepressants). Suitable tools are now available to make altered central processing visible, including quantitative sensory testing, electroencephalograpy and (functional) magnetic resonance imaging. These techniques are potentially clinically useful diagnostic tools to analyze central pain processing and thus define optimum management approaches for pain in CP and other visceral pain syndromes. The present review proposes a systematic mechanism-orientated approach to pain management in CP based on a holistic view of the mechanisms involved. Future research should address the circumstances under which central nervous system pain processing changes in CP, and how this is influenced by ongoing nociceptive input and therapies. Thus we hope to predict which patients are at risk for developing chronic pain or not responding to therapy, leading to improved treatment of chronic pain in CP and other visceral pain disorders.","author":[{"dropping-particle":"","family":"Bouwense","given":"Stefan Aw","non-dropping-particle":"","parse-names":false,"suffix":""},{"dropping-particle":"","family":"Vries","given":"Marjan","non-dropping-particle":"de","parse-names":false,"suffix":""},{"dropping-particle":"","family":"Schreuder","given":"Luuk Tw","non-dropping-particle":"","parse-names":false,"suffix":""},{"dropping-particle":"","family":"Olesen","given":"Soren S","non-dropping-particle":"","parse-names":false,"suffix":""},{"dropping-particle":"","family":"Frokjaer","given":"Jens B","non-dropping-particle":"","parse-names":false,"suffix":""},{"dropping-particle":"","family":"Drewes","given":"Asbjorn M","non-dropping-particle":"","parse-names":false,"suffix":""},{"dropping-particle":"","family":"Goor","given":"Harry","non-dropping-particle":"van","parse-names":false,"suffix":""},{"dropping-particle":"","family":"Wilder-Smith","given":"Oliver Hg","non-dropping-particle":"","parse-names":false,"suffix":""}],"container-title":"World journal of gastroenterology : WJG","id":"ITEM-1","issue":"1","issued":{"date-parts":[["2015","1"]]},"language":"ENG","page":"47-59","title":"Systematic mechanism-orientated approach to chronic pancreatitis pain.","type":"article","volume":"21"},"uris":["http://www.mendeley.com/documents/?uuid=32a2272e-7e80-4ff7-9d46-81b4d449697b"]}],"mendeley":{"formattedCitation":"[23]","plainTextFormattedCitation":"[23]","previouslyFormattedCitation":"[23]"},"properties":{"noteIndex":0},"schema":"https://github.com/citation-style-language/schema/raw/master/csl-citation.json"}</w:instrText>
      </w:r>
      <w:r w:rsidR="00ED6CB0" w:rsidRPr="002013B9">
        <w:rPr>
          <w:rFonts w:ascii="Times New Roman" w:hAnsi="Times New Roman" w:cs="Times New Roman"/>
          <w:color w:val="000000" w:themeColor="text1"/>
          <w:sz w:val="24"/>
          <w:szCs w:val="24"/>
          <w:vertAlign w:val="superscript"/>
          <w:lang w:val="en-GB"/>
        </w:rPr>
        <w:fldChar w:fldCharType="separate"/>
      </w:r>
      <w:r w:rsidR="0024057D" w:rsidRPr="002013B9">
        <w:rPr>
          <w:rFonts w:ascii="Times New Roman" w:hAnsi="Times New Roman" w:cs="Times New Roman"/>
          <w:noProof/>
          <w:color w:val="000000" w:themeColor="text1"/>
          <w:sz w:val="24"/>
          <w:szCs w:val="24"/>
          <w:lang w:val="en-GB"/>
        </w:rPr>
        <w:t>[23]</w:t>
      </w:r>
      <w:r w:rsidR="00ED6CB0" w:rsidRPr="002013B9">
        <w:rPr>
          <w:rFonts w:ascii="Times New Roman" w:hAnsi="Times New Roman" w:cs="Times New Roman"/>
          <w:color w:val="000000" w:themeColor="text1"/>
          <w:sz w:val="24"/>
          <w:szCs w:val="24"/>
          <w:lang w:val="en-GB"/>
        </w:rPr>
        <w:fldChar w:fldCharType="end"/>
      </w:r>
      <w:r w:rsidRPr="002013B9">
        <w:rPr>
          <w:rFonts w:ascii="Times New Roman" w:hAnsi="Times New Roman" w:cs="Times New Roman"/>
          <w:color w:val="000000" w:themeColor="text1"/>
          <w:sz w:val="24"/>
          <w:szCs w:val="24"/>
          <w:lang w:val="en-GB"/>
        </w:rPr>
        <w:t xml:space="preserve">. Due to spinal convergence between visceral afferents from the pancreas and somatic afferents from </w:t>
      </w:r>
      <w:r w:rsidR="00CC4F5D" w:rsidRPr="002013B9">
        <w:rPr>
          <w:rFonts w:ascii="Times New Roman" w:hAnsi="Times New Roman" w:cs="Times New Roman"/>
          <w:color w:val="000000" w:themeColor="text1"/>
          <w:sz w:val="24"/>
          <w:szCs w:val="24"/>
          <w:lang w:val="en-GB"/>
        </w:rPr>
        <w:t xml:space="preserve">the </w:t>
      </w:r>
      <w:r w:rsidRPr="002013B9">
        <w:rPr>
          <w:rFonts w:ascii="Times New Roman" w:hAnsi="Times New Roman" w:cs="Times New Roman"/>
          <w:color w:val="000000" w:themeColor="text1"/>
          <w:sz w:val="24"/>
          <w:szCs w:val="24"/>
          <w:lang w:val="en-GB"/>
        </w:rPr>
        <w:t xml:space="preserve">T10 skin dermatome, somatic QST can be </w:t>
      </w:r>
      <w:r w:rsidR="00214AA5" w:rsidRPr="002013B9">
        <w:rPr>
          <w:rFonts w:ascii="Times New Roman" w:hAnsi="Times New Roman" w:cs="Times New Roman"/>
          <w:color w:val="000000" w:themeColor="text1"/>
          <w:sz w:val="24"/>
          <w:szCs w:val="24"/>
          <w:lang w:val="en-GB"/>
        </w:rPr>
        <w:t xml:space="preserve">reliable </w:t>
      </w:r>
      <w:r w:rsidRPr="002013B9">
        <w:rPr>
          <w:rFonts w:ascii="Times New Roman" w:hAnsi="Times New Roman" w:cs="Times New Roman"/>
          <w:color w:val="000000" w:themeColor="text1"/>
          <w:sz w:val="24"/>
          <w:szCs w:val="24"/>
          <w:lang w:val="en-GB"/>
        </w:rPr>
        <w:t xml:space="preserve">used to assess if the pain system is </w:t>
      </w:r>
      <w:r w:rsidR="00E80FD0" w:rsidRPr="002013B9">
        <w:rPr>
          <w:rFonts w:ascii="Times New Roman" w:hAnsi="Times New Roman" w:cs="Times New Roman"/>
          <w:color w:val="000000" w:themeColor="text1"/>
          <w:sz w:val="24"/>
          <w:szCs w:val="24"/>
          <w:lang w:val="en-GB"/>
        </w:rPr>
        <w:t xml:space="preserve">locally </w:t>
      </w:r>
      <w:r w:rsidR="001B6D70" w:rsidRPr="002013B9">
        <w:rPr>
          <w:rFonts w:ascii="Times New Roman" w:hAnsi="Times New Roman" w:cs="Times New Roman"/>
          <w:color w:val="000000" w:themeColor="text1"/>
          <w:sz w:val="24"/>
          <w:szCs w:val="24"/>
          <w:lang w:val="en-GB"/>
        </w:rPr>
        <w:t>sensitized</w:t>
      </w:r>
      <w:r w:rsidRPr="002013B9">
        <w:rPr>
          <w:rFonts w:ascii="Times New Roman" w:hAnsi="Times New Roman" w:cs="Times New Roman"/>
          <w:color w:val="000000" w:themeColor="text1"/>
          <w:sz w:val="24"/>
          <w:szCs w:val="24"/>
          <w:lang w:val="en-GB"/>
        </w:rPr>
        <w:t xml:space="preserve"> by nociceptive input from the pancreas (segmental sensitization)</w:t>
      </w:r>
      <w:r w:rsidR="004047E1" w:rsidRPr="002013B9">
        <w:rPr>
          <w:rFonts w:ascii="Times New Roman" w:hAnsi="Times New Roman" w:cs="Times New Roman"/>
          <w:color w:val="000000" w:themeColor="text1"/>
          <w:sz w:val="24"/>
          <w:szCs w:val="24"/>
          <w:lang w:val="en-GB"/>
        </w:rPr>
        <w:t xml:space="preserve"> </w:t>
      </w:r>
      <w:r w:rsidR="00ED6CB0" w:rsidRPr="002013B9">
        <w:rPr>
          <w:rFonts w:ascii="Times New Roman" w:hAnsi="Times New Roman" w:cs="Times New Roman"/>
          <w:color w:val="000000" w:themeColor="text1"/>
          <w:sz w:val="24"/>
          <w:szCs w:val="24"/>
          <w:lang w:val="en-GB"/>
        </w:rPr>
        <w:fldChar w:fldCharType="begin" w:fldLock="1"/>
      </w:r>
      <w:r w:rsidR="00422260" w:rsidRPr="002013B9">
        <w:rPr>
          <w:rFonts w:ascii="Times New Roman" w:hAnsi="Times New Roman" w:cs="Times New Roman"/>
          <w:color w:val="000000" w:themeColor="text1"/>
          <w:sz w:val="24"/>
          <w:szCs w:val="24"/>
          <w:lang w:val="en-GB"/>
        </w:rPr>
        <w:instrText>ADDIN CSL_CITATION {"citationItems":[{"id":"ITEM-1","itemData":{"DOI":"10.1371/journal.pone.0057963","ISSN":"1932-6203","PMID":"23469256","abstract":"BACKGROUND A major problem in pain medicine is the lack of knowledge about which treatment suits a specific patient. We tested the ability of quantitative sensory testing to predict the analgesic effect of pregabalin and placebo in patients with chronic pancreatitis. METHODS Sixty-four patients with painful chronic pancreatitis received pregabalin (150-300 mg BID) or matching placebo for three consecutive weeks. Analgesic effect was documented in a pain diary based on a visual analogue scale. Responders were defined as patients with a reduction in clinical pain score of 30% or more after three weeks of study treatment compared to baseline recordings. Prior to study medication, pain thresholds to electric skin and pressure stimulation were measured in dermatomes T10 (pancreatic area) and C5 (control area). To eliminate inter-subject differences in absolute pain thresholds an index of sensitivity between stimulation areas was determined (ratio of pain detection thresholds in pancreatic versus control area, ePDT ratio). Pain modulation was recorded by a conditioned pain modulation paradigm. A support vector machine was used to screen sensory parameters for their predictive power of pregabalin efficacy. RESULTS The pregabalin responders group was hypersensitive to electric tetanic stimulation of the pancreatic area (ePDT ratio 1.2 (0.9-1.3)) compared to non-responders group (ePDT ratio: 1.6 (1.5-2.0)) (P = 0.001). The electrical pain detection ratio was predictive for pregabalin effect with a classification accuracy of 83.9% (P = 0.007). The corresponding sensitivity was 87.5% and specificity was 80.0%. No other parameters were predictive of pregabalin or placebo efficacy. CONCLUSIONS The present study provides first evidence that quantitative sensory testing predicts the analgesic effect of pregabalin in patients with painful chronic pancreatitis. The method can be used to tailor pain medication based on patient's individual sensory profile and thus comprises a significant step towards personalized pain medicine.","author":[{"dropping-particle":"","family":"Olesen","given":"Søren S","non-dropping-particle":"","parse-names":false,"suffix":""},{"dropping-particle":"","family":"Graversen","given":"Carina","non-dropping-particle":"","parse-names":false,"suffix":""},{"dropping-particle":"","family":"Bouwense","given":"Stefan A W","non-dropping-particle":"","parse-names":false,"suffix":""},{"dropping-particle":"","family":"Goor","given":"Harry","non-dropping-particle":"van","parse-names":false,"suffix":""},{"dropping-particle":"","family":"Wilder-Smith","given":"Oliver H G","non-dropping-particle":"","parse-names":false,"suffix":""},{"dropping-particle":"","family":"Drewes","given":"Asbjørn M","non-dropping-particle":"","parse-names":false,"suffix":""}],"container-title":"PloS one","id":"ITEM-1","issue":"3","issued":{"date-parts":[["2013"]]},"language":"eng","page":"e57963","publisher-place":"United States","title":"Quantitative sensory testing predicts pregabalin efficacy in painful chronic pancreatitis.","type":"article-journal","volume":"8"},"uris":["http://www.mendeley.com/documents/?uuid=4526c71b-8fc3-4ae6-a12c-c6473369ef88"]},{"id":"ITEM-2","itemData":{"DOI":"10.1097/AAP.0b013e3182632c40","ISSN":"1532-8651","PMID":"22854397","abstract":"BACKGROUND AND OBJECTIVES Quantitative sensory testing (QST) has proven to be an important instrument to characterize mechanisms underlying somatic and neuropathic pain disorders. However, its reliability has not previously been established in patients with visceral pain. We investigated the test-retest reliability of static and dynamic QST in patients with visceral pain due to chronic pancreatitis. METHODS Sixty-two patients (38 men, 53 [11] y) with painful chronic pancreatitis were included. Static QST comprised sensory thresholds for pressure and electrical stimulation performed in the ventral and dorsal T10 dermatomes (sharing spinal innervation with the pancreas, ie, pancreatic viscerotomes) and in 4 heterologous regions (control areas). Dynamic QST comprised conditioned pain modulation. Measurements were obtained from 2 subsequent test sessions separated by 1 week. RESULTS The reliability of static QST was generally high, with the best test-retest performance seen for pressure pain thresholds (intraclass correlation coefficients [ICC], 0.74) and electrical sensation thresholds (ICC, 0.66). In contrast, the reliability of dynamic QST was poor (ICC, 0.01). For static QST measures, the reliability was higher for pain thresholds compared with suprapain thresholds (P &lt; 0.01). No differences between assessments in the pancreatic viscerotomes compared with heterologous regions were seen (P = 0.6). CONCLUSIONS Sensory thresholds in the pancreatic viscerotomes and control areas were reproducible over time. In contrast, dynamic QST measurements reflecting active central modulation of pain processing state (ie, conditioned pain modulation) were not stable over time and showed considerable variability. These factors should be taken into consideration in case QST is used to follow disease mechanisms, drug effects, or effects of pain intervention.","author":[{"dropping-particle":"","family":"Olesen","given":"Søren S","non-dropping-particle":"","parse-names":false,"suffix":""},{"dropping-particle":"","family":"Goor","given":"Harry","non-dropping-particle":"van","parse-names":false,"suffix":""},{"dropping-particle":"","family":"Bouwense","given":"Stefan A W","non-dropping-particle":"","parse-names":false,"suffix":""},{"dropping-particle":"","family":"Wilder-Smith","given":"Oliver H G","non-dropping-particle":"","parse-names":false,"suffix":""},{"dropping-particle":"","family":"Drewes","given":"Asbjørn M","non-dropping-particle":"","parse-names":false,"suffix":""}],"container-title":"Regional anesthesia and pain medicine","id":"ITEM-2","issue":"5","issued":{"date-parts":[["2012"]]},"language":"eng","page":"530-6","publisher-place":"United States","title":"Reliability of static and dynamic quantitative sensory testing in patients with painful chronic pancreatitis.","type":"article-journal","volume":"37"},"uris":["http://www.mendeley.com/documents/?uuid=3f01fe52-4307-4846-a372-464b00e8c8e1"]}],"mendeley":{"formattedCitation":"[24,25]","plainTextFormattedCitation":"[24,25]","previouslyFormattedCitation":"[24,25]"},"properties":{"noteIndex":0},"schema":"https://github.com/citation-style-language/schema/raw/master/csl-citation.json"}</w:instrText>
      </w:r>
      <w:r w:rsidR="00ED6CB0" w:rsidRPr="002013B9">
        <w:rPr>
          <w:rFonts w:ascii="Times New Roman" w:hAnsi="Times New Roman" w:cs="Times New Roman"/>
          <w:color w:val="000000" w:themeColor="text1"/>
          <w:sz w:val="24"/>
          <w:szCs w:val="24"/>
          <w:lang w:val="en-GB"/>
        </w:rPr>
        <w:fldChar w:fldCharType="separate"/>
      </w:r>
      <w:r w:rsidR="0024057D" w:rsidRPr="002013B9">
        <w:rPr>
          <w:rFonts w:ascii="Times New Roman" w:hAnsi="Times New Roman" w:cs="Times New Roman"/>
          <w:noProof/>
          <w:color w:val="000000" w:themeColor="text1"/>
          <w:sz w:val="24"/>
          <w:szCs w:val="24"/>
          <w:lang w:val="en-GB"/>
        </w:rPr>
        <w:t>[24,25]</w:t>
      </w:r>
      <w:r w:rsidR="00ED6CB0" w:rsidRPr="002013B9">
        <w:rPr>
          <w:rFonts w:ascii="Times New Roman" w:hAnsi="Times New Roman" w:cs="Times New Roman"/>
          <w:color w:val="000000" w:themeColor="text1"/>
          <w:sz w:val="24"/>
          <w:szCs w:val="24"/>
          <w:lang w:val="en-GB"/>
        </w:rPr>
        <w:fldChar w:fldCharType="end"/>
      </w:r>
      <w:r w:rsidRPr="002013B9">
        <w:rPr>
          <w:rFonts w:ascii="Times New Roman" w:hAnsi="Times New Roman" w:cs="Times New Roman"/>
          <w:color w:val="000000" w:themeColor="text1"/>
          <w:sz w:val="24"/>
          <w:szCs w:val="24"/>
          <w:lang w:val="en-GB"/>
        </w:rPr>
        <w:t>. Ho</w:t>
      </w:r>
      <w:r w:rsidR="00194A33" w:rsidRPr="002013B9">
        <w:rPr>
          <w:rFonts w:ascii="Times New Roman" w:hAnsi="Times New Roman" w:cs="Times New Roman"/>
          <w:color w:val="000000" w:themeColor="text1"/>
          <w:sz w:val="24"/>
          <w:szCs w:val="24"/>
          <w:lang w:val="en-GB"/>
        </w:rPr>
        <w:t>wever, in many patients with chronic pain</w:t>
      </w:r>
      <w:r w:rsidR="00081435" w:rsidRPr="002013B9">
        <w:rPr>
          <w:rFonts w:ascii="Times New Roman" w:hAnsi="Times New Roman" w:cs="Times New Roman"/>
          <w:color w:val="000000" w:themeColor="text1"/>
          <w:sz w:val="24"/>
          <w:szCs w:val="24"/>
          <w:lang w:val="en-GB"/>
        </w:rPr>
        <w:t>,</w:t>
      </w:r>
      <w:r w:rsidR="00194A33" w:rsidRPr="002013B9">
        <w:rPr>
          <w:rFonts w:ascii="Times New Roman" w:hAnsi="Times New Roman" w:cs="Times New Roman"/>
          <w:color w:val="000000" w:themeColor="text1"/>
          <w:sz w:val="24"/>
          <w:szCs w:val="24"/>
          <w:lang w:val="en-GB"/>
        </w:rPr>
        <w:t xml:space="preserve"> </w:t>
      </w:r>
      <w:r w:rsidRPr="002013B9">
        <w:rPr>
          <w:rFonts w:ascii="Times New Roman" w:hAnsi="Times New Roman" w:cs="Times New Roman"/>
          <w:color w:val="000000" w:themeColor="text1"/>
          <w:sz w:val="24"/>
          <w:szCs w:val="24"/>
          <w:lang w:val="en-GB"/>
        </w:rPr>
        <w:t xml:space="preserve">the pain system has </w:t>
      </w:r>
      <w:r w:rsidR="00E80FD0" w:rsidRPr="002013B9">
        <w:rPr>
          <w:rFonts w:ascii="Times New Roman" w:hAnsi="Times New Roman" w:cs="Times New Roman"/>
          <w:color w:val="000000" w:themeColor="text1"/>
          <w:sz w:val="24"/>
          <w:szCs w:val="24"/>
          <w:lang w:val="en-GB"/>
        </w:rPr>
        <w:t xml:space="preserve">become dysfunctional and </w:t>
      </w:r>
      <w:r w:rsidRPr="002013B9">
        <w:rPr>
          <w:rFonts w:ascii="Times New Roman" w:hAnsi="Times New Roman" w:cs="Times New Roman"/>
          <w:color w:val="000000" w:themeColor="text1"/>
          <w:sz w:val="24"/>
          <w:szCs w:val="24"/>
          <w:lang w:val="en-GB"/>
        </w:rPr>
        <w:t xml:space="preserve">undergone </w:t>
      </w:r>
      <w:r w:rsidR="009C4793" w:rsidRPr="002013B9">
        <w:rPr>
          <w:rFonts w:ascii="Times New Roman" w:hAnsi="Times New Roman" w:cs="Times New Roman"/>
          <w:color w:val="000000" w:themeColor="text1"/>
          <w:sz w:val="24"/>
          <w:szCs w:val="24"/>
          <w:lang w:val="en-GB"/>
        </w:rPr>
        <w:t xml:space="preserve">widespread </w:t>
      </w:r>
      <w:r w:rsidR="001B6D70" w:rsidRPr="002013B9">
        <w:rPr>
          <w:rFonts w:ascii="Times New Roman" w:hAnsi="Times New Roman" w:cs="Times New Roman"/>
          <w:color w:val="000000" w:themeColor="text1"/>
          <w:sz w:val="24"/>
          <w:szCs w:val="24"/>
          <w:lang w:val="en-GB"/>
        </w:rPr>
        <w:t>sensitization</w:t>
      </w:r>
      <w:r w:rsidR="00D95845" w:rsidRPr="002013B9">
        <w:rPr>
          <w:rFonts w:ascii="Times New Roman" w:hAnsi="Times New Roman" w:cs="Times New Roman"/>
          <w:color w:val="000000" w:themeColor="text1"/>
          <w:sz w:val="24"/>
          <w:szCs w:val="24"/>
          <w:lang w:val="en-GB"/>
        </w:rPr>
        <w:t>, which is</w:t>
      </w:r>
      <w:r w:rsidR="0062254C" w:rsidRPr="002013B9">
        <w:rPr>
          <w:rFonts w:ascii="Times New Roman" w:hAnsi="Times New Roman" w:cs="Times New Roman"/>
          <w:color w:val="000000" w:themeColor="text1"/>
          <w:sz w:val="24"/>
          <w:szCs w:val="24"/>
          <w:lang w:val="en-GB"/>
        </w:rPr>
        <w:t xml:space="preserve"> </w:t>
      </w:r>
      <w:r w:rsidR="00236696" w:rsidRPr="002013B9">
        <w:rPr>
          <w:rFonts w:ascii="Times New Roman" w:hAnsi="Times New Roman" w:cs="Times New Roman"/>
          <w:color w:val="000000" w:themeColor="text1"/>
          <w:sz w:val="24"/>
          <w:szCs w:val="24"/>
          <w:lang w:val="en-GB"/>
        </w:rPr>
        <w:t>evident as</w:t>
      </w:r>
      <w:r w:rsidR="0062254C" w:rsidRPr="002013B9">
        <w:rPr>
          <w:rFonts w:ascii="Times New Roman" w:hAnsi="Times New Roman" w:cs="Times New Roman"/>
          <w:color w:val="000000" w:themeColor="text1"/>
          <w:sz w:val="24"/>
          <w:szCs w:val="24"/>
          <w:lang w:val="en-GB"/>
        </w:rPr>
        <w:t xml:space="preserve"> abnormal responses</w:t>
      </w:r>
      <w:r w:rsidR="00236696" w:rsidRPr="002013B9">
        <w:rPr>
          <w:rFonts w:ascii="Times New Roman" w:hAnsi="Times New Roman" w:cs="Times New Roman"/>
          <w:color w:val="000000" w:themeColor="text1"/>
          <w:sz w:val="24"/>
          <w:szCs w:val="24"/>
          <w:lang w:val="en-GB"/>
        </w:rPr>
        <w:t xml:space="preserve"> (hyperalgesia)</w:t>
      </w:r>
      <w:r w:rsidR="0062254C" w:rsidRPr="002013B9">
        <w:rPr>
          <w:rFonts w:ascii="Times New Roman" w:hAnsi="Times New Roman" w:cs="Times New Roman"/>
          <w:color w:val="000000" w:themeColor="text1"/>
          <w:sz w:val="24"/>
          <w:szCs w:val="24"/>
          <w:lang w:val="en-GB"/>
        </w:rPr>
        <w:t xml:space="preserve"> to </w:t>
      </w:r>
      <w:r w:rsidR="00ED014D" w:rsidRPr="002013B9">
        <w:rPr>
          <w:rFonts w:ascii="Times New Roman" w:hAnsi="Times New Roman" w:cs="Times New Roman"/>
          <w:color w:val="000000" w:themeColor="text1"/>
          <w:sz w:val="24"/>
          <w:szCs w:val="24"/>
          <w:lang w:val="en-GB"/>
        </w:rPr>
        <w:t>stimuli</w:t>
      </w:r>
      <w:r w:rsidR="00236696" w:rsidRPr="002013B9">
        <w:rPr>
          <w:rFonts w:ascii="Times New Roman" w:hAnsi="Times New Roman" w:cs="Times New Roman"/>
          <w:color w:val="000000" w:themeColor="text1"/>
          <w:sz w:val="24"/>
          <w:szCs w:val="24"/>
          <w:lang w:val="en-GB"/>
        </w:rPr>
        <w:t xml:space="preserve"> applied in areas</w:t>
      </w:r>
      <w:r w:rsidR="0062254C" w:rsidRPr="002013B9">
        <w:rPr>
          <w:rFonts w:ascii="Times New Roman" w:hAnsi="Times New Roman" w:cs="Times New Roman"/>
          <w:color w:val="000000" w:themeColor="text1"/>
          <w:sz w:val="24"/>
          <w:szCs w:val="24"/>
          <w:lang w:val="en-GB"/>
        </w:rPr>
        <w:t xml:space="preserve"> remote to the </w:t>
      </w:r>
      <w:r w:rsidR="00ED014D" w:rsidRPr="002013B9">
        <w:rPr>
          <w:rFonts w:ascii="Times New Roman" w:hAnsi="Times New Roman" w:cs="Times New Roman"/>
          <w:color w:val="000000" w:themeColor="text1"/>
          <w:sz w:val="24"/>
          <w:szCs w:val="24"/>
          <w:lang w:val="en-GB"/>
        </w:rPr>
        <w:t>pancreas</w:t>
      </w:r>
      <w:r w:rsidR="00D904D3" w:rsidRPr="002013B9">
        <w:rPr>
          <w:rFonts w:ascii="Times New Roman" w:hAnsi="Times New Roman" w:cs="Times New Roman"/>
          <w:color w:val="000000" w:themeColor="text1"/>
          <w:sz w:val="24"/>
          <w:szCs w:val="24"/>
          <w:lang w:val="en-GB"/>
        </w:rPr>
        <w:t xml:space="preserve"> </w:t>
      </w:r>
      <w:r w:rsidR="00D904D3" w:rsidRPr="002013B9">
        <w:rPr>
          <w:rFonts w:ascii="Times New Roman" w:hAnsi="Times New Roman" w:cs="Times New Roman"/>
          <w:color w:val="000000" w:themeColor="text1"/>
          <w:sz w:val="24"/>
          <w:szCs w:val="24"/>
          <w:lang w:val="en-GB"/>
        </w:rPr>
        <w:fldChar w:fldCharType="begin" w:fldLock="1"/>
      </w:r>
      <w:r w:rsidR="000E5F7B" w:rsidRPr="002013B9">
        <w:rPr>
          <w:rFonts w:ascii="Times New Roman" w:hAnsi="Times New Roman" w:cs="Times New Roman"/>
          <w:color w:val="000000" w:themeColor="text1"/>
          <w:sz w:val="24"/>
          <w:szCs w:val="24"/>
          <w:lang w:val="en-GB"/>
        </w:rPr>
        <w:instrText>ADDIN CSL_CITATION {"citationItems":[{"id":"ITEM-1","itemData":{"DOI":"10.1016/j.cgh.2010.03.005","ISSN":"1542-7714","PMID":"20304100","abstract":"Pain is a prominent symptom in chronic pancreatitis (CP), but the underlying mechanisms are incompletely understood. We investigated the role of descending pain modulation from supraspinal structures as well as central nervous system sensitization in patients with pain from CP.","author":[{"dropping-particle":"","family":"Olesen","given":"Søren Schou","non-dropping-particle":"","parse-names":false,"suffix":""},{"dropping-particle":"","family":"Brock","given":"Christina","non-dropping-particle":"","parse-names":false,"suffix":""},{"dropping-particle":"","family":"Krarup","given":"Anne Lund","non-dropping-particle":"","parse-names":false,"suffix":""},{"dropping-particle":"","family":"Funch-Jensen","given":"Peter","non-dropping-particle":"","parse-names":false,"suffix":""},{"dropping-particle":"","family":"Arendt-Nielsen","given":"Lars","non-dropping-particle":"","parse-names":false,"suffix":""},{"dropping-particle":"","family":"Wilder-Smith","given":"Oliver H","non-dropping-particle":"","parse-names":false,"suffix":""},{"dropping-particle":"","family":"Drewes","given":"Asbjørn Mohr","non-dropping-particle":"","parse-names":false,"suffix":""}],"container-title":"Clinical gastroenterology and hepatology : the official clinical practice journal of the American Gastroenterological Association","id":"ITEM-1","issue":"8","issued":{"date-parts":[["2010","8"]]},"page":"724-30","publisher":"Elsevier Inc.","title":"Descending inhibitory pain modulation is impaired in patients with chronic pancreatitis.","type":"article-journal","volume":"8"},"uris":["http://www.mendeley.com/documents/?uuid=7d97078b-48bb-4a40-a8f0-742dad9cc5df"]}],"mendeley":{"formattedCitation":"[26]","plainTextFormattedCitation":"[26]","previouslyFormattedCitation":"[26]"},"properties":{"noteIndex":0},"schema":"https://github.com/citation-style-language/schema/raw/master/csl-citation.json"}</w:instrText>
      </w:r>
      <w:r w:rsidR="00D904D3" w:rsidRPr="002013B9">
        <w:rPr>
          <w:rFonts w:ascii="Times New Roman" w:hAnsi="Times New Roman" w:cs="Times New Roman"/>
          <w:color w:val="000000" w:themeColor="text1"/>
          <w:sz w:val="24"/>
          <w:szCs w:val="24"/>
          <w:lang w:val="en-GB"/>
        </w:rPr>
        <w:fldChar w:fldCharType="separate"/>
      </w:r>
      <w:r w:rsidR="00D904D3" w:rsidRPr="002013B9">
        <w:rPr>
          <w:rFonts w:ascii="Times New Roman" w:hAnsi="Times New Roman" w:cs="Times New Roman"/>
          <w:noProof/>
          <w:color w:val="000000" w:themeColor="text1"/>
          <w:sz w:val="24"/>
          <w:szCs w:val="24"/>
          <w:lang w:val="en-GB"/>
        </w:rPr>
        <w:t>[26]</w:t>
      </w:r>
      <w:r w:rsidR="00D904D3" w:rsidRPr="002013B9">
        <w:rPr>
          <w:rFonts w:ascii="Times New Roman" w:hAnsi="Times New Roman" w:cs="Times New Roman"/>
          <w:color w:val="000000" w:themeColor="text1"/>
          <w:sz w:val="24"/>
          <w:szCs w:val="24"/>
          <w:lang w:val="en-GB"/>
        </w:rPr>
        <w:fldChar w:fldCharType="end"/>
      </w:r>
      <w:r w:rsidR="00E80FD0" w:rsidRPr="002013B9">
        <w:rPr>
          <w:rFonts w:ascii="Times New Roman" w:hAnsi="Times New Roman" w:cs="Times New Roman"/>
          <w:color w:val="000000" w:themeColor="text1"/>
          <w:sz w:val="24"/>
          <w:szCs w:val="24"/>
          <w:lang w:val="en-GB"/>
        </w:rPr>
        <w:t xml:space="preserve">. </w:t>
      </w:r>
      <w:r w:rsidR="0035252D" w:rsidRPr="002013B9">
        <w:rPr>
          <w:rFonts w:ascii="Times New Roman" w:hAnsi="Times New Roman" w:cs="Times New Roman"/>
          <w:color w:val="000000" w:themeColor="text1"/>
          <w:sz w:val="24"/>
          <w:szCs w:val="24"/>
          <w:lang w:val="en-GB"/>
        </w:rPr>
        <w:t xml:space="preserve">Taken together, </w:t>
      </w:r>
      <w:r w:rsidR="007D4E4B" w:rsidRPr="002013B9">
        <w:rPr>
          <w:rFonts w:ascii="Times New Roman" w:hAnsi="Times New Roman" w:cs="Times New Roman"/>
          <w:color w:val="000000" w:themeColor="text1"/>
          <w:sz w:val="24"/>
          <w:szCs w:val="24"/>
          <w:lang w:val="en-GB"/>
        </w:rPr>
        <w:t>QST profiling based on</w:t>
      </w:r>
      <w:r w:rsidR="00E80FD0" w:rsidRPr="002013B9">
        <w:rPr>
          <w:rFonts w:ascii="Times New Roman" w:hAnsi="Times New Roman" w:cs="Times New Roman"/>
          <w:color w:val="000000" w:themeColor="text1"/>
          <w:sz w:val="24"/>
          <w:szCs w:val="24"/>
          <w:lang w:val="en-GB"/>
        </w:rPr>
        <w:t xml:space="preserve"> testing in several dermatomes t</w:t>
      </w:r>
      <w:r w:rsidRPr="002013B9">
        <w:rPr>
          <w:rFonts w:ascii="Times New Roman" w:hAnsi="Times New Roman" w:cs="Times New Roman"/>
          <w:color w:val="000000" w:themeColor="text1"/>
          <w:sz w:val="24"/>
          <w:szCs w:val="24"/>
          <w:lang w:val="en-GB"/>
        </w:rPr>
        <w:t>ogether with specific test paradigms (temporal summation and assessment of descending inhibition)</w:t>
      </w:r>
      <w:r w:rsidR="00E80FD0" w:rsidRPr="002013B9">
        <w:rPr>
          <w:rFonts w:ascii="Times New Roman" w:hAnsi="Times New Roman" w:cs="Times New Roman"/>
          <w:color w:val="000000" w:themeColor="text1"/>
          <w:sz w:val="24"/>
          <w:szCs w:val="24"/>
          <w:lang w:val="en-GB"/>
        </w:rPr>
        <w:t xml:space="preserve"> can be used to </w:t>
      </w:r>
      <w:r w:rsidR="002B7FCC" w:rsidRPr="002013B9">
        <w:rPr>
          <w:rFonts w:ascii="Times New Roman" w:hAnsi="Times New Roman" w:cs="Times New Roman"/>
          <w:color w:val="000000" w:themeColor="text1"/>
          <w:sz w:val="24"/>
          <w:szCs w:val="24"/>
          <w:lang w:val="en-GB"/>
        </w:rPr>
        <w:t>determine</w:t>
      </w:r>
      <w:r w:rsidR="00E80FD0" w:rsidRPr="002013B9">
        <w:rPr>
          <w:rFonts w:ascii="Times New Roman" w:hAnsi="Times New Roman" w:cs="Times New Roman"/>
          <w:color w:val="000000" w:themeColor="text1"/>
          <w:sz w:val="24"/>
          <w:szCs w:val="24"/>
          <w:lang w:val="en-GB"/>
        </w:rPr>
        <w:t xml:space="preserve"> </w:t>
      </w:r>
      <w:r w:rsidRPr="002013B9">
        <w:rPr>
          <w:rFonts w:ascii="Times New Roman" w:hAnsi="Times New Roman" w:cs="Times New Roman"/>
          <w:color w:val="000000" w:themeColor="text1"/>
          <w:sz w:val="24"/>
          <w:szCs w:val="24"/>
          <w:lang w:val="en-GB"/>
        </w:rPr>
        <w:t xml:space="preserve">whether patients have </w:t>
      </w:r>
      <w:r w:rsidR="00E963BB" w:rsidRPr="002013B9">
        <w:rPr>
          <w:rFonts w:ascii="Times New Roman" w:hAnsi="Times New Roman" w:cs="Times New Roman"/>
          <w:color w:val="000000" w:themeColor="text1"/>
          <w:sz w:val="24"/>
          <w:szCs w:val="24"/>
          <w:lang w:val="en-GB"/>
        </w:rPr>
        <w:t xml:space="preserve">abnormal </w:t>
      </w:r>
      <w:r w:rsidRPr="002013B9">
        <w:rPr>
          <w:rFonts w:ascii="Times New Roman" w:hAnsi="Times New Roman" w:cs="Times New Roman"/>
          <w:color w:val="000000" w:themeColor="text1"/>
          <w:sz w:val="24"/>
          <w:szCs w:val="24"/>
          <w:lang w:val="en-GB"/>
        </w:rPr>
        <w:t>central pain processing</w:t>
      </w:r>
      <w:r w:rsidR="009F0603" w:rsidRPr="002013B9">
        <w:rPr>
          <w:rFonts w:ascii="Times New Roman" w:hAnsi="Times New Roman" w:cs="Times New Roman"/>
          <w:color w:val="000000" w:themeColor="text1"/>
          <w:sz w:val="24"/>
          <w:szCs w:val="24"/>
          <w:lang w:val="en-GB"/>
        </w:rPr>
        <w:t xml:space="preserve"> or evidence of segmental</w:t>
      </w:r>
      <w:r w:rsidR="001D0AA6" w:rsidRPr="002013B9">
        <w:rPr>
          <w:rFonts w:ascii="Times New Roman" w:hAnsi="Times New Roman" w:cs="Times New Roman"/>
          <w:color w:val="000000" w:themeColor="text1"/>
          <w:sz w:val="24"/>
          <w:szCs w:val="24"/>
          <w:lang w:val="en-GB"/>
        </w:rPr>
        <w:t xml:space="preserve"> or </w:t>
      </w:r>
      <w:r w:rsidR="009F0603" w:rsidRPr="002013B9">
        <w:rPr>
          <w:rFonts w:ascii="Times New Roman" w:hAnsi="Times New Roman" w:cs="Times New Roman"/>
          <w:color w:val="000000" w:themeColor="text1"/>
          <w:sz w:val="24"/>
          <w:szCs w:val="24"/>
          <w:lang w:val="en-GB"/>
        </w:rPr>
        <w:t xml:space="preserve">widespread sensitization </w:t>
      </w:r>
      <w:r w:rsidR="00214AA5" w:rsidRPr="002013B9">
        <w:rPr>
          <w:rFonts w:ascii="Times New Roman" w:hAnsi="Times New Roman" w:cs="Times New Roman"/>
          <w:color w:val="000000" w:themeColor="text1"/>
          <w:sz w:val="24"/>
          <w:szCs w:val="24"/>
          <w:lang w:val="en-GB"/>
        </w:rPr>
        <w:fldChar w:fldCharType="begin" w:fldLock="1"/>
      </w:r>
      <w:r w:rsidR="009A3A25" w:rsidRPr="002013B9">
        <w:rPr>
          <w:rFonts w:ascii="Times New Roman" w:hAnsi="Times New Roman" w:cs="Times New Roman"/>
          <w:color w:val="000000" w:themeColor="text1"/>
          <w:sz w:val="24"/>
          <w:szCs w:val="24"/>
          <w:lang w:val="en-GB"/>
        </w:rPr>
        <w:instrText>ADDIN CSL_CITATION {"citationItems":[{"id":"ITEM-1","itemData":{"DOI":"10.1371/journal.pone.0055460","ISBN":"1932-6203; 1932-6203","ISSN":"1932-6203 (Electronic)","PMID":"23405154","abstract":"BACKGROUND: The most dominant feature in chronic pancreatitis is intense abdominal pain. Changes in spinal and/or supraspinal central nervous system pain processing due to visceral nociceptive input play an important role in this pain. How altered pain processing is related to disease stage still needs study. METHODOLOGY/PRINCIPAL FINDINGS: Sixty chronic pancreatitis patients were compared to 15 healthy controls. Two subgroups of pancreatitis patients were defined based on the M-ANNHEIM severity index of chronic pancreatitis; i.e. moderate and severe. Pain detection and tolerance thresholds for pressure and electric stimuli were measured in six selected dermatomes (C5, T4, T10, L1, L4 and T10BACK). In addition, the conditioned pain modulation response to cold pressor task was determined. These measures were compared between the healthy controls and chronic pancreatitis patients. Severe pancreatitis patients showed lower pain thresholds than moderate pancreatitis patients or healthy volunteers. Healthy controls showed a significantly larger conditioned pain modulation response compared to all chronic pancreatitis patients taken together. CONCLUSIONS/SIGNIFICANCE: The present study confirms that chronic pancreatitis patients show signs of altered central processing of nociception compared to healthy controls. The study further suggests that these changes, i.e. central sensitization, may be influenced by disease stage. These findings underline the need to take altered central pain processing into account when managing the pain of chronic pancreatitis.","author":[{"dropping-particle":"","family":"Bouwense","given":"Stefan A W","non-dropping-particle":"","parse-names":false,"suffix":""},{"dropping-particle":"","family":"Olesen","given":"Soren S","non-dropping-particle":"","parse-names":false,"suffix":""},{"dropping-particle":"","family":"Drewes","given":"Asbjorn M","non-dropping-particle":"","parse-names":false,"suffix":""},{"dropping-particle":"","family":"Frokjaer","given":"Jens B","non-dropping-particle":"","parse-names":false,"suffix":""},{"dropping-particle":"","family":"Goor","given":"Harry","non-dropping-particle":"van","parse-names":false,"suffix":""},{"dropping-particle":"","family":"Wilder-Smith","given":"Oliver H G","non-dropping-particle":"","parse-names":false,"suffix":""}],"container-title":"PloS one","id":"ITEM-1","issue":"2","issued":{"date-parts":[["2013"]]},"language":"eng","note":"From Duplicate 2 (Is altered central pain processing related to disease stage in chronic pancreatitis patients with pain? An exploratory study - Bouwense, S A; Olesen, S S; Drewes, A M; Frokjaer, J B; van Goor, H; Wilder-Smith, O H)\n\nJID: 101285081; OID: NLM: PMC3566206; 2012/07/07 [received]; 2012/12/24 [accepted]; 2013/02/06 [epublish]; ppublish","page":"e55460","publisher-place":"United States","title":"Is altered central pain processing related to disease stage in chronic pancreatitis patients with pain? An exploratory study","type":"article-journal","volume":"8"},"uris":["http://www.mendeley.com/documents/?uuid=3aa56f7c-b01f-4669-a3c4-d7cff0c33a34"]},{"id":"ITEM-2","itemData":{"DOI":"10.1097/AAP.0b013e31822e0d4a","ISSN":"1532-8651","PMID":"22005656","abstract":"BACKGROUND AND OBJECTIVES: Central sensitization due to visceral pancreatic nociceptive input may be important in chronic pancreatitis pain. We investigated whether bilateral thoracoscopic splanchnicectomy (BTS) to reduce nociceptive input in chronic pancreatitis patients (CPP) with poor pain control affects supraspinal and spinal sensitization.\n\nMETHODS: Seventeen CPP were studied preoperatively and 6 weeks after BTS. Pressure pain thresholds (PPT) were measured in clavicle and pancreatic dermatomes reflecting supraspinal and spinal central sensitization, respectively. Patients with increased PPT after BTS (hypoalgesic) were compared to those without (hyperalgesic) and PPT vs. pain numeric rating scale (NRS) changes compared.\n\nRESULTS: After BTS, ten patients showed C5 PPT increases (hypoalgesic; median change 87 kPa), 7 patients had unaltered/lower PPT (hyperalgesic; -135 kPa). Preoperative pain NRS was similar between groups (4 vs. 5, P = 0.2). After BTS hypoalgesic group NRS was lower (1 vs. 6; P = 0.008) and NRS change greater (-2 vs. 0; P = 0.005). Whole group NRS and C5 PPT change correlated significantly and negatively (r = 0.53; P &lt; 0.05), but not for pancreatic PPT.\n\nCONCLUSIONS: Reduced supraspinal-but not spinal-central sensitization after BTS was associated with significantly reduced pain scores in a majority of CPP. A subgroup showed no reductions in supraspinal central sensitization after BTS, coupled to no significant pain NRS reduction. Our results suggest that a subgroup of CPP has altered pain processing that may be independent of ongoing peripheral nociceptive input, resulting in persisting pain despite BTS. If confirmed, these results indicate the importance of sensory testing for indications and management of pain treatments.","author":[{"dropping-particle":"","family":"Bouwense","given":"Stefan a W","non-dropping-particle":"","parse-names":false,"suffix":""},{"dropping-particle":"","family":"Buscher","given":"Hessel C J L","non-dropping-particle":"","parse-names":false,"suffix":""},{"dropping-particle":"","family":"Goor","given":"Harry","non-dropping-particle":"van","parse-names":false,"suffix":""},{"dropping-particle":"","family":"Wilder-Smith","given":"Oliver H G","non-dropping-particle":"","parse-names":false,"suffix":""}],"container-title":"Regional anesthesia and pain medicine","id":"ITEM-2","issue":"6","issued":{"date-parts":[["2011"]]},"page":"531-6","title":"Has central sensitization become independent of nociceptive input in chronic pancreatitis patients who fail thoracoscopic splanchnicectomy?","type":"article-journal","volume":"36"},"uris":["http://www.mendeley.com/documents/?uuid=aad362fc-6b3d-49e1-b995-f33fe22a9388"]},{"id":"ITEM-3","itemData":{"DOI":"10.1080/17512433.2019.1571409","ISSN":"1751-2441","PMID":"30664364","abstract":"INTRODUCTION Pain is the most common symptom in chronic pancreatitis and treatment remains a challenge. Management of visceral pain, in general, is only sparsely documented, and treatment in the clinic is typically based on empirical knowledge from somatic pain conditions. This may be problematic, as many aspects of the neurobiology differ significantly from somatic pain, and organs such as the gut and liver play a major role in tolerability to analgesics. On the other hand, clinical awareness and new methods for quantitative assessment of pain mechanisms, will likely increase our understanding of the visceral pain system and guide more individualized pain management. Areas covered: This review includes an overview of known pain mechanisms in chronic pancreatitis and how to characterize them using quantitative sensory testing. The aim is to provide a mechanism-oriented approach to analgesic treatment, including treatment of psychological factors affecting pain perception and consideration of side effects in the management plan. Expert opinion: A mechanism-based examination and profiling of pain in chronic pancreatitis will enable investigators to provide a well-substantiated approach to effective management. This mechanism-based, individualized regime will pave the road to better pain relief and spare the patient from unnecessary trial-and-error approaches and unwanted side effects.","author":[{"dropping-particle":"","family":"Kuhlmann","given":"Louise","non-dropping-particle":"","parse-names":false,"suffix":""},{"dropping-particle":"","family":"Olesen","given":"Søren S","non-dropping-particle":"","parse-names":false,"suffix":""},{"dropping-particle":"","family":"Olesen","given":"Anne E","non-dropping-particle":"","parse-names":false,"suffix":""},{"dropping-particle":"","family":"Arendt-Nielsen","given":"Lars","non-dropping-particle":"","parse-names":false,"suffix":""},{"dropping-particle":"","family":"Drewes","given":"Asbjørn M","non-dropping-particle":"","parse-names":false,"suffix":""}],"container-title":"Expert review of clinical pharmacology","id":"ITEM-3","issue":"3","issued":{"date-parts":[["2019","3"]]},"page":"249-258","title":"Mechanism-based pain management in chronic pancreatitis - is it time for a paradigm shift?","type":"article-journal","volume":"12"},"uris":["http://www.mendeley.com/documents/?uuid=bebb678c-3740-45af-a870-5c4d13c57ff7"]}],"mendeley":{"formattedCitation":"[27–29]","plainTextFormattedCitation":"[27–29]","previouslyFormattedCitation":"[27–29]"},"properties":{"noteIndex":0},"schema":"https://github.com/citation-style-language/schema/raw/master/csl-citation.json"}</w:instrText>
      </w:r>
      <w:r w:rsidR="00214AA5" w:rsidRPr="002013B9">
        <w:rPr>
          <w:rFonts w:ascii="Times New Roman" w:hAnsi="Times New Roman" w:cs="Times New Roman"/>
          <w:color w:val="000000" w:themeColor="text1"/>
          <w:sz w:val="24"/>
          <w:szCs w:val="24"/>
          <w:lang w:val="en-GB"/>
        </w:rPr>
        <w:fldChar w:fldCharType="separate"/>
      </w:r>
      <w:r w:rsidR="00CA1FAE" w:rsidRPr="002013B9">
        <w:rPr>
          <w:rFonts w:ascii="Times New Roman" w:hAnsi="Times New Roman" w:cs="Times New Roman"/>
          <w:noProof/>
          <w:color w:val="000000" w:themeColor="text1"/>
          <w:sz w:val="24"/>
          <w:szCs w:val="24"/>
          <w:lang w:val="en-GB"/>
        </w:rPr>
        <w:t>[27–29]</w:t>
      </w:r>
      <w:r w:rsidR="00214AA5" w:rsidRPr="002013B9">
        <w:rPr>
          <w:rFonts w:ascii="Times New Roman" w:hAnsi="Times New Roman" w:cs="Times New Roman"/>
          <w:color w:val="000000" w:themeColor="text1"/>
          <w:sz w:val="24"/>
          <w:szCs w:val="24"/>
          <w:lang w:val="en-GB"/>
        </w:rPr>
        <w:fldChar w:fldCharType="end"/>
      </w:r>
      <w:r w:rsidRPr="002013B9">
        <w:rPr>
          <w:rFonts w:ascii="Times New Roman" w:hAnsi="Times New Roman" w:cs="Times New Roman"/>
          <w:color w:val="000000" w:themeColor="text1"/>
          <w:sz w:val="24"/>
          <w:szCs w:val="24"/>
          <w:lang w:val="en-GB"/>
        </w:rPr>
        <w:t xml:space="preserve">. </w:t>
      </w:r>
    </w:p>
    <w:p w14:paraId="5FFCC38A" w14:textId="516D8266" w:rsidR="00F27038" w:rsidRPr="002013B9" w:rsidRDefault="006F1976" w:rsidP="00164C1D">
      <w:pPr>
        <w:pStyle w:val="Heading2"/>
        <w:spacing w:before="0" w:line="480" w:lineRule="auto"/>
        <w:contextualSpacing/>
        <w:rPr>
          <w:rFonts w:cs="Times New Roman"/>
          <w:color w:val="000000" w:themeColor="text1"/>
          <w:sz w:val="24"/>
          <w:szCs w:val="24"/>
          <w:lang w:val="en-GB"/>
        </w:rPr>
      </w:pPr>
      <w:r w:rsidRPr="002013B9">
        <w:rPr>
          <w:rFonts w:cs="Times New Roman"/>
          <w:color w:val="000000" w:themeColor="text1"/>
          <w:sz w:val="24"/>
          <w:szCs w:val="24"/>
          <w:lang w:val="en-GB"/>
        </w:rPr>
        <w:lastRenderedPageBreak/>
        <w:t>Methods</w:t>
      </w:r>
    </w:p>
    <w:p w14:paraId="5D32C2A3" w14:textId="05467461" w:rsidR="00F27038" w:rsidRPr="002013B9" w:rsidRDefault="00F27038" w:rsidP="00A571E1">
      <w:pPr>
        <w:pStyle w:val="Heading2"/>
        <w:spacing w:line="480" w:lineRule="auto"/>
        <w:contextualSpacing/>
        <w:rPr>
          <w:rFonts w:eastAsia="Times New Roman" w:cs="Times New Roman"/>
          <w:color w:val="000000" w:themeColor="text1"/>
          <w:sz w:val="24"/>
          <w:szCs w:val="24"/>
          <w:lang w:val="en-GB" w:eastAsia="da-DK"/>
        </w:rPr>
      </w:pPr>
      <w:r w:rsidRPr="002013B9">
        <w:rPr>
          <w:rFonts w:eastAsia="Times New Roman" w:cs="Times New Roman"/>
          <w:b w:val="0"/>
          <w:bCs w:val="0"/>
          <w:color w:val="111111"/>
          <w:sz w:val="24"/>
          <w:szCs w:val="24"/>
          <w:lang w:val="en-GB" w:eastAsia="da-DK"/>
        </w:rPr>
        <w:t xml:space="preserve">The study protocol is </w:t>
      </w:r>
      <w:r w:rsidR="00D733DE" w:rsidRPr="002013B9">
        <w:rPr>
          <w:rFonts w:eastAsia="Times New Roman" w:cs="Times New Roman"/>
          <w:b w:val="0"/>
          <w:bCs w:val="0"/>
          <w:color w:val="111111"/>
          <w:sz w:val="24"/>
          <w:szCs w:val="24"/>
          <w:lang w:val="en-GB" w:eastAsia="da-DK"/>
        </w:rPr>
        <w:t>reported</w:t>
      </w:r>
      <w:r w:rsidRPr="002013B9">
        <w:rPr>
          <w:rFonts w:eastAsia="Times New Roman" w:cs="Times New Roman"/>
          <w:b w:val="0"/>
          <w:bCs w:val="0"/>
          <w:color w:val="111111"/>
          <w:sz w:val="24"/>
          <w:szCs w:val="24"/>
          <w:lang w:val="en-GB" w:eastAsia="da-DK"/>
        </w:rPr>
        <w:t xml:space="preserve"> in accordance with the Standard protocol items: recommendation for interventional trials (SPIRIT) guidelines (</w:t>
      </w:r>
      <w:r w:rsidRPr="002013B9">
        <w:rPr>
          <w:rFonts w:eastAsia="Times New Roman" w:cs="Times New Roman"/>
          <w:b w:val="0"/>
          <w:bCs w:val="0"/>
          <w:color w:val="000000" w:themeColor="text1"/>
          <w:sz w:val="24"/>
          <w:szCs w:val="24"/>
          <w:lang w:val="en-GB" w:eastAsia="da-DK"/>
        </w:rPr>
        <w:t xml:space="preserve">Supplementary Table 1: SPIRIT checklist). </w:t>
      </w:r>
    </w:p>
    <w:p w14:paraId="344A8821" w14:textId="77777777" w:rsidR="00D904D3" w:rsidRPr="002013B9" w:rsidRDefault="00D904D3" w:rsidP="00164C1D">
      <w:pPr>
        <w:pStyle w:val="Default"/>
        <w:spacing w:line="480" w:lineRule="auto"/>
        <w:contextualSpacing/>
        <w:rPr>
          <w:b/>
          <w:bCs/>
          <w:color w:val="000000" w:themeColor="text1"/>
          <w:lang w:val="en-GB"/>
        </w:rPr>
      </w:pPr>
    </w:p>
    <w:p w14:paraId="20F8D8C9" w14:textId="79DD27BD" w:rsidR="00256034" w:rsidRPr="002013B9" w:rsidRDefault="00256034" w:rsidP="00164C1D">
      <w:pPr>
        <w:pStyle w:val="Default"/>
        <w:spacing w:line="480" w:lineRule="auto"/>
        <w:contextualSpacing/>
        <w:rPr>
          <w:b/>
          <w:bCs/>
          <w:color w:val="000000" w:themeColor="text1"/>
          <w:lang w:val="en-GB"/>
        </w:rPr>
      </w:pPr>
      <w:r w:rsidRPr="002013B9">
        <w:rPr>
          <w:b/>
          <w:bCs/>
          <w:color w:val="000000" w:themeColor="text1"/>
          <w:lang w:val="en-GB"/>
        </w:rPr>
        <w:t>Study hypothesis and aim</w:t>
      </w:r>
    </w:p>
    <w:p w14:paraId="5A23A2EE" w14:textId="664C1929" w:rsidR="00256034" w:rsidRPr="002013B9" w:rsidRDefault="00256034" w:rsidP="00164C1D">
      <w:pPr>
        <w:widowControl w:val="0"/>
        <w:autoSpaceDE w:val="0"/>
        <w:autoSpaceDN w:val="0"/>
        <w:adjustRightInd w:val="0"/>
        <w:spacing w:line="480" w:lineRule="auto"/>
        <w:contextualSpacing/>
        <w:jc w:val="both"/>
        <w:rPr>
          <w:rFonts w:ascii="Times New Roman" w:hAnsi="Times New Roman" w:cs="Times New Roman"/>
          <w:color w:val="000000" w:themeColor="text1"/>
          <w:sz w:val="24"/>
          <w:szCs w:val="24"/>
          <w:lang w:val="en-GB"/>
        </w:rPr>
      </w:pPr>
      <w:r w:rsidRPr="002013B9">
        <w:rPr>
          <w:rFonts w:ascii="Times New Roman" w:hAnsi="Times New Roman" w:cs="Times New Roman"/>
          <w:color w:val="000000" w:themeColor="text1"/>
          <w:sz w:val="24"/>
          <w:szCs w:val="24"/>
          <w:lang w:val="en-GB"/>
        </w:rPr>
        <w:t xml:space="preserve">The hypothesis of the study is that </w:t>
      </w:r>
      <w:r w:rsidR="00C246B6" w:rsidRPr="002013B9">
        <w:rPr>
          <w:rFonts w:ascii="Times New Roman" w:hAnsi="Times New Roman" w:cs="Times New Roman"/>
          <w:color w:val="000000" w:themeColor="text1"/>
          <w:sz w:val="24"/>
          <w:szCs w:val="24"/>
          <w:lang w:val="en-GB"/>
        </w:rPr>
        <w:t>pancreatic duct decompression following</w:t>
      </w:r>
      <w:r w:rsidRPr="002013B9">
        <w:rPr>
          <w:rFonts w:ascii="Times New Roman" w:hAnsi="Times New Roman" w:cs="Times New Roman"/>
          <w:color w:val="000000" w:themeColor="text1"/>
          <w:sz w:val="24"/>
          <w:szCs w:val="24"/>
          <w:lang w:val="en-GB"/>
        </w:rPr>
        <w:t xml:space="preserve"> ESWL and endo</w:t>
      </w:r>
      <w:r w:rsidR="004F31D0" w:rsidRPr="002013B9">
        <w:rPr>
          <w:rFonts w:ascii="Times New Roman" w:hAnsi="Times New Roman" w:cs="Times New Roman"/>
          <w:color w:val="000000" w:themeColor="text1"/>
          <w:sz w:val="24"/>
          <w:szCs w:val="24"/>
          <w:lang w:val="en-GB"/>
        </w:rPr>
        <w:t>scopic treatment</w:t>
      </w:r>
      <w:r w:rsidRPr="002013B9">
        <w:rPr>
          <w:rFonts w:ascii="Times New Roman" w:hAnsi="Times New Roman" w:cs="Times New Roman"/>
          <w:color w:val="000000" w:themeColor="text1"/>
          <w:sz w:val="24"/>
          <w:szCs w:val="24"/>
          <w:lang w:val="en-GB"/>
        </w:rPr>
        <w:t xml:space="preserve"> induce short term (3 months) and mid-term (6 months) pain relief in patients with CP compared to a sham procedure. In addition, we hypothesize that QST can be used to predict the outcome of </w:t>
      </w:r>
      <w:r w:rsidR="00584B2B" w:rsidRPr="002013B9">
        <w:rPr>
          <w:rFonts w:ascii="Times New Roman" w:hAnsi="Times New Roman" w:cs="Times New Roman"/>
          <w:color w:val="000000" w:themeColor="text1"/>
          <w:sz w:val="24"/>
          <w:szCs w:val="24"/>
          <w:lang w:val="en-GB"/>
        </w:rPr>
        <w:t>treatment</w:t>
      </w:r>
      <w:r w:rsidRPr="002013B9">
        <w:rPr>
          <w:rFonts w:ascii="Times New Roman" w:hAnsi="Times New Roman" w:cs="Times New Roman"/>
          <w:color w:val="000000" w:themeColor="text1"/>
          <w:sz w:val="24"/>
          <w:szCs w:val="24"/>
          <w:lang w:val="en-GB"/>
        </w:rPr>
        <w:t xml:space="preserve">. Hence, patients with evidence of </w:t>
      </w:r>
      <w:r w:rsidR="004F31D0" w:rsidRPr="002013B9">
        <w:rPr>
          <w:rFonts w:ascii="Times New Roman" w:hAnsi="Times New Roman" w:cs="Times New Roman"/>
          <w:color w:val="000000" w:themeColor="text1"/>
          <w:sz w:val="24"/>
          <w:szCs w:val="24"/>
          <w:lang w:val="en-GB"/>
        </w:rPr>
        <w:t>widespread sensitization of central pain pathways</w:t>
      </w:r>
      <w:r w:rsidRPr="002013B9">
        <w:rPr>
          <w:rFonts w:ascii="Times New Roman" w:hAnsi="Times New Roman" w:cs="Times New Roman"/>
          <w:color w:val="000000" w:themeColor="text1"/>
          <w:sz w:val="24"/>
          <w:szCs w:val="24"/>
          <w:lang w:val="en-GB"/>
        </w:rPr>
        <w:t xml:space="preserve"> are hypothesized to have a worse outcome to </w:t>
      </w:r>
      <w:r w:rsidR="00584B2B" w:rsidRPr="002013B9">
        <w:rPr>
          <w:rFonts w:ascii="Times New Roman" w:hAnsi="Times New Roman" w:cs="Times New Roman"/>
          <w:color w:val="000000" w:themeColor="text1"/>
          <w:sz w:val="24"/>
          <w:szCs w:val="24"/>
          <w:lang w:val="en-GB"/>
        </w:rPr>
        <w:t xml:space="preserve">ESWL and endoscopic </w:t>
      </w:r>
      <w:r w:rsidRPr="002013B9">
        <w:rPr>
          <w:rFonts w:ascii="Times New Roman" w:hAnsi="Times New Roman" w:cs="Times New Roman"/>
          <w:color w:val="000000" w:themeColor="text1"/>
          <w:sz w:val="24"/>
          <w:szCs w:val="24"/>
          <w:lang w:val="en-GB"/>
        </w:rPr>
        <w:t xml:space="preserve">treatment compared to patients with no evidence of </w:t>
      </w:r>
      <w:r w:rsidR="00993FD8" w:rsidRPr="002013B9">
        <w:rPr>
          <w:rFonts w:ascii="Times New Roman" w:hAnsi="Times New Roman" w:cs="Times New Roman"/>
          <w:color w:val="000000" w:themeColor="text1"/>
          <w:sz w:val="24"/>
          <w:szCs w:val="24"/>
          <w:lang w:val="en-GB"/>
        </w:rPr>
        <w:t xml:space="preserve">widespread </w:t>
      </w:r>
      <w:r w:rsidRPr="002013B9">
        <w:rPr>
          <w:rFonts w:ascii="Times New Roman" w:hAnsi="Times New Roman" w:cs="Times New Roman"/>
          <w:color w:val="000000" w:themeColor="text1"/>
          <w:sz w:val="24"/>
          <w:szCs w:val="24"/>
          <w:lang w:val="en-GB"/>
        </w:rPr>
        <w:t>sensitization.</w:t>
      </w:r>
    </w:p>
    <w:p w14:paraId="6A4B9AD1" w14:textId="77777777" w:rsidR="00164C1D" w:rsidRPr="002013B9" w:rsidRDefault="00164C1D" w:rsidP="00164C1D">
      <w:pPr>
        <w:pStyle w:val="Default"/>
        <w:spacing w:line="480" w:lineRule="auto"/>
        <w:contextualSpacing/>
        <w:jc w:val="both"/>
        <w:rPr>
          <w:b/>
          <w:bCs/>
          <w:color w:val="000000" w:themeColor="text1"/>
          <w:lang w:val="en-GB"/>
        </w:rPr>
      </w:pPr>
    </w:p>
    <w:p w14:paraId="4F3FB586" w14:textId="494EACE5" w:rsidR="00256034" w:rsidRPr="002013B9" w:rsidRDefault="00064F0D" w:rsidP="00164C1D">
      <w:pPr>
        <w:pStyle w:val="Default"/>
        <w:spacing w:line="480" w:lineRule="auto"/>
        <w:contextualSpacing/>
        <w:jc w:val="both"/>
        <w:rPr>
          <w:b/>
          <w:bCs/>
          <w:color w:val="000000" w:themeColor="text1"/>
          <w:lang w:val="en-GB"/>
        </w:rPr>
      </w:pPr>
      <w:r w:rsidRPr="002013B9">
        <w:rPr>
          <w:b/>
          <w:bCs/>
          <w:color w:val="000000" w:themeColor="text1"/>
          <w:lang w:val="en-GB"/>
        </w:rPr>
        <w:t>Study design and setting</w:t>
      </w:r>
    </w:p>
    <w:p w14:paraId="6671405E" w14:textId="28C7F05C" w:rsidR="00360FC2" w:rsidRPr="002013B9" w:rsidRDefault="00BB0E46" w:rsidP="00164C1D">
      <w:pPr>
        <w:pStyle w:val="Default"/>
        <w:spacing w:line="480" w:lineRule="auto"/>
        <w:contextualSpacing/>
        <w:jc w:val="both"/>
        <w:rPr>
          <w:bCs/>
          <w:color w:val="000000" w:themeColor="text1"/>
          <w:lang w:val="en-GB"/>
        </w:rPr>
      </w:pPr>
      <w:r w:rsidRPr="002013B9">
        <w:rPr>
          <w:color w:val="000000" w:themeColor="text1"/>
          <w:lang w:val="en-GB"/>
        </w:rPr>
        <w:t>R</w:t>
      </w:r>
      <w:r w:rsidR="0064232D" w:rsidRPr="002013B9">
        <w:rPr>
          <w:color w:val="000000" w:themeColor="text1"/>
          <w:lang w:val="en-GB"/>
        </w:rPr>
        <w:t xml:space="preserve">andomized, single-blinded, single-centre, parallel-group, sham-controlled, prospective trial </w:t>
      </w:r>
      <w:r w:rsidR="001A7238" w:rsidRPr="002013B9">
        <w:rPr>
          <w:color w:val="000000" w:themeColor="text1"/>
          <w:lang w:val="en-GB"/>
        </w:rPr>
        <w:t xml:space="preserve">designed </w:t>
      </w:r>
      <w:r w:rsidR="007335FA" w:rsidRPr="002013B9">
        <w:rPr>
          <w:color w:val="000000" w:themeColor="text1"/>
          <w:lang w:val="en-GB"/>
        </w:rPr>
        <w:t xml:space="preserve">to evaluate </w:t>
      </w:r>
      <w:r w:rsidR="0064232D" w:rsidRPr="002013B9">
        <w:rPr>
          <w:color w:val="000000" w:themeColor="text1"/>
          <w:lang w:val="en-GB"/>
        </w:rPr>
        <w:t>the effect of combined ESWL and endo</w:t>
      </w:r>
      <w:r w:rsidR="00E858AF" w:rsidRPr="002013B9">
        <w:rPr>
          <w:color w:val="000000" w:themeColor="text1"/>
          <w:lang w:val="en-GB"/>
        </w:rPr>
        <w:t>scopic treatment</w:t>
      </w:r>
      <w:r w:rsidR="0064232D" w:rsidRPr="002013B9">
        <w:rPr>
          <w:color w:val="000000" w:themeColor="text1"/>
          <w:lang w:val="en-GB"/>
        </w:rPr>
        <w:t xml:space="preserve"> for pain in </w:t>
      </w:r>
      <w:r w:rsidR="00360FC2" w:rsidRPr="002013B9">
        <w:rPr>
          <w:color w:val="000000" w:themeColor="text1"/>
          <w:lang w:val="en-GB"/>
        </w:rPr>
        <w:t>adult</w:t>
      </w:r>
      <w:r w:rsidR="00F16A7F" w:rsidRPr="002013B9">
        <w:rPr>
          <w:color w:val="000000" w:themeColor="text1"/>
          <w:lang w:val="en-GB"/>
        </w:rPr>
        <w:t xml:space="preserve"> patients with </w:t>
      </w:r>
      <w:r w:rsidR="0064232D" w:rsidRPr="002013B9">
        <w:rPr>
          <w:color w:val="000000" w:themeColor="text1"/>
          <w:lang w:val="en-GB"/>
        </w:rPr>
        <w:t>CP</w:t>
      </w:r>
      <w:r w:rsidR="00F16A7F" w:rsidRPr="002013B9">
        <w:rPr>
          <w:color w:val="000000" w:themeColor="text1"/>
          <w:lang w:val="en-GB"/>
        </w:rPr>
        <w:t xml:space="preserve">. </w:t>
      </w:r>
      <w:r w:rsidR="00360FC2" w:rsidRPr="002013B9">
        <w:rPr>
          <w:bCs/>
          <w:color w:val="000000" w:themeColor="text1"/>
          <w:lang w:val="en-GB"/>
        </w:rPr>
        <w:t xml:space="preserve">The study </w:t>
      </w:r>
      <w:r w:rsidR="007335FA" w:rsidRPr="002013B9">
        <w:rPr>
          <w:bCs/>
          <w:color w:val="000000" w:themeColor="text1"/>
          <w:lang w:val="en-GB"/>
        </w:rPr>
        <w:t xml:space="preserve">will be </w:t>
      </w:r>
      <w:r w:rsidR="00360FC2" w:rsidRPr="002013B9">
        <w:rPr>
          <w:bCs/>
          <w:color w:val="000000" w:themeColor="text1"/>
          <w:lang w:val="en-GB"/>
        </w:rPr>
        <w:t xml:space="preserve">conducted at the </w:t>
      </w:r>
      <w:r w:rsidR="007335FA" w:rsidRPr="002013B9">
        <w:rPr>
          <w:bCs/>
          <w:color w:val="000000" w:themeColor="text1"/>
          <w:lang w:val="en-GB"/>
        </w:rPr>
        <w:t xml:space="preserve">tertiary care </w:t>
      </w:r>
      <w:r w:rsidR="00360FC2" w:rsidRPr="002013B9">
        <w:rPr>
          <w:bCs/>
          <w:color w:val="000000" w:themeColor="text1"/>
          <w:lang w:val="en-GB"/>
        </w:rPr>
        <w:t>academic</w:t>
      </w:r>
      <w:r w:rsidRPr="002013B9">
        <w:rPr>
          <w:bCs/>
          <w:color w:val="000000" w:themeColor="text1"/>
          <w:lang w:val="en-GB"/>
        </w:rPr>
        <w:t xml:space="preserve"> </w:t>
      </w:r>
      <w:r w:rsidR="007335FA" w:rsidRPr="002013B9">
        <w:rPr>
          <w:bCs/>
          <w:color w:val="000000" w:themeColor="text1"/>
          <w:lang w:val="en-GB"/>
        </w:rPr>
        <w:t xml:space="preserve">institute </w:t>
      </w:r>
      <w:r w:rsidR="00360FC2" w:rsidRPr="002013B9">
        <w:rPr>
          <w:bCs/>
          <w:color w:val="000000" w:themeColor="text1"/>
          <w:lang w:val="en-GB"/>
        </w:rPr>
        <w:t xml:space="preserve">Asian Institute of Gastroenterology, </w:t>
      </w:r>
      <w:r w:rsidR="007335FA" w:rsidRPr="002013B9">
        <w:rPr>
          <w:bCs/>
          <w:color w:val="000000" w:themeColor="text1"/>
          <w:lang w:val="en-GB"/>
        </w:rPr>
        <w:t>Gachibowli</w:t>
      </w:r>
      <w:r w:rsidR="00360FC2" w:rsidRPr="002013B9">
        <w:rPr>
          <w:bCs/>
          <w:color w:val="000000" w:themeColor="text1"/>
          <w:lang w:val="en-GB"/>
        </w:rPr>
        <w:t xml:space="preserve">, Hyderabad, India. </w:t>
      </w:r>
    </w:p>
    <w:p w14:paraId="4AB60DA5" w14:textId="77777777" w:rsidR="00E61785" w:rsidRPr="002013B9" w:rsidRDefault="00E61785" w:rsidP="00164C1D">
      <w:pPr>
        <w:pStyle w:val="Default"/>
        <w:spacing w:line="480" w:lineRule="auto"/>
        <w:contextualSpacing/>
        <w:jc w:val="both"/>
        <w:rPr>
          <w:bCs/>
          <w:color w:val="000000" w:themeColor="text1"/>
          <w:lang w:val="en-GB"/>
        </w:rPr>
      </w:pPr>
    </w:p>
    <w:p w14:paraId="4E23C232" w14:textId="77777777" w:rsidR="005C6204" w:rsidRPr="002013B9" w:rsidRDefault="005C6204" w:rsidP="00164C1D">
      <w:pPr>
        <w:pStyle w:val="Heading2"/>
        <w:spacing w:before="0" w:line="480" w:lineRule="auto"/>
        <w:contextualSpacing/>
        <w:jc w:val="both"/>
        <w:rPr>
          <w:rFonts w:cs="Times New Roman"/>
          <w:color w:val="000000" w:themeColor="text1"/>
          <w:sz w:val="24"/>
          <w:szCs w:val="24"/>
          <w:lang w:val="en-GB"/>
        </w:rPr>
      </w:pPr>
      <w:r w:rsidRPr="002013B9">
        <w:rPr>
          <w:rFonts w:cs="Times New Roman"/>
          <w:color w:val="000000" w:themeColor="text1"/>
          <w:sz w:val="24"/>
          <w:szCs w:val="24"/>
          <w:lang w:val="en-GB"/>
        </w:rPr>
        <w:t xml:space="preserve">Inclusion Criteria </w:t>
      </w:r>
    </w:p>
    <w:p w14:paraId="4CDDD526" w14:textId="040D0654" w:rsidR="005C6204" w:rsidRPr="002013B9" w:rsidRDefault="00C33D2B" w:rsidP="00164C1D">
      <w:pPr>
        <w:pStyle w:val="Heading2"/>
        <w:numPr>
          <w:ilvl w:val="0"/>
          <w:numId w:val="24"/>
        </w:numPr>
        <w:spacing w:before="0" w:line="480" w:lineRule="auto"/>
        <w:contextualSpacing/>
        <w:jc w:val="both"/>
        <w:rPr>
          <w:rFonts w:cs="Times New Roman"/>
          <w:b w:val="0"/>
          <w:color w:val="000000" w:themeColor="text1"/>
          <w:sz w:val="24"/>
          <w:szCs w:val="24"/>
          <w:lang w:val="en-GB"/>
        </w:rPr>
      </w:pPr>
      <w:r w:rsidRPr="002013B9">
        <w:rPr>
          <w:rFonts w:cs="Times New Roman"/>
          <w:b w:val="0"/>
          <w:color w:val="000000" w:themeColor="text1"/>
          <w:sz w:val="24"/>
          <w:szCs w:val="24"/>
          <w:lang w:val="en-GB"/>
        </w:rPr>
        <w:t>A</w:t>
      </w:r>
      <w:r w:rsidR="005C6204" w:rsidRPr="002013B9">
        <w:rPr>
          <w:rFonts w:cs="Times New Roman"/>
          <w:b w:val="0"/>
          <w:color w:val="000000" w:themeColor="text1"/>
          <w:sz w:val="24"/>
          <w:szCs w:val="24"/>
          <w:lang w:val="en-GB"/>
        </w:rPr>
        <w:t xml:space="preserve"> diagnosis of chronic calcific pancreatitis diagnosed using the Mayo Clinic diagnostic criteria</w:t>
      </w:r>
      <w:r w:rsidR="00C14935" w:rsidRPr="002013B9">
        <w:rPr>
          <w:rFonts w:cs="Times New Roman"/>
          <w:b w:val="0"/>
          <w:color w:val="000000" w:themeColor="text1"/>
          <w:sz w:val="24"/>
          <w:szCs w:val="24"/>
          <w:lang w:val="en-GB"/>
        </w:rPr>
        <w:t xml:space="preserve"> </w:t>
      </w:r>
      <w:r w:rsidR="00C14935" w:rsidRPr="002013B9">
        <w:rPr>
          <w:rFonts w:cs="Times New Roman"/>
          <w:b w:val="0"/>
          <w:color w:val="000000" w:themeColor="text1"/>
          <w:sz w:val="24"/>
          <w:szCs w:val="24"/>
          <w:lang w:val="en-GB"/>
        </w:rPr>
        <w:fldChar w:fldCharType="begin" w:fldLock="1"/>
      </w:r>
      <w:r w:rsidR="009A3A25" w:rsidRPr="002013B9">
        <w:rPr>
          <w:rFonts w:cs="Times New Roman"/>
          <w:b w:val="0"/>
          <w:color w:val="000000" w:themeColor="text1"/>
          <w:sz w:val="24"/>
          <w:szCs w:val="24"/>
          <w:lang w:val="en-GB"/>
        </w:rPr>
        <w:instrText>ADDIN CSL_CITATION {"citationItems":[{"id":"ITEM-1","itemData":{"ISBN":"0016-5085; 0016-5085","abstract":"BACKGROUND/AIMS: Compared with alcoholic pancreatitis, little is known about the natural history of idiopathic pancreatitis. Two hundred forty-nine patients with alcoholic pancreatitis and 66 patients with idiopathic chronic pancreatitis seen at our institution between 1976 and 1982 were investigated. METHODS: Records were analyzed retrospectively from the onset of symptomatic disease, and patients were followed up prospectively until 1985. Patients with early-onset (n = 25) and late-onset (n = 41) idiopathic chronic pancreatitis had a median age at onset of symptoms of 19 and 56 years, respectively. RESULTS: The gender distribution was nearly equal in idiopathic chronic pancreatitis, but 72% of patients with alcoholic pancreatitis were men (P = 0.001 vs. idiopathic). In early-onset idiopathic pancreatitis, calcification and exocrine and endocrine insufficiency developed more slowly than in late-onset idiopathic and alcoholic pancreatitis (P = 0.03). However, in early idiopathic chronic pancreatitis, pain frequently occurred initially (P = 0.003 vs. late and alcoholic) and was more severe (P = 0.04 vs. late and alcoholic). In late-onset idiopathic pancreatitis, pain was absent in nearly 50% of patients. CONCLUSIONS: There are two distinct forms of idiopathic chronic pancreatitis. Patients with early-onset pancreatitis have initially and thereafter a long course of severe pain but slowly develop morphological and functional pancreatic damage, whereas patients with late-onset pancreatitis have a mild and often a painless course. Both forms differ from alcoholic pancreatitis in their equal gender distribution and a much slower rate of calcification.","author":[{"dropping-particle":"","family":"Layer","given":"P","non-dropping-particle":"","parse-names":false,"suffix":""},{"dropping-particle":"","family":"Yamamoto","given":"H","non-dropping-particle":"","parse-names":false,"suffix":""},{"dropping-particle":"","family":"Kalthoff","given":"L","non-dropping-particle":"","parse-names":false,"suffix":""},{"dropping-particle":"","family":"Clain","given":"J E","non-dropping-particle":"","parse-names":false,"suffix":""},{"dropping-particle":"","family":"Bakken","given":"L J","non-dropping-particle":"","parse-names":false,"suffix":""},{"dropping-particle":"","family":"DiMagno","given":"E P","non-dropping-particle":"","parse-names":false,"suffix":""}],"container-title":"Gastroenterology","id":"ITEM-1","issue":"5","issued":{"date-parts":[["1994","11"]]},"note":"LR: 20061115; JID: 0374630; CIN: JOP. 2003 Jul;4(4):133-6. PMID: 12853680; ppublish","page":"1481-1487","title":"The different courses of early- and late-onset idiopathic and alcoholic chronic pancreatitis","type":"article-journal","volume":"107"},"uris":["http://www.mendeley.com/documents/?uuid=8866a49b-6b57-441b-a0e8-5ac717751610"]}],"mendeley":{"formattedCitation":"[30]","plainTextFormattedCitation":"[30]","previouslyFormattedCitation":"[30]"},"properties":{"noteIndex":0},"schema":"https://github.com/citation-style-language/schema/raw/master/csl-citation.json"}</w:instrText>
      </w:r>
      <w:r w:rsidR="00C14935" w:rsidRPr="002013B9">
        <w:rPr>
          <w:rFonts w:cs="Times New Roman"/>
          <w:b w:val="0"/>
          <w:color w:val="000000" w:themeColor="text1"/>
          <w:sz w:val="24"/>
          <w:szCs w:val="24"/>
          <w:lang w:val="en-GB"/>
        </w:rPr>
        <w:fldChar w:fldCharType="separate"/>
      </w:r>
      <w:r w:rsidR="00CA1FAE" w:rsidRPr="002013B9">
        <w:rPr>
          <w:rFonts w:cs="Times New Roman"/>
          <w:b w:val="0"/>
          <w:noProof/>
          <w:color w:val="000000" w:themeColor="text1"/>
          <w:sz w:val="24"/>
          <w:szCs w:val="24"/>
          <w:lang w:val="en-GB"/>
        </w:rPr>
        <w:t>[30]</w:t>
      </w:r>
      <w:r w:rsidR="00C14935" w:rsidRPr="002013B9">
        <w:rPr>
          <w:rFonts w:cs="Times New Roman"/>
          <w:b w:val="0"/>
          <w:color w:val="000000" w:themeColor="text1"/>
          <w:sz w:val="24"/>
          <w:szCs w:val="24"/>
          <w:lang w:val="en-GB"/>
        </w:rPr>
        <w:fldChar w:fldCharType="end"/>
      </w:r>
      <w:r w:rsidR="005C6204" w:rsidRPr="002013B9">
        <w:rPr>
          <w:rFonts w:cs="Times New Roman"/>
          <w:b w:val="0"/>
          <w:color w:val="000000" w:themeColor="text1"/>
          <w:sz w:val="24"/>
          <w:szCs w:val="24"/>
          <w:lang w:val="en-GB"/>
        </w:rPr>
        <w:t xml:space="preserve">. Both diabetic and non-diabetic patients will be allowed to enter the study. </w:t>
      </w:r>
    </w:p>
    <w:p w14:paraId="7DB2B0EA" w14:textId="0DB4ABA8" w:rsidR="00C33D2B" w:rsidRPr="002013B9" w:rsidRDefault="00C33D2B" w:rsidP="00164C1D">
      <w:pPr>
        <w:pStyle w:val="ListParagraph"/>
        <w:numPr>
          <w:ilvl w:val="0"/>
          <w:numId w:val="24"/>
        </w:numPr>
        <w:spacing w:line="480" w:lineRule="auto"/>
        <w:jc w:val="both"/>
        <w:rPr>
          <w:rFonts w:ascii="Times New Roman" w:hAnsi="Times New Roman" w:cs="Times New Roman"/>
          <w:sz w:val="24"/>
          <w:szCs w:val="24"/>
          <w:lang w:val="en-GB"/>
        </w:rPr>
      </w:pPr>
      <w:r w:rsidRPr="002013B9">
        <w:rPr>
          <w:rFonts w:ascii="Times New Roman" w:hAnsi="Times New Roman" w:cs="Times New Roman"/>
          <w:sz w:val="24"/>
          <w:szCs w:val="24"/>
          <w:lang w:val="en-GB"/>
        </w:rPr>
        <w:t xml:space="preserve">Age </w:t>
      </w:r>
      <w:r w:rsidR="00044787" w:rsidRPr="002013B9">
        <w:rPr>
          <w:rFonts w:ascii="Times New Roman" w:hAnsi="Times New Roman" w:cs="Times New Roman"/>
          <w:color w:val="000000" w:themeColor="text1"/>
          <w:sz w:val="24"/>
          <w:szCs w:val="24"/>
          <w:lang w:val="en-GB"/>
        </w:rPr>
        <w:t>≥ 18 years</w:t>
      </w:r>
      <w:r w:rsidR="0083373E" w:rsidRPr="002013B9">
        <w:rPr>
          <w:rFonts w:ascii="Times New Roman" w:hAnsi="Times New Roman" w:cs="Times New Roman"/>
          <w:color w:val="000000" w:themeColor="text1"/>
          <w:sz w:val="24"/>
          <w:szCs w:val="24"/>
          <w:lang w:val="en-GB"/>
        </w:rPr>
        <w:t>.</w:t>
      </w:r>
    </w:p>
    <w:p w14:paraId="7546FC9A" w14:textId="7499F40F" w:rsidR="005C6204" w:rsidRPr="002013B9" w:rsidRDefault="00662A62" w:rsidP="00164C1D">
      <w:pPr>
        <w:pStyle w:val="Heading2"/>
        <w:numPr>
          <w:ilvl w:val="0"/>
          <w:numId w:val="24"/>
        </w:numPr>
        <w:spacing w:before="0" w:line="480" w:lineRule="auto"/>
        <w:contextualSpacing/>
        <w:jc w:val="both"/>
        <w:rPr>
          <w:rFonts w:cs="Times New Roman"/>
          <w:b w:val="0"/>
          <w:color w:val="000000" w:themeColor="text1"/>
          <w:sz w:val="24"/>
          <w:szCs w:val="24"/>
          <w:lang w:val="en-GB"/>
        </w:rPr>
      </w:pPr>
      <w:r w:rsidRPr="002013B9">
        <w:rPr>
          <w:rFonts w:cs="Times New Roman"/>
          <w:b w:val="0"/>
          <w:color w:val="000000" w:themeColor="text1"/>
          <w:sz w:val="24"/>
          <w:szCs w:val="24"/>
          <w:lang w:val="en-GB"/>
        </w:rPr>
        <w:lastRenderedPageBreak/>
        <w:t>C</w:t>
      </w:r>
      <w:r w:rsidR="005C6204" w:rsidRPr="002013B9">
        <w:rPr>
          <w:rFonts w:cs="Times New Roman"/>
          <w:b w:val="0"/>
          <w:color w:val="000000" w:themeColor="text1"/>
          <w:sz w:val="24"/>
          <w:szCs w:val="24"/>
          <w:lang w:val="en-GB"/>
        </w:rPr>
        <w:t>hronic abdominal pain characteristic for CP with a pain intensity &gt;3 VAS on a 0-10 VAS and meet the criteria for chronic pain (pain ≥ 3 days per week for at least 3 months).</w:t>
      </w:r>
    </w:p>
    <w:p w14:paraId="4FEB4636" w14:textId="1C04028D" w:rsidR="005C6204" w:rsidRPr="002013B9" w:rsidRDefault="005C6204" w:rsidP="00DE6005">
      <w:pPr>
        <w:pStyle w:val="ListParagraph"/>
        <w:numPr>
          <w:ilvl w:val="0"/>
          <w:numId w:val="24"/>
        </w:numPr>
        <w:spacing w:line="480" w:lineRule="auto"/>
        <w:jc w:val="both"/>
        <w:rPr>
          <w:rFonts w:ascii="Times New Roman" w:eastAsia="Times New Roman" w:hAnsi="Times New Roman" w:cs="Times New Roman"/>
          <w:color w:val="000000" w:themeColor="text1"/>
          <w:sz w:val="24"/>
          <w:szCs w:val="24"/>
          <w:lang w:val="en-GB" w:eastAsia="da-DK"/>
        </w:rPr>
      </w:pPr>
      <w:r w:rsidRPr="002013B9">
        <w:rPr>
          <w:rFonts w:ascii="Times New Roman" w:eastAsia="Times New Roman" w:hAnsi="Times New Roman" w:cs="Times New Roman"/>
          <w:color w:val="000000" w:themeColor="text1"/>
          <w:sz w:val="24"/>
          <w:szCs w:val="24"/>
          <w:lang w:val="en-GB" w:eastAsia="da-DK"/>
        </w:rPr>
        <w:t>Obstruction of the pancreatic duct due to intraductal stones with dilatation of the duct proximal to the obstruction, as determined by magnetic resonance</w:t>
      </w:r>
      <w:r w:rsidR="00C33D2B" w:rsidRPr="002013B9">
        <w:rPr>
          <w:rFonts w:ascii="Times New Roman" w:eastAsia="Times New Roman" w:hAnsi="Times New Roman" w:cs="Times New Roman"/>
          <w:color w:val="000000" w:themeColor="text1"/>
          <w:sz w:val="24"/>
          <w:szCs w:val="24"/>
          <w:lang w:val="en-GB" w:eastAsia="da-DK"/>
        </w:rPr>
        <w:t xml:space="preserve"> </w:t>
      </w:r>
      <w:r w:rsidRPr="002013B9">
        <w:rPr>
          <w:rFonts w:ascii="Times New Roman" w:eastAsia="Times New Roman" w:hAnsi="Times New Roman" w:cs="Times New Roman"/>
          <w:color w:val="000000" w:themeColor="text1"/>
          <w:sz w:val="24"/>
          <w:szCs w:val="24"/>
          <w:lang w:val="en-GB" w:eastAsia="da-DK"/>
        </w:rPr>
        <w:t>cholangiopancreatography</w:t>
      </w:r>
      <w:r w:rsidR="00662A62" w:rsidRPr="002013B9">
        <w:rPr>
          <w:rFonts w:ascii="Times New Roman" w:eastAsia="Times New Roman" w:hAnsi="Times New Roman" w:cs="Times New Roman"/>
          <w:color w:val="000000" w:themeColor="text1"/>
          <w:sz w:val="24"/>
          <w:szCs w:val="24"/>
          <w:lang w:val="en-GB" w:eastAsia="da-DK"/>
        </w:rPr>
        <w:t xml:space="preserve"> (MRCP)</w:t>
      </w:r>
      <w:r w:rsidR="00A73999" w:rsidRPr="002013B9">
        <w:rPr>
          <w:rFonts w:ascii="Times New Roman" w:eastAsia="Times New Roman" w:hAnsi="Times New Roman" w:cs="Times New Roman"/>
          <w:color w:val="000000" w:themeColor="text1"/>
          <w:sz w:val="24"/>
          <w:szCs w:val="24"/>
          <w:lang w:val="en-GB" w:eastAsia="da-DK"/>
        </w:rPr>
        <w:t xml:space="preserve"> or</w:t>
      </w:r>
      <w:r w:rsidRPr="002013B9">
        <w:rPr>
          <w:rFonts w:ascii="Times New Roman" w:eastAsia="Times New Roman" w:hAnsi="Times New Roman" w:cs="Times New Roman"/>
          <w:color w:val="000000" w:themeColor="text1"/>
          <w:sz w:val="24"/>
          <w:szCs w:val="24"/>
          <w:lang w:val="en-GB" w:eastAsia="da-DK"/>
        </w:rPr>
        <w:t xml:space="preserve"> abdominal computed tomography</w:t>
      </w:r>
      <w:r w:rsidR="00662A62" w:rsidRPr="002013B9">
        <w:rPr>
          <w:rFonts w:ascii="Times New Roman" w:eastAsia="Times New Roman" w:hAnsi="Times New Roman" w:cs="Times New Roman"/>
          <w:color w:val="000000" w:themeColor="text1"/>
          <w:sz w:val="24"/>
          <w:szCs w:val="24"/>
          <w:lang w:val="en-GB" w:eastAsia="da-DK"/>
        </w:rPr>
        <w:t xml:space="preserve"> (CT)</w:t>
      </w:r>
      <w:r w:rsidR="009A296C" w:rsidRPr="002013B9">
        <w:rPr>
          <w:rFonts w:ascii="Times New Roman" w:eastAsia="Times New Roman" w:hAnsi="Times New Roman" w:cs="Times New Roman"/>
          <w:color w:val="000000" w:themeColor="text1"/>
          <w:sz w:val="24"/>
          <w:szCs w:val="24"/>
          <w:lang w:val="en-GB" w:eastAsia="da-DK"/>
        </w:rPr>
        <w:t>.</w:t>
      </w:r>
      <w:r w:rsidRPr="002013B9">
        <w:rPr>
          <w:rFonts w:ascii="Times New Roman" w:eastAsia="Times New Roman" w:hAnsi="Times New Roman" w:cs="Times New Roman"/>
          <w:color w:val="000000" w:themeColor="text1"/>
          <w:sz w:val="24"/>
          <w:szCs w:val="24"/>
          <w:lang w:val="en-GB" w:eastAsia="da-DK"/>
        </w:rPr>
        <w:t xml:space="preserve"> </w:t>
      </w:r>
    </w:p>
    <w:p w14:paraId="0FF15DE3" w14:textId="77777777" w:rsidR="005C6204" w:rsidRPr="002013B9" w:rsidRDefault="005C6204" w:rsidP="00164C1D">
      <w:pPr>
        <w:pStyle w:val="Heading2"/>
        <w:numPr>
          <w:ilvl w:val="0"/>
          <w:numId w:val="24"/>
        </w:numPr>
        <w:spacing w:before="0" w:line="480" w:lineRule="auto"/>
        <w:contextualSpacing/>
        <w:jc w:val="both"/>
        <w:rPr>
          <w:rFonts w:cs="Times New Roman"/>
          <w:b w:val="0"/>
          <w:color w:val="000000" w:themeColor="text1"/>
          <w:sz w:val="24"/>
          <w:szCs w:val="24"/>
          <w:lang w:val="en-GB"/>
        </w:rPr>
      </w:pPr>
      <w:r w:rsidRPr="002013B9">
        <w:rPr>
          <w:rFonts w:cs="Times New Roman"/>
          <w:b w:val="0"/>
          <w:color w:val="000000" w:themeColor="text1"/>
          <w:sz w:val="24"/>
          <w:szCs w:val="24"/>
          <w:lang w:val="en-GB"/>
        </w:rPr>
        <w:t>The patients must be able to read and understand the provided informed consent.</w:t>
      </w:r>
    </w:p>
    <w:p w14:paraId="39AB7FE4" w14:textId="77777777" w:rsidR="005C6204" w:rsidRPr="002013B9" w:rsidRDefault="005C6204" w:rsidP="00164C1D">
      <w:pPr>
        <w:pStyle w:val="Heading2"/>
        <w:numPr>
          <w:ilvl w:val="0"/>
          <w:numId w:val="24"/>
        </w:numPr>
        <w:spacing w:before="0" w:line="480" w:lineRule="auto"/>
        <w:contextualSpacing/>
        <w:jc w:val="both"/>
        <w:rPr>
          <w:rFonts w:cs="Times New Roman"/>
          <w:b w:val="0"/>
          <w:color w:val="000000" w:themeColor="text1"/>
          <w:sz w:val="24"/>
          <w:szCs w:val="24"/>
          <w:lang w:val="en-GB"/>
        </w:rPr>
      </w:pPr>
      <w:r w:rsidRPr="002013B9">
        <w:rPr>
          <w:rFonts w:cs="Times New Roman"/>
          <w:b w:val="0"/>
          <w:color w:val="000000" w:themeColor="text1"/>
          <w:sz w:val="24"/>
          <w:szCs w:val="24"/>
          <w:lang w:val="en-GB"/>
        </w:rPr>
        <w:t xml:space="preserve">Patients must personally sign and date informed consent document indicating that he/she has been informed of all pertinent aspects of the trial. </w:t>
      </w:r>
    </w:p>
    <w:p w14:paraId="0356310A" w14:textId="55E5FC22" w:rsidR="005C6204" w:rsidRPr="002013B9" w:rsidRDefault="005C6204" w:rsidP="00164C1D">
      <w:pPr>
        <w:pStyle w:val="Heading2"/>
        <w:numPr>
          <w:ilvl w:val="0"/>
          <w:numId w:val="24"/>
        </w:numPr>
        <w:spacing w:before="0" w:line="480" w:lineRule="auto"/>
        <w:contextualSpacing/>
        <w:jc w:val="both"/>
        <w:rPr>
          <w:rFonts w:cs="Times New Roman"/>
          <w:b w:val="0"/>
          <w:color w:val="000000" w:themeColor="text1"/>
          <w:sz w:val="24"/>
          <w:szCs w:val="24"/>
          <w:lang w:val="en-GB"/>
        </w:rPr>
      </w:pPr>
      <w:r w:rsidRPr="002013B9">
        <w:rPr>
          <w:rFonts w:cs="Times New Roman"/>
          <w:b w:val="0"/>
          <w:color w:val="000000" w:themeColor="text1"/>
          <w:sz w:val="24"/>
          <w:szCs w:val="24"/>
          <w:lang w:val="en-GB"/>
        </w:rPr>
        <w:t>Patients should be willing to comply with the scheduled visits, clinical and experimental assessment plan</w:t>
      </w:r>
      <w:r w:rsidR="00553FEB" w:rsidRPr="002013B9">
        <w:rPr>
          <w:rFonts w:cs="Times New Roman"/>
          <w:b w:val="0"/>
          <w:color w:val="000000" w:themeColor="text1"/>
          <w:sz w:val="24"/>
          <w:szCs w:val="24"/>
          <w:lang w:val="en-GB"/>
        </w:rPr>
        <w:t>s</w:t>
      </w:r>
      <w:r w:rsidRPr="002013B9">
        <w:rPr>
          <w:rFonts w:cs="Times New Roman"/>
          <w:b w:val="0"/>
          <w:color w:val="000000" w:themeColor="text1"/>
          <w:sz w:val="24"/>
          <w:szCs w:val="24"/>
          <w:lang w:val="en-GB"/>
        </w:rPr>
        <w:t xml:space="preserve">, and other trial procedures. </w:t>
      </w:r>
    </w:p>
    <w:p w14:paraId="4F6EFA79" w14:textId="77777777" w:rsidR="00C33D2B" w:rsidRPr="002013B9" w:rsidRDefault="00C33D2B" w:rsidP="00164C1D">
      <w:pPr>
        <w:spacing w:line="480" w:lineRule="auto"/>
        <w:contextualSpacing/>
        <w:rPr>
          <w:rFonts w:ascii="Times New Roman" w:hAnsi="Times New Roman" w:cs="Times New Roman"/>
          <w:sz w:val="24"/>
          <w:szCs w:val="24"/>
          <w:lang w:val="en-GB"/>
        </w:rPr>
      </w:pPr>
    </w:p>
    <w:p w14:paraId="1CA3ECA1" w14:textId="77777777" w:rsidR="005C6204" w:rsidRPr="002013B9" w:rsidRDefault="005C6204" w:rsidP="00164C1D">
      <w:pPr>
        <w:pStyle w:val="Heading2"/>
        <w:spacing w:before="0" w:line="480" w:lineRule="auto"/>
        <w:contextualSpacing/>
        <w:rPr>
          <w:rFonts w:cs="Times New Roman"/>
          <w:color w:val="000000" w:themeColor="text1"/>
          <w:sz w:val="24"/>
          <w:szCs w:val="24"/>
          <w:lang w:val="en-GB"/>
        </w:rPr>
      </w:pPr>
      <w:bookmarkStart w:id="1" w:name="_Toc372282135"/>
      <w:r w:rsidRPr="002013B9">
        <w:rPr>
          <w:rFonts w:cs="Times New Roman"/>
          <w:color w:val="000000" w:themeColor="text1"/>
          <w:sz w:val="24"/>
          <w:szCs w:val="24"/>
          <w:lang w:val="en-GB"/>
        </w:rPr>
        <w:t>Exclusion Criteria</w:t>
      </w:r>
      <w:bookmarkEnd w:id="1"/>
      <w:r w:rsidRPr="002013B9">
        <w:rPr>
          <w:rFonts w:cs="Times New Roman"/>
          <w:color w:val="000000" w:themeColor="text1"/>
          <w:sz w:val="24"/>
          <w:szCs w:val="24"/>
          <w:lang w:val="en-GB"/>
        </w:rPr>
        <w:t xml:space="preserve"> </w:t>
      </w:r>
    </w:p>
    <w:p w14:paraId="57B9A578" w14:textId="3B708FEA" w:rsidR="005C6204" w:rsidRPr="002013B9" w:rsidRDefault="005C6204" w:rsidP="00164C1D">
      <w:pPr>
        <w:pStyle w:val="ListParagraph"/>
        <w:numPr>
          <w:ilvl w:val="0"/>
          <w:numId w:val="5"/>
        </w:numPr>
        <w:autoSpaceDE w:val="0"/>
        <w:autoSpaceDN w:val="0"/>
        <w:adjustRightInd w:val="0"/>
        <w:spacing w:line="480" w:lineRule="auto"/>
        <w:rPr>
          <w:rFonts w:ascii="Times New Roman" w:hAnsi="Times New Roman" w:cs="Times New Roman"/>
          <w:color w:val="000000" w:themeColor="text1"/>
          <w:sz w:val="24"/>
          <w:szCs w:val="24"/>
          <w:lang w:val="en-GB"/>
        </w:rPr>
      </w:pPr>
      <w:r w:rsidRPr="002013B9">
        <w:rPr>
          <w:rFonts w:ascii="Times New Roman" w:hAnsi="Times New Roman" w:cs="Times New Roman"/>
          <w:color w:val="000000" w:themeColor="text1"/>
          <w:sz w:val="24"/>
          <w:szCs w:val="24"/>
          <w:lang w:val="en-GB"/>
        </w:rPr>
        <w:t xml:space="preserve">Patients with any clinically significant laboratory abnormalities that in the opinion of the investigator may increase the risk associated with trial participation or may interfere with the interpretation of the trial results. </w:t>
      </w:r>
    </w:p>
    <w:p w14:paraId="684DE76F" w14:textId="3C9710BE" w:rsidR="009B5122" w:rsidRPr="002013B9" w:rsidRDefault="009B5122" w:rsidP="00164C1D">
      <w:pPr>
        <w:pStyle w:val="ListParagraph"/>
        <w:numPr>
          <w:ilvl w:val="0"/>
          <w:numId w:val="5"/>
        </w:numPr>
        <w:autoSpaceDE w:val="0"/>
        <w:autoSpaceDN w:val="0"/>
        <w:adjustRightInd w:val="0"/>
        <w:spacing w:line="480" w:lineRule="auto"/>
        <w:rPr>
          <w:rFonts w:ascii="Times New Roman" w:hAnsi="Times New Roman" w:cs="Times New Roman"/>
          <w:color w:val="000000" w:themeColor="text1"/>
          <w:sz w:val="24"/>
          <w:szCs w:val="24"/>
          <w:lang w:val="en-GB"/>
        </w:rPr>
      </w:pPr>
      <w:r w:rsidRPr="002013B9">
        <w:rPr>
          <w:rFonts w:ascii="Times New Roman" w:hAnsi="Times New Roman" w:cs="Times New Roman"/>
          <w:color w:val="000000" w:themeColor="text1"/>
          <w:sz w:val="24"/>
          <w:szCs w:val="24"/>
          <w:lang w:val="en-GB"/>
        </w:rPr>
        <w:t>P</w:t>
      </w:r>
      <w:r w:rsidR="00885ADF" w:rsidRPr="002013B9">
        <w:rPr>
          <w:rFonts w:ascii="Times New Roman" w:hAnsi="Times New Roman" w:cs="Times New Roman"/>
          <w:color w:val="000000" w:themeColor="text1"/>
          <w:sz w:val="24"/>
          <w:szCs w:val="24"/>
          <w:lang w:val="en-GB"/>
        </w:rPr>
        <w:t>revious history of</w:t>
      </w:r>
      <w:r w:rsidR="001A737E" w:rsidRPr="002013B9">
        <w:rPr>
          <w:rFonts w:ascii="Times New Roman" w:hAnsi="Times New Roman" w:cs="Times New Roman"/>
          <w:color w:val="000000" w:themeColor="text1"/>
          <w:sz w:val="24"/>
          <w:szCs w:val="24"/>
          <w:lang w:val="en-GB"/>
        </w:rPr>
        <w:t xml:space="preserve"> p</w:t>
      </w:r>
      <w:r w:rsidRPr="002013B9">
        <w:rPr>
          <w:rFonts w:ascii="Times New Roman" w:hAnsi="Times New Roman" w:cs="Times New Roman"/>
          <w:color w:val="000000" w:themeColor="text1"/>
          <w:sz w:val="24"/>
          <w:szCs w:val="24"/>
          <w:lang w:val="en-GB"/>
        </w:rPr>
        <w:t>ancreatic surgery, ESWL or ERCP</w:t>
      </w:r>
    </w:p>
    <w:p w14:paraId="66AB1774" w14:textId="72F98C24" w:rsidR="00ED0602" w:rsidRPr="002013B9" w:rsidRDefault="00C246B6" w:rsidP="00ED0602">
      <w:pPr>
        <w:pStyle w:val="ListParagraph"/>
        <w:numPr>
          <w:ilvl w:val="0"/>
          <w:numId w:val="5"/>
        </w:numPr>
        <w:autoSpaceDE w:val="0"/>
        <w:autoSpaceDN w:val="0"/>
        <w:adjustRightInd w:val="0"/>
        <w:spacing w:line="480" w:lineRule="auto"/>
        <w:rPr>
          <w:rFonts w:ascii="Times New Roman" w:hAnsi="Times New Roman" w:cs="Times New Roman"/>
          <w:color w:val="000000" w:themeColor="text1"/>
          <w:sz w:val="24"/>
          <w:szCs w:val="24"/>
          <w:lang w:val="en-GB"/>
        </w:rPr>
      </w:pPr>
      <w:r w:rsidRPr="002013B9">
        <w:rPr>
          <w:rFonts w:ascii="Times New Roman" w:hAnsi="Times New Roman" w:cs="Times New Roman"/>
          <w:color w:val="000000" w:themeColor="text1"/>
          <w:sz w:val="24"/>
          <w:szCs w:val="24"/>
          <w:lang w:val="en-GB"/>
        </w:rPr>
        <w:t xml:space="preserve">Patients with a pancreatic stricture on </w:t>
      </w:r>
      <w:r w:rsidR="00ED0602" w:rsidRPr="002013B9">
        <w:rPr>
          <w:rFonts w:ascii="Times New Roman" w:hAnsi="Times New Roman" w:cs="Times New Roman"/>
          <w:color w:val="000000" w:themeColor="text1"/>
          <w:sz w:val="24"/>
          <w:szCs w:val="24"/>
          <w:lang w:val="en-GB"/>
        </w:rPr>
        <w:t>cross-sectional imaging</w:t>
      </w:r>
      <w:r w:rsidRPr="002013B9">
        <w:rPr>
          <w:rFonts w:ascii="Times New Roman" w:hAnsi="Times New Roman" w:cs="Times New Roman"/>
          <w:color w:val="000000" w:themeColor="text1"/>
          <w:sz w:val="24"/>
          <w:szCs w:val="24"/>
          <w:lang w:val="en-GB"/>
        </w:rPr>
        <w:t xml:space="preserve"> prior to study enrolment</w:t>
      </w:r>
    </w:p>
    <w:p w14:paraId="080DC34A" w14:textId="730696C4" w:rsidR="005C6204" w:rsidRPr="002013B9" w:rsidRDefault="005C6204" w:rsidP="00164C1D">
      <w:pPr>
        <w:numPr>
          <w:ilvl w:val="0"/>
          <w:numId w:val="5"/>
        </w:numPr>
        <w:spacing w:line="480" w:lineRule="auto"/>
        <w:contextualSpacing/>
        <w:rPr>
          <w:rFonts w:ascii="Times New Roman" w:eastAsia="Times New Roman" w:hAnsi="Times New Roman" w:cs="Times New Roman"/>
          <w:color w:val="000000" w:themeColor="text1"/>
          <w:sz w:val="24"/>
          <w:szCs w:val="24"/>
          <w:lang w:val="en-GB" w:eastAsia="da-DK"/>
        </w:rPr>
      </w:pPr>
      <w:r w:rsidRPr="002013B9">
        <w:rPr>
          <w:rFonts w:ascii="Times New Roman" w:eastAsia="Times New Roman" w:hAnsi="Times New Roman" w:cs="Times New Roman"/>
          <w:color w:val="000000" w:themeColor="text1"/>
          <w:sz w:val="24"/>
          <w:szCs w:val="24"/>
          <w:lang w:val="en-GB" w:eastAsia="da-DK"/>
        </w:rPr>
        <w:t xml:space="preserve">Active alcohol or </w:t>
      </w:r>
      <w:r w:rsidR="00BA5FE8" w:rsidRPr="002013B9">
        <w:rPr>
          <w:rFonts w:ascii="Times New Roman" w:eastAsia="Times New Roman" w:hAnsi="Times New Roman" w:cs="Times New Roman"/>
          <w:color w:val="000000" w:themeColor="text1"/>
          <w:sz w:val="24"/>
          <w:szCs w:val="24"/>
          <w:lang w:val="en-GB" w:eastAsia="da-DK"/>
        </w:rPr>
        <w:t xml:space="preserve">illicit </w:t>
      </w:r>
      <w:r w:rsidRPr="002013B9">
        <w:rPr>
          <w:rFonts w:ascii="Times New Roman" w:eastAsia="Times New Roman" w:hAnsi="Times New Roman" w:cs="Times New Roman"/>
          <w:color w:val="000000" w:themeColor="text1"/>
          <w:sz w:val="24"/>
          <w:szCs w:val="24"/>
          <w:lang w:val="en-GB" w:eastAsia="da-DK"/>
        </w:rPr>
        <w:t>drug dependencies.</w:t>
      </w:r>
    </w:p>
    <w:p w14:paraId="1309A76E" w14:textId="65102E1F" w:rsidR="005C6204" w:rsidRPr="002013B9" w:rsidRDefault="005C6204" w:rsidP="00164C1D">
      <w:pPr>
        <w:numPr>
          <w:ilvl w:val="0"/>
          <w:numId w:val="5"/>
        </w:numPr>
        <w:spacing w:line="480" w:lineRule="auto"/>
        <w:contextualSpacing/>
        <w:rPr>
          <w:rFonts w:ascii="Times New Roman" w:eastAsia="Times New Roman" w:hAnsi="Times New Roman" w:cs="Times New Roman"/>
          <w:color w:val="000000" w:themeColor="text1"/>
          <w:sz w:val="24"/>
          <w:szCs w:val="24"/>
          <w:lang w:val="en-GB" w:eastAsia="da-DK"/>
        </w:rPr>
      </w:pPr>
      <w:r w:rsidRPr="002013B9">
        <w:rPr>
          <w:rFonts w:ascii="Times New Roman" w:hAnsi="Times New Roman" w:cs="Times New Roman"/>
          <w:color w:val="000000" w:themeColor="text1"/>
          <w:sz w:val="24"/>
          <w:szCs w:val="24"/>
          <w:lang w:val="en-GB"/>
        </w:rPr>
        <w:t xml:space="preserve">Patients with evidence or history of medical or surgical disease of importance for this study as judged by </w:t>
      </w:r>
      <w:r w:rsidR="00A9646B" w:rsidRPr="002013B9">
        <w:rPr>
          <w:rFonts w:ascii="Times New Roman" w:hAnsi="Times New Roman" w:cs="Times New Roman"/>
          <w:color w:val="000000" w:themeColor="text1"/>
          <w:sz w:val="24"/>
          <w:szCs w:val="24"/>
          <w:lang w:val="en-GB"/>
        </w:rPr>
        <w:t xml:space="preserve">the </w:t>
      </w:r>
      <w:r w:rsidRPr="002013B9">
        <w:rPr>
          <w:rFonts w:ascii="Times New Roman" w:hAnsi="Times New Roman" w:cs="Times New Roman"/>
          <w:color w:val="000000" w:themeColor="text1"/>
          <w:sz w:val="24"/>
          <w:szCs w:val="24"/>
          <w:lang w:val="en-GB"/>
        </w:rPr>
        <w:t>investigator.</w:t>
      </w:r>
    </w:p>
    <w:p w14:paraId="7468ED9E" w14:textId="77777777" w:rsidR="005C6204" w:rsidRPr="002013B9" w:rsidRDefault="005C6204" w:rsidP="00164C1D">
      <w:pPr>
        <w:pStyle w:val="ListParagraph"/>
        <w:numPr>
          <w:ilvl w:val="0"/>
          <w:numId w:val="6"/>
        </w:numPr>
        <w:autoSpaceDE w:val="0"/>
        <w:autoSpaceDN w:val="0"/>
        <w:adjustRightInd w:val="0"/>
        <w:spacing w:line="480" w:lineRule="auto"/>
        <w:rPr>
          <w:rFonts w:ascii="Times New Roman" w:hAnsi="Times New Roman" w:cs="Times New Roman"/>
          <w:color w:val="000000" w:themeColor="text1"/>
          <w:sz w:val="24"/>
          <w:szCs w:val="24"/>
          <w:lang w:val="en-GB"/>
        </w:rPr>
      </w:pPr>
      <w:r w:rsidRPr="002013B9">
        <w:rPr>
          <w:rFonts w:ascii="Times New Roman" w:hAnsi="Times New Roman" w:cs="Times New Roman"/>
          <w:color w:val="000000" w:themeColor="text1"/>
          <w:sz w:val="24"/>
          <w:szCs w:val="24"/>
          <w:lang w:val="en-GB"/>
        </w:rPr>
        <w:t>Patients must not suffer from painful conditions other than CP that make them unable to distinguish the pain associated with CP from chronic pain of other origin.</w:t>
      </w:r>
    </w:p>
    <w:p w14:paraId="7870AB40" w14:textId="77777777" w:rsidR="005C6204" w:rsidRPr="002013B9" w:rsidRDefault="005C6204" w:rsidP="00164C1D">
      <w:pPr>
        <w:pStyle w:val="ListParagraph"/>
        <w:numPr>
          <w:ilvl w:val="0"/>
          <w:numId w:val="6"/>
        </w:numPr>
        <w:autoSpaceDE w:val="0"/>
        <w:autoSpaceDN w:val="0"/>
        <w:adjustRightInd w:val="0"/>
        <w:spacing w:line="480" w:lineRule="auto"/>
        <w:rPr>
          <w:rFonts w:ascii="Times New Roman" w:hAnsi="Times New Roman" w:cs="Times New Roman"/>
          <w:color w:val="000000" w:themeColor="text1"/>
          <w:sz w:val="24"/>
          <w:szCs w:val="24"/>
          <w:lang w:val="en-GB"/>
        </w:rPr>
      </w:pPr>
      <w:r w:rsidRPr="002013B9">
        <w:rPr>
          <w:rFonts w:ascii="Times New Roman" w:hAnsi="Times New Roman" w:cs="Times New Roman"/>
          <w:color w:val="000000" w:themeColor="text1"/>
          <w:sz w:val="24"/>
          <w:szCs w:val="24"/>
          <w:lang w:val="en-GB"/>
        </w:rPr>
        <w:t>Presence of pancreatic head mass, multiple strictures, large ascites, large fluid collections.</w:t>
      </w:r>
    </w:p>
    <w:p w14:paraId="62A4CCDC" w14:textId="77777777" w:rsidR="0068048D" w:rsidRPr="002013B9" w:rsidRDefault="0068048D" w:rsidP="00164C1D">
      <w:pPr>
        <w:spacing w:line="480" w:lineRule="auto"/>
        <w:contextualSpacing/>
        <w:rPr>
          <w:rFonts w:ascii="Times New Roman" w:hAnsi="Times New Roman" w:cs="Times New Roman"/>
          <w:b/>
          <w:color w:val="000000" w:themeColor="text1"/>
          <w:sz w:val="24"/>
          <w:szCs w:val="24"/>
          <w:lang w:val="en-GB"/>
        </w:rPr>
      </w:pPr>
    </w:p>
    <w:p w14:paraId="31B63EDF" w14:textId="7D269558" w:rsidR="00AA3325" w:rsidRPr="00566AB7" w:rsidRDefault="00EA6A5C" w:rsidP="00ED0602">
      <w:pPr>
        <w:spacing w:line="480" w:lineRule="auto"/>
        <w:contextualSpacing/>
        <w:rPr>
          <w:rFonts w:ascii="Times New Roman" w:hAnsi="Times New Roman" w:cs="Times New Roman"/>
          <w:b/>
          <w:color w:val="000000" w:themeColor="text1"/>
          <w:sz w:val="24"/>
          <w:szCs w:val="24"/>
          <w:lang w:val="en-GB"/>
        </w:rPr>
      </w:pPr>
      <w:r w:rsidRPr="00566AB7">
        <w:rPr>
          <w:rFonts w:ascii="Times New Roman" w:hAnsi="Times New Roman" w:cs="Times New Roman"/>
          <w:b/>
          <w:color w:val="000000" w:themeColor="text1"/>
          <w:sz w:val="24"/>
          <w:szCs w:val="24"/>
          <w:lang w:val="en-GB"/>
        </w:rPr>
        <w:lastRenderedPageBreak/>
        <w:t>Interventions</w:t>
      </w:r>
    </w:p>
    <w:p w14:paraId="2E7C6FAE" w14:textId="34E28A4A" w:rsidR="004E77E9" w:rsidRPr="002013B9" w:rsidRDefault="00194934" w:rsidP="0018638E">
      <w:pPr>
        <w:spacing w:line="480" w:lineRule="auto"/>
        <w:contextualSpacing/>
        <w:rPr>
          <w:rFonts w:ascii="Times New Roman" w:eastAsia="Times New Roman" w:hAnsi="Times New Roman" w:cs="Times New Roman"/>
          <w:bCs/>
          <w:sz w:val="24"/>
          <w:szCs w:val="24"/>
          <w:lang w:val="en-GB" w:eastAsia="da-DK"/>
        </w:rPr>
      </w:pPr>
      <w:r w:rsidRPr="002013B9">
        <w:rPr>
          <w:rFonts w:ascii="Times New Roman" w:hAnsi="Times New Roman" w:cs="Times New Roman"/>
          <w:bCs/>
          <w:sz w:val="24"/>
          <w:szCs w:val="24"/>
          <w:lang w:val="en-GB"/>
        </w:rPr>
        <w:t>Patients will be randomly allocated to either c</w:t>
      </w:r>
      <w:r w:rsidRPr="002013B9">
        <w:rPr>
          <w:rFonts w:ascii="Times New Roman" w:eastAsia="Times New Roman" w:hAnsi="Times New Roman" w:cs="Times New Roman"/>
          <w:bCs/>
          <w:sz w:val="24"/>
          <w:szCs w:val="24"/>
          <w:lang w:val="en-GB" w:eastAsia="da-DK"/>
        </w:rPr>
        <w:t xml:space="preserve">ombined ESWL and endoscopic treatment </w:t>
      </w:r>
      <w:r w:rsidRPr="002013B9">
        <w:rPr>
          <w:rFonts w:ascii="Times New Roman" w:hAnsi="Times New Roman" w:cs="Times New Roman"/>
          <w:bCs/>
          <w:sz w:val="24"/>
          <w:szCs w:val="24"/>
          <w:lang w:val="en-GB"/>
        </w:rPr>
        <w:t>or sham</w:t>
      </w:r>
      <w:r w:rsidR="00AA3325" w:rsidRPr="002013B9">
        <w:rPr>
          <w:rFonts w:ascii="Times New Roman" w:hAnsi="Times New Roman" w:cs="Times New Roman"/>
          <w:bCs/>
          <w:sz w:val="24"/>
          <w:szCs w:val="24"/>
          <w:lang w:val="en-GB"/>
        </w:rPr>
        <w:t xml:space="preserve"> </w:t>
      </w:r>
      <w:r w:rsidRPr="002013B9">
        <w:rPr>
          <w:rFonts w:ascii="Times New Roman" w:hAnsi="Times New Roman" w:cs="Times New Roman"/>
          <w:bCs/>
          <w:sz w:val="24"/>
          <w:szCs w:val="24"/>
          <w:lang w:val="en-GB"/>
        </w:rPr>
        <w:t xml:space="preserve">treatment. </w:t>
      </w:r>
    </w:p>
    <w:p w14:paraId="71E0151E" w14:textId="77777777" w:rsidR="00C246B6" w:rsidRPr="002013B9" w:rsidRDefault="00C246B6" w:rsidP="0018638E">
      <w:pPr>
        <w:spacing w:line="480" w:lineRule="auto"/>
        <w:contextualSpacing/>
        <w:rPr>
          <w:rFonts w:ascii="Times New Roman" w:eastAsia="Times New Roman" w:hAnsi="Times New Roman" w:cs="Times New Roman"/>
          <w:bCs/>
          <w:sz w:val="24"/>
          <w:szCs w:val="24"/>
          <w:lang w:val="en-GB" w:eastAsia="da-DK"/>
        </w:rPr>
      </w:pPr>
    </w:p>
    <w:p w14:paraId="66E4B93F" w14:textId="364920CF" w:rsidR="00EA6A5C" w:rsidRPr="007C35FD" w:rsidRDefault="00EA6A5C" w:rsidP="0018638E">
      <w:pPr>
        <w:spacing w:line="480" w:lineRule="auto"/>
        <w:contextualSpacing/>
        <w:rPr>
          <w:rFonts w:ascii="Times New Roman" w:eastAsia="Times New Roman" w:hAnsi="Times New Roman" w:cs="Times New Roman"/>
          <w:bCs/>
          <w:sz w:val="24"/>
          <w:szCs w:val="24"/>
          <w:lang w:val="en-GB" w:eastAsia="da-DK"/>
        </w:rPr>
      </w:pPr>
      <w:r w:rsidRPr="007C35FD">
        <w:rPr>
          <w:rFonts w:ascii="Times New Roman" w:hAnsi="Times New Roman" w:cs="Times New Roman"/>
          <w:bCs/>
          <w:i/>
          <w:iCs/>
          <w:color w:val="000000" w:themeColor="text1"/>
          <w:sz w:val="24"/>
          <w:szCs w:val="24"/>
          <w:lang w:val="en-GB"/>
        </w:rPr>
        <w:t xml:space="preserve">Combined ESWL and endoscopic treatment </w:t>
      </w:r>
    </w:p>
    <w:p w14:paraId="271A0EC1" w14:textId="77777777" w:rsidR="00F03DD3" w:rsidRDefault="00EA6A5C" w:rsidP="00320276">
      <w:pPr>
        <w:spacing w:line="480" w:lineRule="auto"/>
        <w:jc w:val="both"/>
        <w:rPr>
          <w:rFonts w:ascii="Times New Roman" w:hAnsi="Times New Roman" w:cs="Times New Roman"/>
          <w:bCs/>
          <w:color w:val="000000" w:themeColor="text1"/>
          <w:sz w:val="24"/>
          <w:szCs w:val="24"/>
        </w:rPr>
      </w:pPr>
      <w:r w:rsidRPr="007C35FD">
        <w:rPr>
          <w:rFonts w:ascii="Times New Roman" w:hAnsi="Times New Roman" w:cs="Times New Roman"/>
          <w:bCs/>
          <w:color w:val="000000" w:themeColor="text1"/>
          <w:sz w:val="24"/>
          <w:szCs w:val="24"/>
          <w:lang w:val="en-GB"/>
        </w:rPr>
        <w:t xml:space="preserve">Patients enrolled in the active treatment group will be subjected to ESWL followed by ERCP. </w:t>
      </w:r>
      <w:r w:rsidR="00CB4976" w:rsidRPr="007C35FD">
        <w:rPr>
          <w:rFonts w:ascii="Times New Roman" w:hAnsi="Times New Roman" w:cs="Times New Roman"/>
          <w:bCs/>
          <w:color w:val="FF0000"/>
          <w:sz w:val="24"/>
          <w:szCs w:val="24"/>
        </w:rPr>
        <w:t xml:space="preserve">In India, </w:t>
      </w:r>
      <w:r w:rsidR="002B03A8">
        <w:rPr>
          <w:rFonts w:ascii="Times New Roman" w:hAnsi="Times New Roman" w:cs="Times New Roman"/>
          <w:bCs/>
          <w:color w:val="FF0000"/>
          <w:sz w:val="24"/>
          <w:szCs w:val="24"/>
        </w:rPr>
        <w:t xml:space="preserve">patients with CP typically present with large </w:t>
      </w:r>
      <w:r w:rsidR="0093101B" w:rsidRPr="007C35FD">
        <w:rPr>
          <w:rFonts w:ascii="Times New Roman" w:hAnsi="Times New Roman" w:cs="Times New Roman"/>
          <w:bCs/>
          <w:color w:val="FF0000"/>
          <w:sz w:val="24"/>
          <w:szCs w:val="24"/>
        </w:rPr>
        <w:t>pancreatic</w:t>
      </w:r>
      <w:r w:rsidR="00CB4976" w:rsidRPr="007C35FD">
        <w:rPr>
          <w:rFonts w:ascii="Times New Roman" w:hAnsi="Times New Roman" w:cs="Times New Roman"/>
          <w:bCs/>
          <w:color w:val="FF0000"/>
          <w:sz w:val="24"/>
          <w:szCs w:val="24"/>
        </w:rPr>
        <w:t xml:space="preserve"> stone</w:t>
      </w:r>
      <w:r w:rsidR="0093101B" w:rsidRPr="007C35FD">
        <w:rPr>
          <w:rFonts w:ascii="Times New Roman" w:hAnsi="Times New Roman" w:cs="Times New Roman"/>
          <w:bCs/>
          <w:color w:val="FF0000"/>
          <w:sz w:val="24"/>
          <w:szCs w:val="24"/>
        </w:rPr>
        <w:t>s</w:t>
      </w:r>
      <w:r w:rsidR="00CB4976" w:rsidRPr="007C35FD">
        <w:rPr>
          <w:rFonts w:ascii="Times New Roman" w:hAnsi="Times New Roman" w:cs="Times New Roman"/>
          <w:bCs/>
          <w:color w:val="FF0000"/>
          <w:sz w:val="24"/>
          <w:szCs w:val="24"/>
        </w:rPr>
        <w:t xml:space="preserve"> </w:t>
      </w:r>
      <w:r w:rsidR="002B03A8">
        <w:rPr>
          <w:rFonts w:ascii="Times New Roman" w:hAnsi="Times New Roman" w:cs="Times New Roman"/>
          <w:bCs/>
          <w:color w:val="FF0000"/>
          <w:sz w:val="24"/>
          <w:szCs w:val="24"/>
        </w:rPr>
        <w:t>that tend</w:t>
      </w:r>
      <w:r w:rsidR="00DE7941">
        <w:rPr>
          <w:rFonts w:ascii="Times New Roman" w:hAnsi="Times New Roman" w:cs="Times New Roman"/>
          <w:bCs/>
          <w:color w:val="FF0000"/>
          <w:sz w:val="24"/>
          <w:szCs w:val="24"/>
        </w:rPr>
        <w:t xml:space="preserve"> to be</w:t>
      </w:r>
      <w:r w:rsidR="00CB4976" w:rsidRPr="007C35FD">
        <w:rPr>
          <w:rFonts w:ascii="Times New Roman" w:hAnsi="Times New Roman" w:cs="Times New Roman"/>
          <w:bCs/>
          <w:color w:val="FF0000"/>
          <w:sz w:val="24"/>
          <w:szCs w:val="24"/>
        </w:rPr>
        <w:t xml:space="preserve"> dense and spiculated. </w:t>
      </w:r>
      <w:r w:rsidR="009F1BC5">
        <w:rPr>
          <w:rFonts w:ascii="Times New Roman" w:hAnsi="Times New Roman" w:cs="Times New Roman"/>
          <w:bCs/>
          <w:color w:val="FF0000"/>
          <w:sz w:val="24"/>
          <w:szCs w:val="24"/>
        </w:rPr>
        <w:t>I</w:t>
      </w:r>
      <w:r w:rsidR="00CB4976" w:rsidRPr="007C35FD">
        <w:rPr>
          <w:rFonts w:ascii="Times New Roman" w:hAnsi="Times New Roman" w:cs="Times New Roman"/>
          <w:bCs/>
          <w:color w:val="FF0000"/>
          <w:sz w:val="24"/>
          <w:szCs w:val="24"/>
        </w:rPr>
        <w:t>n order to ensure complete</w:t>
      </w:r>
      <w:r w:rsidR="00A9038A">
        <w:rPr>
          <w:rFonts w:ascii="Times New Roman" w:hAnsi="Times New Roman" w:cs="Times New Roman"/>
          <w:bCs/>
          <w:color w:val="FF0000"/>
          <w:sz w:val="24"/>
          <w:szCs w:val="24"/>
        </w:rPr>
        <w:t xml:space="preserve"> stone</w:t>
      </w:r>
      <w:r w:rsidR="00CB4976" w:rsidRPr="007C35FD">
        <w:rPr>
          <w:rFonts w:ascii="Times New Roman" w:hAnsi="Times New Roman" w:cs="Times New Roman"/>
          <w:bCs/>
          <w:color w:val="FF0000"/>
          <w:sz w:val="24"/>
          <w:szCs w:val="24"/>
        </w:rPr>
        <w:t xml:space="preserve"> clearance, </w:t>
      </w:r>
      <w:r w:rsidR="00260927" w:rsidRPr="007C35FD">
        <w:rPr>
          <w:rFonts w:ascii="Times New Roman" w:hAnsi="Times New Roman" w:cs="Times New Roman"/>
          <w:bCs/>
          <w:color w:val="FF0000"/>
          <w:sz w:val="24"/>
          <w:szCs w:val="24"/>
        </w:rPr>
        <w:t>ESWL</w:t>
      </w:r>
      <w:r w:rsidR="00CB4976" w:rsidRPr="007C35FD">
        <w:rPr>
          <w:rFonts w:ascii="Times New Roman" w:hAnsi="Times New Roman" w:cs="Times New Roman"/>
          <w:bCs/>
          <w:color w:val="FF0000"/>
          <w:sz w:val="24"/>
          <w:szCs w:val="24"/>
        </w:rPr>
        <w:t xml:space="preserve"> and ERCP is</w:t>
      </w:r>
      <w:r w:rsidR="009F1BC5">
        <w:rPr>
          <w:rFonts w:ascii="Times New Roman" w:hAnsi="Times New Roman" w:cs="Times New Roman"/>
          <w:bCs/>
          <w:color w:val="FF0000"/>
          <w:sz w:val="24"/>
          <w:szCs w:val="24"/>
        </w:rPr>
        <w:t xml:space="preserve"> therefore</w:t>
      </w:r>
      <w:r w:rsidR="00CB4976" w:rsidRPr="007C35FD">
        <w:rPr>
          <w:rFonts w:ascii="Times New Roman" w:hAnsi="Times New Roman" w:cs="Times New Roman"/>
          <w:bCs/>
          <w:color w:val="FF0000"/>
          <w:sz w:val="24"/>
          <w:szCs w:val="24"/>
        </w:rPr>
        <w:t xml:space="preserve"> performed together</w:t>
      </w:r>
      <w:r w:rsidR="009F1BC5">
        <w:rPr>
          <w:rFonts w:ascii="Times New Roman" w:hAnsi="Times New Roman" w:cs="Times New Roman"/>
          <w:bCs/>
          <w:color w:val="FF0000"/>
          <w:sz w:val="24"/>
          <w:szCs w:val="24"/>
        </w:rPr>
        <w:t xml:space="preserve"> </w:t>
      </w:r>
      <w:r w:rsidR="00A5434A">
        <w:rPr>
          <w:rFonts w:ascii="Times New Roman" w:hAnsi="Times New Roman" w:cs="Times New Roman"/>
          <w:bCs/>
          <w:color w:val="FF0000"/>
          <w:sz w:val="24"/>
          <w:szCs w:val="24"/>
        </w:rPr>
        <w:t xml:space="preserve">and </w:t>
      </w:r>
      <w:r w:rsidR="009F1BC5">
        <w:rPr>
          <w:rFonts w:ascii="Times New Roman" w:hAnsi="Times New Roman" w:cs="Times New Roman"/>
          <w:bCs/>
          <w:color w:val="FF0000"/>
          <w:sz w:val="24"/>
          <w:szCs w:val="24"/>
        </w:rPr>
        <w:t>in</w:t>
      </w:r>
      <w:r w:rsidR="00A5434A">
        <w:rPr>
          <w:rFonts w:ascii="Times New Roman" w:hAnsi="Times New Roman" w:cs="Times New Roman"/>
          <w:bCs/>
          <w:color w:val="FF0000"/>
          <w:sz w:val="24"/>
          <w:szCs w:val="24"/>
        </w:rPr>
        <w:t xml:space="preserve"> agreement with clinical practice in</w:t>
      </w:r>
      <w:r w:rsidR="009F1BC5">
        <w:rPr>
          <w:rFonts w:ascii="Times New Roman" w:hAnsi="Times New Roman" w:cs="Times New Roman"/>
          <w:bCs/>
          <w:color w:val="FF0000"/>
          <w:sz w:val="24"/>
          <w:szCs w:val="24"/>
        </w:rPr>
        <w:t xml:space="preserve"> most centers</w:t>
      </w:r>
      <w:r w:rsidR="00C7581D" w:rsidRPr="007C35FD">
        <w:rPr>
          <w:rFonts w:ascii="Times New Roman" w:hAnsi="Times New Roman" w:cs="Times New Roman"/>
          <w:bCs/>
          <w:color w:val="FF0000"/>
          <w:sz w:val="24"/>
          <w:szCs w:val="24"/>
        </w:rPr>
        <w:t xml:space="preserve"> </w:t>
      </w:r>
      <w:r w:rsidR="004D0981" w:rsidRPr="007C35FD">
        <w:rPr>
          <w:rFonts w:ascii="Times New Roman" w:hAnsi="Times New Roman" w:cs="Times New Roman"/>
          <w:bCs/>
          <w:color w:val="FF0000"/>
          <w:sz w:val="24"/>
          <w:szCs w:val="24"/>
        </w:rPr>
        <w:fldChar w:fldCharType="begin" w:fldLock="1"/>
      </w:r>
      <w:r w:rsidR="004D0981" w:rsidRPr="007C35FD">
        <w:rPr>
          <w:rFonts w:ascii="Times New Roman" w:hAnsi="Times New Roman" w:cs="Times New Roman"/>
          <w:bCs/>
          <w:color w:val="FF0000"/>
          <w:sz w:val="24"/>
          <w:szCs w:val="24"/>
        </w:rPr>
        <w:instrText>ADDIN CSL_CITATION {"citationItems":[{"id":"ITEM-1","itemData":{"DOI":"10.1016/j.pan.2019.08.001","ISSN":"1424-3911","PMID":"31447280","abstract":"INTRODUCTION The primary aim of this study was to evaluate efficacy, safety and short-term pain relief after ESWL for large pancreatic calculi in over 5000 patients at a single center. METHODS This is a retrospective analysis of prospectively collected data. Patients with painful calculi &gt;5 mm, located in the head, neck and body region in the MPD, who were not amenable for extraction by the standard procedure of endoscopic pancreatic sphincterotomy were subjected to ESWL using a third generation dual focus lithotripter. Patients were followed up at 6 months for outcome evaluation. RESULTS A total of 5124 patients (66% males) were subjected to ESWL. Majority of stones (79.2%) were radiopaque. Single calculi were seen in 3851 (75.1%).The majority of stones were located in head region of MPD in 2824 (55.1%) patients. 4386 (85.5%) patients required 3 or less sessions for fragmentation and complete stone clearance was achieved in 3722 (72.6%). EPS was performed in 5022 (98%) while PD stenting was required in 3536 (69%) patients. Of the 4280 patients followed up for 6 months, 3529 (82.6%) patients were pain free. Another 512 (11.9%) patients had significant reduction in VAS score. In 229 (5.3%) there was no decrease in pain intensity. Minor and self-limiting complications were reported in 1153 (22.5%). DISCUSSION Our study confirms the safety and efficacy and short-term pain relief of ESWL for large calculi in the MPD. In properly selected patients, this should be offered as the first line of therapy for all large MPD calculi not amenable to the standard techniques of stone extraction.","author":[{"dropping-particle":"","family":"Tandan","given":"Manu","non-dropping-particle":"","parse-names":false,"suffix":""},{"dropping-particle":"","family":"Nageshwar Reddy","given":"D","non-dropping-particle":"","parse-names":false,"suffix":""},{"dropping-particle":"","family":"Talukdar","given":"Rupjyoti","non-dropping-particle":"","parse-names":false,"suffix":""},{"dropping-particle":"","family":"Vinod","given":"K","non-dropping-particle":"","parse-names":false,"suffix":""},{"dropping-particle":"","family":"Kiran","given":"S V V S","non-dropping-particle":"","parse-names":false,"suffix":""},{"dropping-particle":"","family":"Santosh","given":"D","non-dropping-particle":"","parse-names":false,"suffix":""},{"dropping-particle":"","family":"Gupta","given":"Rajesh","non-dropping-particle":"","parse-names":false,"suffix":""},{"dropping-particle":"","family":"Ramchandani","given":"Mohan","non-dropping-particle":"","parse-names":false,"suffix":""},{"dropping-particle":"","family":"Lakhtakia","given":"Sundeep","non-dropping-particle":"","parse-names":false,"suffix":""},{"dropping-particle":"","family":"Rakesh","given":"K","non-dropping-particle":"","parse-names":false,"suffix":""},{"dropping-particle":"","family":"Manohar Reddy","given":"P","non-dropping-particle":"","parse-names":false,"suffix":""},{"dropping-particle":"","family":"Basha","given":"Jahangeer","non-dropping-particle":"","parse-names":false,"suffix":""},{"dropping-particle":"","family":"Nabi","given":"Zaheer","non-dropping-particle":"","parse-names":false,"suffix":""},{"dropping-particle":"","family":"Jagtap","given":"Nitin","non-dropping-particle":"","parse-names":false,"suffix":""},{"dropping-particle":"V","family":"Rao","given":"G","non-dropping-particle":"","parse-names":false,"suffix":""}],"container-title":"Pancreatology : official journal of the International Association of Pancreatology (IAP) ... [et al.]","id":"ITEM-1","issue":"7","issued":{"date-parts":[["2019","10"]]},"page":"916-921","title":"ESWL for large pancreatic calculi: Report of over 5000 patients.","type":"article-journal","volume":"19"},"uris":["http://www.mendeley.com/documents/?uuid=ef9452c5-7b22-4858-934e-f585d79d3dc8"]},{"id":"ITEM-2","itemData":{"DOI":"10.1016/j.gie.2013.05.012","ISSN":"1097-6779","PMID":"23891416","abstract":"BACKGROUND Long-term results of extracorporeal shockwave lithotripsy (ESWL) for large pancreatic duct (PD) stones in patients with idiopathic calcific pancreatitis (CP) are scanty. OBJECTIVE To evaluate intermediate and long-term results of ESWL in a large cohort of patients with idiopathic CP. DESIGN Cross-sectional study; retrospective chart review. SETTING A high-volume, tertiary-care center for endoscopy and GI diseases. PATIENTS A total of 636 patients with idiopathic CP who underwent ESWL and ERCP were followed-up. Patients were divided into intermediate (24-60 months) and long-term (&gt;60 months) follow-up groups. INTERVENTION ESWL and ERCP. MAIN OUTCOME MEASUREMENTS Improvement in pain, analgesic use, hospitalization for pain, recurrence of calculi, need for additional intervention, and quality of life. RESULTS A total of 636 of 1006 patients who underwent ESWL between 2004 and 2009 were followed for a maximum of 96 months. There were 364 patients in the intermediate follow-up group and 272 in the long-term follow-up group. After ESWL and ERCP, absence of pain was seen in 250 patients (68.7%), mild-to-moderate pain in 94 patients (25.4%), and severe pain in 20 patients (5.5%) of the intermediate group. In the long-term group, 164 patients (60.3%) had no pain, 97 patients (35.7%) had mild or moderate episodes of pain, whereas 11 patients (4.04%) had episodic severe pain. Recurrence of calculi was seen in 51 patients (14.01%) in the intermediate follow-up group and in 62 patients (22.8%) in the long-term group. Quality of life improved in a significant number of patients in both groups. LIMITATIONS Retrospective study, single center, recall bias, and subjective pain and quality-of-life measurement scale. CONCLUSION ESWL for large PD calculi offers good results in patients of idiopathic CP on intermediate and long-term follow-up.","author":[{"dropping-particle":"","family":"Tandan","given":"Manu","non-dropping-particle":"","parse-names":false,"suffix":""},{"dropping-particle":"","family":"Reddy","given":"Duvvur Nageshwar","non-dropping-particle":"","parse-names":false,"suffix":""},{"dropping-particle":"","family":"Talukdar","given":"Rupjyoti","non-dropping-particle":"","parse-names":false,"suffix":""},{"dropping-particle":"","family":"Vinod","given":"Koppuju","non-dropping-particle":"","parse-names":false,"suffix":""},{"dropping-particle":"","family":"Santosh","given":"Darisetty","non-dropping-particle":"","parse-names":false,"suffix":""},{"dropping-particle":"","family":"Lakhtakia","given":"Sundeep","non-dropping-particle":"","parse-names":false,"suffix":""},{"dropping-particle":"","family":"Gupta","given":"Rajesh","non-dropping-particle":"","parse-names":false,"suffix":""},{"dropping-particle":"","family":"Ramchandani","given":"Mohan J","non-dropping-particle":"","parse-names":false,"suffix":""},{"dropping-particle":"","family":"Banerjee","given":"Rupa","non-dropping-particle":"","parse-names":false,"suffix":""},{"dropping-particle":"","family":"Rakesh","given":"Kalapala","non-dropping-particle":"","parse-names":false,"suffix":""},{"dropping-particle":"","family":"Varadaraj","given":"Gokak","non-dropping-particle":"","parse-names":false,"suffix":""},{"dropping-particle":"","family":"Rao","given":"Guduru Venkat","non-dropping-particle":"","parse-names":false,"suffix":""}],"container-title":"Gastrointestinal endoscopy","id":"ITEM-2","issue":"5","issued":{"date-parts":[["2013","11"]]},"page":"726-33","title":"Long-term clinical outcomes of extracorporeal shockwave lithotripsy in painful chronic calcific pancreatitis.","type":"article-journal","volume":"78"},"uris":["http://www.mendeley.com/documents/?uuid=735000d7-c76c-48df-963e-812382217709"]}],"mendeley":{"formattedCitation":"[10,31]","plainTextFormattedCitation":"[10,31]"},"properties":{"noteIndex":0},"schema":"https://github.com/citation-style-language/schema/raw/master/csl-citation.json"}</w:instrText>
      </w:r>
      <w:r w:rsidR="004D0981" w:rsidRPr="007C35FD">
        <w:rPr>
          <w:rFonts w:ascii="Times New Roman" w:hAnsi="Times New Roman" w:cs="Times New Roman"/>
          <w:bCs/>
          <w:color w:val="FF0000"/>
          <w:sz w:val="24"/>
          <w:szCs w:val="24"/>
        </w:rPr>
        <w:fldChar w:fldCharType="separate"/>
      </w:r>
      <w:r w:rsidR="004D0981" w:rsidRPr="007C35FD">
        <w:rPr>
          <w:rFonts w:ascii="Times New Roman" w:hAnsi="Times New Roman" w:cs="Times New Roman"/>
          <w:bCs/>
          <w:noProof/>
          <w:color w:val="FF0000"/>
          <w:sz w:val="24"/>
          <w:szCs w:val="24"/>
        </w:rPr>
        <w:t>[10,31]</w:t>
      </w:r>
      <w:r w:rsidR="004D0981" w:rsidRPr="007C35FD">
        <w:rPr>
          <w:rFonts w:ascii="Times New Roman" w:hAnsi="Times New Roman" w:cs="Times New Roman"/>
          <w:bCs/>
          <w:color w:val="FF0000"/>
          <w:sz w:val="24"/>
          <w:szCs w:val="24"/>
        </w:rPr>
        <w:fldChar w:fldCharType="end"/>
      </w:r>
      <w:r w:rsidR="00CB4976" w:rsidRPr="007C35FD">
        <w:rPr>
          <w:rFonts w:ascii="Times New Roman" w:hAnsi="Times New Roman" w:cs="Times New Roman"/>
          <w:bCs/>
          <w:color w:val="FF0000"/>
          <w:sz w:val="24"/>
          <w:szCs w:val="24"/>
        </w:rPr>
        <w:t>.</w:t>
      </w:r>
      <w:r w:rsidR="00CB4976" w:rsidRPr="007C35FD">
        <w:rPr>
          <w:rFonts w:ascii="Times New Roman" w:hAnsi="Times New Roman" w:cs="Times New Roman"/>
          <w:bCs/>
          <w:color w:val="000000" w:themeColor="text1"/>
          <w:sz w:val="24"/>
          <w:szCs w:val="24"/>
        </w:rPr>
        <w:t xml:space="preserve"> </w:t>
      </w:r>
    </w:p>
    <w:p w14:paraId="09706A7A" w14:textId="77777777" w:rsidR="00F03DD3" w:rsidRDefault="00EA6A5C" w:rsidP="00F03DD3">
      <w:pPr>
        <w:spacing w:line="480" w:lineRule="auto"/>
        <w:ind w:firstLine="567"/>
        <w:jc w:val="both"/>
        <w:rPr>
          <w:rFonts w:ascii="Times New Roman" w:eastAsia="Times New Roman" w:hAnsi="Times New Roman" w:cs="Times New Roman"/>
          <w:color w:val="FF0000"/>
          <w:sz w:val="24"/>
          <w:szCs w:val="24"/>
          <w:lang w:eastAsia="da-DK"/>
        </w:rPr>
      </w:pPr>
      <w:r w:rsidRPr="007C35FD">
        <w:rPr>
          <w:rFonts w:ascii="Times New Roman" w:hAnsi="Times New Roman" w:cs="Times New Roman"/>
          <w:bCs/>
          <w:color w:val="000000" w:themeColor="text1"/>
          <w:sz w:val="24"/>
          <w:szCs w:val="24"/>
          <w:lang w:val="en-GB"/>
        </w:rPr>
        <w:t xml:space="preserve">ESWL will be conducted under epidural anaesthesia. For epidural anaesthesia, bupivacaine will be used to block the 6-12 </w:t>
      </w:r>
      <w:r w:rsidR="003E16D8" w:rsidRPr="007C35FD">
        <w:rPr>
          <w:rFonts w:ascii="Times New Roman" w:hAnsi="Times New Roman" w:cs="Times New Roman"/>
          <w:bCs/>
          <w:color w:val="000000" w:themeColor="text1"/>
          <w:sz w:val="24"/>
          <w:szCs w:val="24"/>
          <w:lang w:val="en-GB"/>
        </w:rPr>
        <w:t xml:space="preserve">thoracic </w:t>
      </w:r>
      <w:r w:rsidRPr="007C35FD">
        <w:rPr>
          <w:rFonts w:ascii="Times New Roman" w:hAnsi="Times New Roman" w:cs="Times New Roman"/>
          <w:bCs/>
          <w:color w:val="000000" w:themeColor="text1"/>
          <w:sz w:val="24"/>
          <w:szCs w:val="24"/>
          <w:lang w:val="en-GB"/>
        </w:rPr>
        <w:t xml:space="preserve">spinal segments. The patient’s eyes will be lightly covered </w:t>
      </w:r>
      <w:r w:rsidR="00C86D88" w:rsidRPr="007C35FD">
        <w:rPr>
          <w:rFonts w:ascii="Times New Roman" w:hAnsi="Times New Roman" w:cs="Times New Roman"/>
          <w:bCs/>
          <w:color w:val="000000" w:themeColor="text1"/>
          <w:sz w:val="24"/>
          <w:szCs w:val="24"/>
          <w:lang w:val="en-GB"/>
        </w:rPr>
        <w:t xml:space="preserve">during </w:t>
      </w:r>
      <w:r w:rsidRPr="007C35FD">
        <w:rPr>
          <w:rFonts w:ascii="Times New Roman" w:hAnsi="Times New Roman" w:cs="Times New Roman"/>
          <w:bCs/>
          <w:color w:val="000000" w:themeColor="text1"/>
          <w:sz w:val="24"/>
          <w:szCs w:val="24"/>
          <w:lang w:val="en-GB"/>
        </w:rPr>
        <w:t xml:space="preserve">the procedure. Once epidural </w:t>
      </w:r>
      <w:r w:rsidR="001C007F" w:rsidRPr="007C35FD">
        <w:rPr>
          <w:rFonts w:ascii="Times New Roman" w:hAnsi="Times New Roman" w:cs="Times New Roman"/>
          <w:bCs/>
          <w:color w:val="000000" w:themeColor="text1"/>
          <w:sz w:val="24"/>
          <w:szCs w:val="24"/>
          <w:lang w:val="en-GB"/>
        </w:rPr>
        <w:t>anaesthesia</w:t>
      </w:r>
      <w:r w:rsidRPr="007C35FD">
        <w:rPr>
          <w:rFonts w:ascii="Times New Roman" w:hAnsi="Times New Roman" w:cs="Times New Roman"/>
          <w:bCs/>
          <w:color w:val="000000" w:themeColor="text1"/>
          <w:sz w:val="24"/>
          <w:szCs w:val="24"/>
          <w:lang w:val="en-GB"/>
        </w:rPr>
        <w:t xml:space="preserve"> is achieved, the patient will be given a light sedation and ESWL will be performed using a </w:t>
      </w:r>
      <w:r w:rsidR="00BA5FE8" w:rsidRPr="007C35FD">
        <w:rPr>
          <w:rFonts w:ascii="Times New Roman" w:hAnsi="Times New Roman" w:cs="Times New Roman"/>
          <w:bCs/>
          <w:color w:val="000000" w:themeColor="text1"/>
          <w:sz w:val="24"/>
          <w:szCs w:val="24"/>
          <w:lang w:val="en-GB"/>
        </w:rPr>
        <w:t xml:space="preserve">third generation </w:t>
      </w:r>
      <w:r w:rsidRPr="007C35FD">
        <w:rPr>
          <w:rFonts w:ascii="Times New Roman" w:hAnsi="Times New Roman" w:cs="Times New Roman"/>
          <w:bCs/>
          <w:color w:val="000000" w:themeColor="text1"/>
          <w:sz w:val="24"/>
          <w:szCs w:val="24"/>
          <w:lang w:val="en-GB"/>
        </w:rPr>
        <w:t xml:space="preserve">Dornier dual focus lithotripsy system </w:t>
      </w:r>
      <w:r w:rsidR="00C246B6" w:rsidRPr="007C35FD">
        <w:rPr>
          <w:rFonts w:ascii="Times New Roman" w:hAnsi="Times New Roman" w:cs="Times New Roman"/>
          <w:bCs/>
          <w:color w:val="000000" w:themeColor="text1"/>
          <w:sz w:val="24"/>
          <w:szCs w:val="24"/>
          <w:lang w:val="en-GB"/>
        </w:rPr>
        <w:t>(</w:t>
      </w:r>
      <w:r w:rsidR="001F10D1" w:rsidRPr="007C35FD">
        <w:rPr>
          <w:rFonts w:ascii="Times New Roman" w:hAnsi="Times New Roman" w:cs="Times New Roman"/>
          <w:bCs/>
          <w:color w:val="000000" w:themeColor="text1"/>
          <w:sz w:val="24"/>
          <w:szCs w:val="24"/>
          <w:lang w:val="en-GB"/>
        </w:rPr>
        <w:t>Dornier Delta 3</w:t>
      </w:r>
      <w:r w:rsidR="0018638E" w:rsidRPr="007C35FD">
        <w:rPr>
          <w:rFonts w:ascii="Times New Roman" w:hAnsi="Times New Roman" w:cs="Times New Roman"/>
          <w:bCs/>
          <w:color w:val="000000" w:themeColor="text1"/>
          <w:sz w:val="24"/>
          <w:szCs w:val="24"/>
          <w:lang w:val="en-GB"/>
        </w:rPr>
        <w:t xml:space="preserve">, </w:t>
      </w:r>
      <w:r w:rsidR="0018638E" w:rsidRPr="007C35FD">
        <w:rPr>
          <w:rFonts w:ascii="Times New Roman" w:eastAsia="Times New Roman" w:hAnsi="Times New Roman" w:cs="Times New Roman"/>
          <w:bCs/>
          <w:color w:val="1E1E1E"/>
          <w:sz w:val="24"/>
          <w:szCs w:val="24"/>
          <w:lang w:val="en-GB" w:eastAsia="da-DK"/>
        </w:rPr>
        <w:t xml:space="preserve">Dornier MedTech GmbH, </w:t>
      </w:r>
      <w:r w:rsidR="003469B7" w:rsidRPr="007C35FD">
        <w:rPr>
          <w:rFonts w:ascii="Times New Roman" w:eastAsia="Times New Roman" w:hAnsi="Times New Roman" w:cs="Times New Roman"/>
          <w:bCs/>
          <w:color w:val="1E1E1E"/>
          <w:sz w:val="24"/>
          <w:szCs w:val="24"/>
          <w:lang w:val="en-GB" w:eastAsia="da-DK"/>
        </w:rPr>
        <w:t>Germany</w:t>
      </w:r>
      <w:r w:rsidR="00C246B6" w:rsidRPr="007C35FD">
        <w:rPr>
          <w:rFonts w:ascii="Times New Roman" w:hAnsi="Times New Roman" w:cs="Times New Roman"/>
          <w:bCs/>
          <w:color w:val="000000" w:themeColor="text1"/>
          <w:sz w:val="24"/>
          <w:szCs w:val="24"/>
          <w:lang w:val="en-GB"/>
        </w:rPr>
        <w:t xml:space="preserve">) </w:t>
      </w:r>
      <w:r w:rsidRPr="007C35FD">
        <w:rPr>
          <w:rFonts w:ascii="Times New Roman" w:hAnsi="Times New Roman" w:cs="Times New Roman"/>
          <w:bCs/>
          <w:color w:val="000000" w:themeColor="text1"/>
          <w:sz w:val="24"/>
          <w:szCs w:val="24"/>
          <w:lang w:val="en-GB"/>
        </w:rPr>
        <w:t xml:space="preserve">providing a maximum of 5000 </w:t>
      </w:r>
      <w:r w:rsidR="00377232" w:rsidRPr="007C35FD">
        <w:rPr>
          <w:rFonts w:ascii="Times New Roman" w:hAnsi="Times New Roman" w:cs="Times New Roman"/>
          <w:bCs/>
          <w:color w:val="000000" w:themeColor="text1"/>
          <w:sz w:val="24"/>
          <w:szCs w:val="24"/>
          <w:lang w:val="en-GB"/>
        </w:rPr>
        <w:t xml:space="preserve">shocks </w:t>
      </w:r>
      <w:r w:rsidRPr="007C35FD">
        <w:rPr>
          <w:rFonts w:ascii="Times New Roman" w:hAnsi="Times New Roman" w:cs="Times New Roman"/>
          <w:bCs/>
          <w:color w:val="000000" w:themeColor="text1"/>
          <w:sz w:val="24"/>
          <w:szCs w:val="24"/>
          <w:lang w:val="en-GB"/>
        </w:rPr>
        <w:t>at the rate of 90 shocks per minute</w:t>
      </w:r>
      <w:r w:rsidR="00B5236A" w:rsidRPr="007C35FD">
        <w:rPr>
          <w:rFonts w:ascii="Times New Roman" w:hAnsi="Times New Roman" w:cs="Times New Roman"/>
          <w:bCs/>
          <w:color w:val="000000" w:themeColor="text1"/>
          <w:sz w:val="24"/>
          <w:szCs w:val="24"/>
          <w:lang w:val="en-GB"/>
        </w:rPr>
        <w:t>.</w:t>
      </w:r>
      <w:r w:rsidRPr="007C35FD">
        <w:rPr>
          <w:rFonts w:ascii="Times New Roman" w:hAnsi="Times New Roman" w:cs="Times New Roman"/>
          <w:bCs/>
          <w:color w:val="000000" w:themeColor="text1"/>
          <w:sz w:val="24"/>
          <w:szCs w:val="24"/>
          <w:lang w:val="en-GB"/>
        </w:rPr>
        <w:t xml:space="preserve"> </w:t>
      </w:r>
      <w:r w:rsidR="00B5236A" w:rsidRPr="00776912">
        <w:rPr>
          <w:rFonts w:ascii="Times New Roman" w:hAnsi="Times New Roman" w:cs="Times New Roman"/>
          <w:bCs/>
          <w:color w:val="FF0000"/>
          <w:sz w:val="24"/>
          <w:szCs w:val="24"/>
          <w:lang w:val="en-GB"/>
        </w:rPr>
        <w:t>I</w:t>
      </w:r>
      <w:r w:rsidR="00B5236A" w:rsidRPr="00776912">
        <w:rPr>
          <w:rFonts w:ascii="Times New Roman" w:eastAsia="Times New Roman" w:hAnsi="Times New Roman" w:cs="Times New Roman"/>
          <w:color w:val="FF0000"/>
          <w:sz w:val="24"/>
          <w:szCs w:val="24"/>
          <w:lang w:eastAsia="da-DK"/>
        </w:rPr>
        <w:t xml:space="preserve">f </w:t>
      </w:r>
      <w:r w:rsidR="00B5236A" w:rsidRPr="007C35FD">
        <w:rPr>
          <w:rFonts w:ascii="Times New Roman" w:eastAsia="Times New Roman" w:hAnsi="Times New Roman" w:cs="Times New Roman"/>
          <w:color w:val="FF0000"/>
          <w:sz w:val="24"/>
          <w:szCs w:val="24"/>
          <w:lang w:eastAsia="da-DK"/>
        </w:rPr>
        <w:t xml:space="preserve">complete stone clearance is not achieved during the first ESWL session, a second session will be scheduled the </w:t>
      </w:r>
      <w:r w:rsidR="00E37D0B">
        <w:rPr>
          <w:rFonts w:ascii="Times New Roman" w:eastAsia="Times New Roman" w:hAnsi="Times New Roman" w:cs="Times New Roman"/>
          <w:color w:val="FF0000"/>
          <w:sz w:val="24"/>
          <w:szCs w:val="24"/>
          <w:lang w:eastAsia="da-DK"/>
        </w:rPr>
        <w:t>following</w:t>
      </w:r>
      <w:r w:rsidR="00B5236A" w:rsidRPr="007C35FD">
        <w:rPr>
          <w:rFonts w:ascii="Times New Roman" w:eastAsia="Times New Roman" w:hAnsi="Times New Roman" w:cs="Times New Roman"/>
          <w:color w:val="FF0000"/>
          <w:sz w:val="24"/>
          <w:szCs w:val="24"/>
          <w:lang w:eastAsia="da-DK"/>
        </w:rPr>
        <w:t xml:space="preserve"> day. </w:t>
      </w:r>
    </w:p>
    <w:p w14:paraId="5BA561FF" w14:textId="2980271C" w:rsidR="009109B6" w:rsidRDefault="00A80C92" w:rsidP="00F03DD3">
      <w:pPr>
        <w:spacing w:line="480" w:lineRule="auto"/>
        <w:ind w:firstLine="567"/>
        <w:jc w:val="both"/>
        <w:rPr>
          <w:rFonts w:ascii="Times New Roman" w:hAnsi="Times New Roman" w:cs="Times New Roman"/>
          <w:bCs/>
          <w:color w:val="FF0000"/>
          <w:sz w:val="24"/>
          <w:szCs w:val="24"/>
          <w:lang w:val="en-GB"/>
        </w:rPr>
      </w:pPr>
      <w:r w:rsidRPr="007C35FD">
        <w:rPr>
          <w:rFonts w:ascii="Times New Roman" w:hAnsi="Times New Roman" w:cs="Times New Roman"/>
          <w:bCs/>
          <w:sz w:val="24"/>
          <w:szCs w:val="24"/>
          <w:lang w:val="en-GB"/>
        </w:rPr>
        <w:t>After lithotripsy, stone fragments will be removed during a</w:t>
      </w:r>
      <w:r w:rsidR="00CB22B9" w:rsidRPr="007C35FD">
        <w:rPr>
          <w:rFonts w:ascii="Times New Roman" w:hAnsi="Times New Roman" w:cs="Times New Roman"/>
          <w:bCs/>
          <w:sz w:val="24"/>
          <w:szCs w:val="24"/>
          <w:lang w:val="en-GB"/>
        </w:rPr>
        <w:t>n</w:t>
      </w:r>
      <w:r w:rsidRPr="007C35FD">
        <w:rPr>
          <w:rFonts w:ascii="Times New Roman" w:hAnsi="Times New Roman" w:cs="Times New Roman"/>
          <w:bCs/>
          <w:sz w:val="24"/>
          <w:szCs w:val="24"/>
          <w:lang w:val="en-GB"/>
        </w:rPr>
        <w:t xml:space="preserve"> </w:t>
      </w:r>
      <w:r w:rsidR="00EA6A5C" w:rsidRPr="007C35FD">
        <w:rPr>
          <w:rFonts w:ascii="Times New Roman" w:hAnsi="Times New Roman" w:cs="Times New Roman"/>
          <w:bCs/>
          <w:color w:val="000000" w:themeColor="text1"/>
          <w:sz w:val="24"/>
          <w:szCs w:val="24"/>
          <w:lang w:val="en-GB"/>
        </w:rPr>
        <w:t>ERCP</w:t>
      </w:r>
      <w:r w:rsidR="00F6584A" w:rsidRPr="007C35FD">
        <w:rPr>
          <w:rFonts w:ascii="Times New Roman" w:hAnsi="Times New Roman" w:cs="Times New Roman"/>
          <w:bCs/>
          <w:color w:val="000000" w:themeColor="text1"/>
          <w:sz w:val="24"/>
          <w:szCs w:val="24"/>
          <w:lang w:val="en-GB"/>
        </w:rPr>
        <w:t xml:space="preserve"> procedure</w:t>
      </w:r>
      <w:r w:rsidR="00F50272" w:rsidRPr="007C35FD">
        <w:rPr>
          <w:rFonts w:ascii="Times New Roman" w:hAnsi="Times New Roman" w:cs="Times New Roman"/>
          <w:bCs/>
          <w:sz w:val="24"/>
          <w:szCs w:val="24"/>
          <w:lang w:val="en-GB"/>
        </w:rPr>
        <w:t xml:space="preserve">. </w:t>
      </w:r>
      <w:r w:rsidR="00C246B6" w:rsidRPr="007C35FD">
        <w:rPr>
          <w:rFonts w:ascii="Times New Roman" w:hAnsi="Times New Roman" w:cs="Times New Roman"/>
          <w:bCs/>
          <w:sz w:val="24"/>
          <w:szCs w:val="24"/>
          <w:lang w:val="en-GB"/>
        </w:rPr>
        <w:t xml:space="preserve">An endoscopic pancreatic sphincterotomy </w:t>
      </w:r>
      <w:r w:rsidR="001F10D1" w:rsidRPr="007C35FD">
        <w:rPr>
          <w:rFonts w:ascii="Times New Roman" w:hAnsi="Times New Roman" w:cs="Times New Roman"/>
          <w:bCs/>
          <w:sz w:val="24"/>
          <w:szCs w:val="24"/>
          <w:lang w:val="en-GB"/>
        </w:rPr>
        <w:t>will be</w:t>
      </w:r>
      <w:r w:rsidR="00C246B6" w:rsidRPr="007C35FD">
        <w:rPr>
          <w:rFonts w:ascii="Times New Roman" w:hAnsi="Times New Roman" w:cs="Times New Roman"/>
          <w:bCs/>
          <w:sz w:val="24"/>
          <w:szCs w:val="24"/>
          <w:lang w:val="en-GB"/>
        </w:rPr>
        <w:t xml:space="preserve"> performed and c</w:t>
      </w:r>
      <w:r w:rsidR="00577044" w:rsidRPr="007C35FD">
        <w:rPr>
          <w:rFonts w:ascii="Times New Roman" w:hAnsi="Times New Roman" w:cs="Times New Roman"/>
          <w:bCs/>
          <w:sz w:val="24"/>
          <w:szCs w:val="24"/>
          <w:lang w:val="en-GB"/>
        </w:rPr>
        <w:t>omplete stone removal will be attempted</w:t>
      </w:r>
      <w:r w:rsidR="00D375EC" w:rsidRPr="007C35FD">
        <w:rPr>
          <w:rFonts w:ascii="Times New Roman" w:hAnsi="Times New Roman" w:cs="Times New Roman"/>
          <w:bCs/>
          <w:sz w:val="24"/>
          <w:szCs w:val="24"/>
          <w:lang w:val="en-GB"/>
        </w:rPr>
        <w:t xml:space="preserve"> </w:t>
      </w:r>
      <w:r w:rsidR="009F6272" w:rsidRPr="007C35FD">
        <w:rPr>
          <w:rFonts w:ascii="Times New Roman" w:hAnsi="Times New Roman" w:cs="Times New Roman"/>
          <w:bCs/>
          <w:color w:val="FF0000"/>
          <w:sz w:val="24"/>
          <w:szCs w:val="24"/>
          <w:lang w:val="en-GB"/>
        </w:rPr>
        <w:t>with registration</w:t>
      </w:r>
      <w:r w:rsidR="002740BE" w:rsidRPr="007C35FD">
        <w:rPr>
          <w:rFonts w:ascii="Times New Roman" w:hAnsi="Times New Roman" w:cs="Times New Roman"/>
          <w:bCs/>
          <w:color w:val="FF0000"/>
          <w:sz w:val="24"/>
          <w:szCs w:val="24"/>
          <w:lang w:val="en-GB"/>
        </w:rPr>
        <w:t xml:space="preserve"> of</w:t>
      </w:r>
      <w:r w:rsidR="00D375EC" w:rsidRPr="007C35FD">
        <w:rPr>
          <w:rFonts w:ascii="Times New Roman" w:hAnsi="Times New Roman" w:cs="Times New Roman"/>
          <w:bCs/>
          <w:color w:val="FF0000"/>
          <w:sz w:val="24"/>
          <w:szCs w:val="24"/>
          <w:lang w:val="en-GB"/>
        </w:rPr>
        <w:t xml:space="preserve"> </w:t>
      </w:r>
      <w:r w:rsidR="00B53C3E" w:rsidRPr="007C35FD">
        <w:rPr>
          <w:rFonts w:ascii="Times New Roman" w:hAnsi="Times New Roman" w:cs="Times New Roman"/>
          <w:bCs/>
          <w:color w:val="FF0000"/>
          <w:sz w:val="24"/>
          <w:szCs w:val="24"/>
          <w:lang w:val="en-GB"/>
        </w:rPr>
        <w:t>pancreatic duct clearance</w:t>
      </w:r>
      <w:r w:rsidR="003A0FC8" w:rsidRPr="007C35FD">
        <w:rPr>
          <w:rFonts w:ascii="Times New Roman" w:hAnsi="Times New Roman" w:cs="Times New Roman"/>
          <w:bCs/>
          <w:color w:val="FF0000"/>
          <w:sz w:val="24"/>
          <w:szCs w:val="24"/>
          <w:lang w:val="en-GB"/>
        </w:rPr>
        <w:t xml:space="preserve">. </w:t>
      </w:r>
      <w:r w:rsidR="00B5236A" w:rsidRPr="007C35FD">
        <w:rPr>
          <w:rFonts w:ascii="Times New Roman" w:hAnsi="Times New Roman" w:cs="Times New Roman"/>
          <w:bCs/>
          <w:color w:val="FF0000"/>
          <w:sz w:val="24"/>
          <w:szCs w:val="24"/>
        </w:rPr>
        <w:t xml:space="preserve">If cannulation fails after a maximum of 5 attempts, the patient will be subjected to precut sphincterotomy. </w:t>
      </w:r>
      <w:r w:rsidR="003A0FC8" w:rsidRPr="007C35FD">
        <w:rPr>
          <w:rFonts w:ascii="Times New Roman" w:eastAsia="Times New Roman" w:hAnsi="Times New Roman" w:cs="Times New Roman"/>
          <w:color w:val="FF0000"/>
          <w:sz w:val="24"/>
          <w:szCs w:val="24"/>
          <w:lang w:eastAsia="da-DK"/>
        </w:rPr>
        <w:t>In case a pancreatic duct stricture is identified during the ER</w:t>
      </w:r>
      <w:r w:rsidR="00AF01C9" w:rsidRPr="007C35FD">
        <w:rPr>
          <w:rFonts w:ascii="Times New Roman" w:eastAsia="Times New Roman" w:hAnsi="Times New Roman" w:cs="Times New Roman"/>
          <w:color w:val="FF0000"/>
          <w:sz w:val="24"/>
          <w:szCs w:val="24"/>
          <w:lang w:eastAsia="da-DK"/>
        </w:rPr>
        <w:t>C</w:t>
      </w:r>
      <w:r w:rsidR="003A0FC8" w:rsidRPr="007C35FD">
        <w:rPr>
          <w:rFonts w:ascii="Times New Roman" w:eastAsia="Times New Roman" w:hAnsi="Times New Roman" w:cs="Times New Roman"/>
          <w:color w:val="FF0000"/>
          <w:sz w:val="24"/>
          <w:szCs w:val="24"/>
          <w:lang w:eastAsia="da-DK"/>
        </w:rPr>
        <w:t>P procedure</w:t>
      </w:r>
      <w:r w:rsidR="00011C69" w:rsidRPr="007C35FD">
        <w:rPr>
          <w:rFonts w:ascii="Times New Roman" w:eastAsia="Times New Roman" w:hAnsi="Times New Roman" w:cs="Times New Roman"/>
          <w:color w:val="FF0000"/>
          <w:sz w:val="24"/>
          <w:szCs w:val="24"/>
          <w:lang w:eastAsia="da-DK"/>
        </w:rPr>
        <w:t xml:space="preserve">, </w:t>
      </w:r>
      <w:r w:rsidR="005F7A85" w:rsidRPr="007C35FD">
        <w:rPr>
          <w:rFonts w:ascii="Times New Roman" w:hAnsi="Times New Roman" w:cs="Times New Roman"/>
          <w:bCs/>
          <w:color w:val="FF0000"/>
          <w:sz w:val="24"/>
          <w:szCs w:val="24"/>
          <w:lang w:val="en-GB"/>
        </w:rPr>
        <w:t xml:space="preserve">which was </w:t>
      </w:r>
      <w:r w:rsidR="00213338" w:rsidRPr="007C35FD">
        <w:rPr>
          <w:rFonts w:ascii="Times New Roman" w:hAnsi="Times New Roman" w:cs="Times New Roman"/>
          <w:bCs/>
          <w:color w:val="FF0000"/>
          <w:sz w:val="24"/>
          <w:szCs w:val="24"/>
          <w:lang w:val="en-GB"/>
        </w:rPr>
        <w:t>not detected on MRCP prior to enrolment</w:t>
      </w:r>
      <w:r w:rsidR="003A0FC8" w:rsidRPr="007C35FD">
        <w:rPr>
          <w:rFonts w:ascii="Times New Roman" w:eastAsia="Times New Roman" w:hAnsi="Times New Roman" w:cs="Times New Roman"/>
          <w:color w:val="FF0000"/>
          <w:sz w:val="24"/>
          <w:szCs w:val="24"/>
          <w:lang w:eastAsia="da-DK"/>
        </w:rPr>
        <w:t xml:space="preserve">, the stricture </w:t>
      </w:r>
      <w:r w:rsidR="00240D6A">
        <w:rPr>
          <w:rFonts w:ascii="Times New Roman" w:eastAsia="Times New Roman" w:hAnsi="Times New Roman" w:cs="Times New Roman"/>
          <w:color w:val="FF0000"/>
          <w:sz w:val="24"/>
          <w:szCs w:val="24"/>
          <w:lang w:eastAsia="da-DK"/>
        </w:rPr>
        <w:t>is</w:t>
      </w:r>
      <w:r w:rsidR="003A0FC8" w:rsidRPr="007C35FD">
        <w:rPr>
          <w:rFonts w:ascii="Times New Roman" w:eastAsia="Times New Roman" w:hAnsi="Times New Roman" w:cs="Times New Roman"/>
          <w:color w:val="FF0000"/>
          <w:sz w:val="24"/>
          <w:szCs w:val="24"/>
          <w:lang w:eastAsia="da-DK"/>
        </w:rPr>
        <w:t xml:space="preserve"> </w:t>
      </w:r>
      <w:r w:rsidR="00410057" w:rsidRPr="007C35FD">
        <w:rPr>
          <w:rFonts w:ascii="Times New Roman" w:eastAsia="Times New Roman" w:hAnsi="Times New Roman" w:cs="Times New Roman"/>
          <w:color w:val="FF0000"/>
          <w:sz w:val="24"/>
          <w:szCs w:val="24"/>
          <w:lang w:eastAsia="da-DK"/>
        </w:rPr>
        <w:t>dilated</w:t>
      </w:r>
      <w:r w:rsidR="00410057">
        <w:rPr>
          <w:rFonts w:ascii="Times New Roman" w:eastAsia="Times New Roman" w:hAnsi="Times New Roman" w:cs="Times New Roman"/>
          <w:color w:val="FF0000"/>
          <w:sz w:val="24"/>
          <w:szCs w:val="24"/>
          <w:lang w:eastAsia="da-DK"/>
        </w:rPr>
        <w:t xml:space="preserve"> </w:t>
      </w:r>
      <w:r w:rsidR="00632A0F">
        <w:rPr>
          <w:rFonts w:ascii="Times New Roman" w:eastAsia="Times New Roman" w:hAnsi="Times New Roman" w:cs="Times New Roman"/>
          <w:color w:val="FF0000"/>
          <w:sz w:val="24"/>
          <w:szCs w:val="24"/>
          <w:lang w:eastAsia="da-DK"/>
        </w:rPr>
        <w:t xml:space="preserve">and followed by pancreatic stent </w:t>
      </w:r>
      <w:r w:rsidR="005D0B45">
        <w:rPr>
          <w:rFonts w:ascii="Times New Roman" w:eastAsia="Times New Roman" w:hAnsi="Times New Roman" w:cs="Times New Roman"/>
          <w:color w:val="FF0000"/>
          <w:sz w:val="24"/>
          <w:szCs w:val="24"/>
          <w:lang w:eastAsia="da-DK"/>
        </w:rPr>
        <w:t>insertion</w:t>
      </w:r>
      <w:r w:rsidR="003A0FC8" w:rsidRPr="007C35FD">
        <w:rPr>
          <w:rFonts w:ascii="Times New Roman" w:eastAsia="Times New Roman" w:hAnsi="Times New Roman" w:cs="Times New Roman"/>
          <w:color w:val="FF0000"/>
          <w:sz w:val="24"/>
          <w:szCs w:val="24"/>
          <w:lang w:eastAsia="da-DK"/>
        </w:rPr>
        <w:t xml:space="preserve">. </w:t>
      </w:r>
      <w:r w:rsidR="001D68CB" w:rsidRPr="007C35FD">
        <w:rPr>
          <w:rFonts w:ascii="Times New Roman" w:hAnsi="Times New Roman" w:cs="Times New Roman"/>
          <w:bCs/>
          <w:color w:val="FF0000"/>
          <w:sz w:val="24"/>
          <w:szCs w:val="24"/>
          <w:lang w:val="en-GB"/>
        </w:rPr>
        <w:t>A pancreatic duct stent will also be inserted</w:t>
      </w:r>
      <w:r w:rsidR="00B46BB3" w:rsidRPr="007C35FD">
        <w:rPr>
          <w:rFonts w:ascii="Times New Roman" w:hAnsi="Times New Roman" w:cs="Times New Roman"/>
          <w:bCs/>
          <w:color w:val="FF0000"/>
          <w:sz w:val="24"/>
          <w:szCs w:val="24"/>
          <w:lang w:val="en-GB"/>
        </w:rPr>
        <w:t xml:space="preserve"> in case of incomplete stone removal</w:t>
      </w:r>
      <w:r w:rsidR="00425180" w:rsidRPr="007C35FD">
        <w:rPr>
          <w:rFonts w:ascii="Times New Roman" w:hAnsi="Times New Roman" w:cs="Times New Roman"/>
          <w:bCs/>
          <w:color w:val="FF0000"/>
          <w:sz w:val="24"/>
          <w:szCs w:val="24"/>
          <w:lang w:val="en-GB"/>
        </w:rPr>
        <w:t xml:space="preserve"> during the ERCP procedure</w:t>
      </w:r>
      <w:r w:rsidR="00577044" w:rsidRPr="007C35FD">
        <w:rPr>
          <w:rFonts w:ascii="Times New Roman" w:hAnsi="Times New Roman" w:cs="Times New Roman"/>
          <w:bCs/>
          <w:color w:val="FF0000"/>
          <w:sz w:val="24"/>
          <w:szCs w:val="24"/>
          <w:lang w:val="en-GB"/>
        </w:rPr>
        <w:t xml:space="preserve">. </w:t>
      </w:r>
    </w:p>
    <w:p w14:paraId="6A0F5926" w14:textId="34D7F381" w:rsidR="00890BF1" w:rsidRPr="007C35FD" w:rsidRDefault="0061309F" w:rsidP="009109B6">
      <w:pPr>
        <w:spacing w:line="480" w:lineRule="auto"/>
        <w:ind w:firstLine="567"/>
        <w:jc w:val="both"/>
        <w:rPr>
          <w:rFonts w:ascii="Times New Roman" w:hAnsi="Times New Roman" w:cs="Times New Roman"/>
          <w:bCs/>
          <w:color w:val="000000" w:themeColor="text1"/>
          <w:sz w:val="24"/>
          <w:szCs w:val="24"/>
        </w:rPr>
      </w:pPr>
      <w:r w:rsidRPr="007C35FD">
        <w:rPr>
          <w:rFonts w:ascii="Times New Roman" w:hAnsi="Times New Roman" w:cs="Times New Roman"/>
          <w:bCs/>
          <w:color w:val="FF0000"/>
          <w:sz w:val="24"/>
          <w:szCs w:val="24"/>
          <w:lang w:val="en-GB"/>
        </w:rPr>
        <w:lastRenderedPageBreak/>
        <w:t>Patients</w:t>
      </w:r>
      <w:r w:rsidR="00425180" w:rsidRPr="007C35FD">
        <w:rPr>
          <w:rFonts w:ascii="Times New Roman" w:hAnsi="Times New Roman" w:cs="Times New Roman"/>
          <w:bCs/>
          <w:color w:val="FF0000"/>
          <w:sz w:val="24"/>
          <w:szCs w:val="24"/>
          <w:lang w:val="en-GB"/>
        </w:rPr>
        <w:t xml:space="preserve"> undergoing</w:t>
      </w:r>
      <w:r w:rsidRPr="007C35FD">
        <w:rPr>
          <w:rFonts w:ascii="Times New Roman" w:hAnsi="Times New Roman" w:cs="Times New Roman"/>
          <w:bCs/>
          <w:color w:val="FF0000"/>
          <w:sz w:val="24"/>
          <w:szCs w:val="24"/>
          <w:lang w:val="en-GB"/>
        </w:rPr>
        <w:t xml:space="preserve"> </w:t>
      </w:r>
      <w:r w:rsidR="006F22AE" w:rsidRPr="007C35FD">
        <w:rPr>
          <w:rFonts w:ascii="Times New Roman" w:hAnsi="Times New Roman" w:cs="Times New Roman"/>
          <w:bCs/>
          <w:color w:val="FF0000"/>
          <w:sz w:val="24"/>
          <w:szCs w:val="24"/>
          <w:lang w:val="en-GB"/>
        </w:rPr>
        <w:t xml:space="preserve">pancreatic duct </w:t>
      </w:r>
      <w:r w:rsidR="00425180" w:rsidRPr="007C35FD">
        <w:rPr>
          <w:rFonts w:ascii="Times New Roman" w:hAnsi="Times New Roman" w:cs="Times New Roman"/>
          <w:bCs/>
          <w:color w:val="FF0000"/>
          <w:sz w:val="24"/>
          <w:szCs w:val="24"/>
          <w:lang w:val="en-GB"/>
        </w:rPr>
        <w:t xml:space="preserve">stenting </w:t>
      </w:r>
      <w:r w:rsidR="00577044" w:rsidRPr="007C35FD">
        <w:rPr>
          <w:rFonts w:ascii="Times New Roman" w:hAnsi="Times New Roman" w:cs="Times New Roman"/>
          <w:bCs/>
          <w:color w:val="FF0000"/>
          <w:sz w:val="24"/>
          <w:szCs w:val="24"/>
          <w:lang w:val="en-GB"/>
        </w:rPr>
        <w:t xml:space="preserve">will </w:t>
      </w:r>
      <w:r w:rsidR="00425180" w:rsidRPr="007C35FD">
        <w:rPr>
          <w:rFonts w:ascii="Times New Roman" w:hAnsi="Times New Roman" w:cs="Times New Roman"/>
          <w:bCs/>
          <w:color w:val="FF0000"/>
          <w:sz w:val="24"/>
          <w:szCs w:val="24"/>
          <w:lang w:val="en-GB"/>
        </w:rPr>
        <w:t>be referred for</w:t>
      </w:r>
      <w:r w:rsidR="00577044" w:rsidRPr="007C35FD">
        <w:rPr>
          <w:rFonts w:ascii="Times New Roman" w:hAnsi="Times New Roman" w:cs="Times New Roman"/>
          <w:bCs/>
          <w:color w:val="FF0000"/>
          <w:sz w:val="24"/>
          <w:szCs w:val="24"/>
          <w:lang w:val="en-GB"/>
        </w:rPr>
        <w:t xml:space="preserve"> a</w:t>
      </w:r>
      <w:r w:rsidR="00377DA4" w:rsidRPr="007C35FD">
        <w:rPr>
          <w:rFonts w:ascii="Times New Roman" w:hAnsi="Times New Roman" w:cs="Times New Roman"/>
          <w:bCs/>
          <w:color w:val="FF0000"/>
          <w:sz w:val="24"/>
          <w:szCs w:val="24"/>
          <w:lang w:val="en-GB"/>
        </w:rPr>
        <w:t xml:space="preserve"> new ERCP procedure after</w:t>
      </w:r>
      <w:r w:rsidR="00577044" w:rsidRPr="007C35FD">
        <w:rPr>
          <w:rFonts w:ascii="Times New Roman" w:hAnsi="Times New Roman" w:cs="Times New Roman"/>
          <w:bCs/>
          <w:color w:val="FF0000"/>
          <w:sz w:val="24"/>
          <w:szCs w:val="24"/>
          <w:lang w:val="en-GB"/>
        </w:rPr>
        <w:t xml:space="preserve"> </w:t>
      </w:r>
      <w:r w:rsidR="00ED0602" w:rsidRPr="007C35FD">
        <w:rPr>
          <w:rFonts w:ascii="Times New Roman" w:hAnsi="Times New Roman" w:cs="Times New Roman"/>
          <w:bCs/>
          <w:color w:val="FF0000"/>
          <w:sz w:val="24"/>
          <w:szCs w:val="24"/>
          <w:lang w:val="en-GB"/>
        </w:rPr>
        <w:t>6</w:t>
      </w:r>
      <w:r w:rsidR="00974B4A" w:rsidRPr="007C35FD">
        <w:rPr>
          <w:rFonts w:ascii="Times New Roman" w:hAnsi="Times New Roman" w:cs="Times New Roman"/>
          <w:bCs/>
          <w:color w:val="FF0000"/>
          <w:sz w:val="24"/>
          <w:szCs w:val="24"/>
          <w:lang w:val="en-GB"/>
        </w:rPr>
        <w:t xml:space="preserve"> </w:t>
      </w:r>
      <w:r w:rsidR="00577044" w:rsidRPr="007C35FD">
        <w:rPr>
          <w:rFonts w:ascii="Times New Roman" w:hAnsi="Times New Roman" w:cs="Times New Roman"/>
          <w:bCs/>
          <w:color w:val="FF0000"/>
          <w:sz w:val="24"/>
          <w:szCs w:val="24"/>
          <w:lang w:val="en-GB"/>
        </w:rPr>
        <w:t>months</w:t>
      </w:r>
      <w:r w:rsidR="009F5A34" w:rsidRPr="007C35FD">
        <w:rPr>
          <w:rFonts w:ascii="Times New Roman" w:hAnsi="Times New Roman" w:cs="Times New Roman"/>
          <w:bCs/>
          <w:color w:val="FF0000"/>
          <w:sz w:val="24"/>
          <w:szCs w:val="24"/>
          <w:lang w:val="en-GB"/>
        </w:rPr>
        <w:t xml:space="preserve"> for stent exchange or removal</w:t>
      </w:r>
      <w:r w:rsidR="00ED0602" w:rsidRPr="007C35FD">
        <w:rPr>
          <w:rFonts w:ascii="Times New Roman" w:hAnsi="Times New Roman" w:cs="Times New Roman"/>
          <w:bCs/>
          <w:color w:val="FF0000"/>
          <w:sz w:val="24"/>
          <w:szCs w:val="24"/>
          <w:lang w:val="en-GB"/>
        </w:rPr>
        <w:t xml:space="preserve"> (after completion of all study assessments)</w:t>
      </w:r>
      <w:r w:rsidR="00577044" w:rsidRPr="007C35FD">
        <w:rPr>
          <w:rFonts w:ascii="Times New Roman" w:hAnsi="Times New Roman" w:cs="Times New Roman"/>
          <w:bCs/>
          <w:color w:val="FF0000"/>
          <w:sz w:val="24"/>
          <w:szCs w:val="24"/>
          <w:lang w:val="en-GB"/>
        </w:rPr>
        <w:t xml:space="preserve">. When complete runoff of contrast material is observed after removal of the stent and an extraction balloon can be passed through the pancreatic duct, endoscopic treatment is considered completed and </w:t>
      </w:r>
      <w:r w:rsidR="00F27367" w:rsidRPr="007C35FD">
        <w:rPr>
          <w:rFonts w:ascii="Times New Roman" w:hAnsi="Times New Roman" w:cs="Times New Roman"/>
          <w:bCs/>
          <w:color w:val="FF0000"/>
          <w:sz w:val="24"/>
          <w:szCs w:val="24"/>
          <w:lang w:val="en-GB"/>
        </w:rPr>
        <w:t xml:space="preserve">further </w:t>
      </w:r>
      <w:r w:rsidR="00577044" w:rsidRPr="007C35FD">
        <w:rPr>
          <w:rFonts w:ascii="Times New Roman" w:hAnsi="Times New Roman" w:cs="Times New Roman"/>
          <w:bCs/>
          <w:color w:val="FF0000"/>
          <w:sz w:val="24"/>
          <w:szCs w:val="24"/>
          <w:lang w:val="en-GB"/>
        </w:rPr>
        <w:t>stenting will be stopped. Persistent strictures will be treated by repeated endoscopic dilations and sequential insertion of new stents</w:t>
      </w:r>
      <w:r w:rsidR="00ED0602" w:rsidRPr="007C35FD">
        <w:rPr>
          <w:rFonts w:ascii="Times New Roman" w:hAnsi="Times New Roman" w:cs="Times New Roman"/>
          <w:bCs/>
          <w:color w:val="FF0000"/>
          <w:sz w:val="24"/>
          <w:szCs w:val="24"/>
          <w:lang w:val="en-GB"/>
        </w:rPr>
        <w:t xml:space="preserve"> in agreement with the European Society of Gastrointestinal Endoscopy (ESGE) guidelines</w:t>
      </w:r>
      <w:r w:rsidR="00F00AF4" w:rsidRPr="007C35FD">
        <w:rPr>
          <w:rFonts w:ascii="Times New Roman" w:hAnsi="Times New Roman" w:cs="Times New Roman"/>
          <w:bCs/>
          <w:color w:val="FF0000"/>
          <w:sz w:val="24"/>
          <w:szCs w:val="24"/>
          <w:lang w:val="en-GB"/>
        </w:rPr>
        <w:t xml:space="preserve"> </w:t>
      </w:r>
      <w:r w:rsidR="00ED0602" w:rsidRPr="007C35FD">
        <w:rPr>
          <w:rFonts w:ascii="Times New Roman" w:hAnsi="Times New Roman" w:cs="Times New Roman"/>
          <w:bCs/>
          <w:color w:val="FF0000"/>
          <w:sz w:val="24"/>
          <w:szCs w:val="24"/>
          <w:lang w:val="en-GB"/>
        </w:rPr>
        <w:fldChar w:fldCharType="begin" w:fldLock="1"/>
      </w:r>
      <w:r w:rsidR="004D0981" w:rsidRPr="007C35FD">
        <w:rPr>
          <w:rFonts w:ascii="Times New Roman" w:hAnsi="Times New Roman" w:cs="Times New Roman"/>
          <w:bCs/>
          <w:color w:val="FF0000"/>
          <w:sz w:val="24"/>
          <w:szCs w:val="24"/>
          <w:lang w:val="en-GB"/>
        </w:rPr>
        <w:instrText>ADDIN CSL_CITATION {"citationItems":[{"id":"ITEM-1","itemData":{"DOI":"10.1055/a-0822-0832","ISSN":"1438-8812","PMID":"30654394","abstract":"ESGE suggests endoscopic therapy and/or extracorporeal shockwave lithotripsy (ESWL) as the first-line therapy for painful uncomplicated chronic pancreatitis (CP) with an obstructed main pancreatic duct (MPD) in the head/body of the pancreas. The clinical response should be evaluated at 6 - 8 weeks; if it appears unsatisfactory, the patient's case should be discussed again in a multidisciplinary team and surgical options should be considered.Weak recommendation, low quality evidence.ESGE suggests, for the selection of patients for initial or continued endoscopic therapy and/or ESWL, taking into consideration predictive factors associated with a good long-term outcome. These include, at initial work-up, absence of MPD stricture, a short disease duration, non-severe pain, absence or cessation of cigarette smoking and of alcohol intake, and, after initial treatment, complete removal of obstructive pancreatic stones and resolution of pancreatic duct stricture with stenting.Weak recommendation, low quality evidence.ESGE recommends ESWL for the clearance of radiopaque obstructive MPD stones larger than 5 mm located in the head/body of the pancreas and endoscopic retrograde cholangiopancreatography (ERCP) for MPD stones that are radiolucent or smaller than 5 mm. Strong recommendation, moderate quality evidence.ESGE suggests restricting the use of endoscopic therapy after ESWL to patients with no spontaneous clearance of pancreatic stones after adequate fragmentation by ESWL.Weak recommendation, moderate quality evidence.ESGE suggests treating painful dominant MPD strictures with a single 10-Fr plastic stent for one uninterrupted year if symptoms improve after initial successful MPD drainage. The stent should be exchanged if necessary, based on symptoms or signs of stent dysfunction at regular pancreas imaging at least every 6 months. ESGE suggests consideration of surgery or multiple side-by-side plastic stents for symptomatic MPD strictures persisting beyond 1 year after the initial single plastic stenting, following multidisciplinary discussion. Weak recommendation, low quality evidence.ESGE recommends endoscopic drainage over percutaneous or surgical treatment for uncomplicated chronic pancreatitis (CP)-related pseudocysts that are within endoscopic reach.Strong recommendation, moderate quality evidence.ESGE recommends retrieval of transmural plastic stents at least 6 weeks after pancreatic pseudocyst regression if MPD disruption has been excluded, and long-…","author":[{"dropping-particle":"","family":"Dumonceau","given":"Jean-Marc","non-dropping-particle":"","parse-names":false,"suffix":""},{"dropping-particle":"","family":"Delhaye","given":"Myriam","non-dropping-particle":"","parse-names":false,"suffix":""},{"dropping-particle":"","family":"Tringali","given":"Andrea","non-dropping-particle":"","parse-names":false,"suffix":""},{"dropping-particle":"","family":"Arvanitakis","given":"Marianna","non-dropping-particle":"","parse-names":false,"suffix":""},{"dropping-particle":"","family":"Sanchez-Yague","given":"Andres","non-dropping-particle":"","parse-names":false,"suffix":""},{"dropping-particle":"","family":"Vaysse","given":"Thierry","non-dropping-particle":"","parse-names":false,"suffix":""},{"dropping-particle":"","family":"Aithal","given":"Guruprasad P","non-dropping-particle":"","parse-names":false,"suffix":""},{"dropping-particle":"","family":"Anderloni","given":"Andrea","non-dropping-particle":"","parse-names":false,"suffix":""},{"dropping-particle":"","family":"Bruno","given":"Marco","non-dropping-particle":"","parse-names":false,"suffix":""},{"dropping-particle":"","family":"Cantú","given":"Paolo","non-dropping-particle":"","parse-names":false,"suffix":""},{"dropping-particle":"","family":"Devière","given":"Jacques","non-dropping-particle":"","parse-names":false,"suffix":""},{"dropping-particle":"","family":"Domínguez-Muñoz","given":"Juan Enrique","non-dropping-particle":"","parse-names":false,"suffix":""},{"dropping-particle":"","family":"Lekkerkerker","given":"Selma","non-dropping-particle":"","parse-names":false,"suffix":""},{"dropping-particle":"","family":"Poley","given":"Jan-Werner","non-dropping-particle":"","parse-names":false,"suffix":""},{"dropping-particle":"","family":"Ramchandani","given":"Mohan","non-dropping-particle":"","parse-names":false,"suffix":""},{"dropping-particle":"","family":"Reddy","given":"Nageshwar","non-dropping-particle":"","parse-names":false,"suffix":""},{"dropping-particle":"","family":"Hooft","given":"Jeanin E","non-dropping-particle":"van","parse-names":false,"suffix":""}],"container-title":"Endoscopy","id":"ITEM-1","issue":"2","issued":{"date-parts":[["2019"]]},"page":"179-193","title":"Endoscopic treatment of chronic pancreatitis: European Society of Gastrointestinal Endoscopy (ESGE) Guideline - Updated August 2018.","type":"article-journal","volume":"51"},"uris":["http://www.mendeley.com/documents/?uuid=d9c7a9d4-63e3-4e1f-8e3a-0acbb333bf93"]}],"mendeley":{"formattedCitation":"[32]","plainTextFormattedCitation":"[32]","previouslyFormattedCitation":"[31]"},"properties":{"noteIndex":0},"schema":"https://github.com/citation-style-language/schema/raw/master/csl-citation.json"}</w:instrText>
      </w:r>
      <w:r w:rsidR="00ED0602" w:rsidRPr="007C35FD">
        <w:rPr>
          <w:rFonts w:ascii="Times New Roman" w:hAnsi="Times New Roman" w:cs="Times New Roman"/>
          <w:bCs/>
          <w:color w:val="FF0000"/>
          <w:sz w:val="24"/>
          <w:szCs w:val="24"/>
          <w:lang w:val="en-GB"/>
        </w:rPr>
        <w:fldChar w:fldCharType="separate"/>
      </w:r>
      <w:r w:rsidR="004D0981" w:rsidRPr="007C35FD">
        <w:rPr>
          <w:rFonts w:ascii="Times New Roman" w:hAnsi="Times New Roman" w:cs="Times New Roman"/>
          <w:bCs/>
          <w:noProof/>
          <w:color w:val="FF0000"/>
          <w:sz w:val="24"/>
          <w:szCs w:val="24"/>
          <w:lang w:val="en-GB"/>
        </w:rPr>
        <w:t>[32]</w:t>
      </w:r>
      <w:r w:rsidR="00ED0602" w:rsidRPr="007C35FD">
        <w:rPr>
          <w:rFonts w:ascii="Times New Roman" w:hAnsi="Times New Roman" w:cs="Times New Roman"/>
          <w:bCs/>
          <w:color w:val="FF0000"/>
          <w:sz w:val="24"/>
          <w:szCs w:val="24"/>
          <w:lang w:val="en-GB"/>
        </w:rPr>
        <w:fldChar w:fldCharType="end"/>
      </w:r>
      <w:r w:rsidR="00577044" w:rsidRPr="007C35FD">
        <w:rPr>
          <w:rFonts w:ascii="Times New Roman" w:hAnsi="Times New Roman" w:cs="Times New Roman"/>
          <w:bCs/>
          <w:color w:val="FF0000"/>
          <w:sz w:val="24"/>
          <w:szCs w:val="24"/>
          <w:lang w:val="en-GB"/>
        </w:rPr>
        <w:t xml:space="preserve">. </w:t>
      </w:r>
    </w:p>
    <w:p w14:paraId="75D6EDCB" w14:textId="77777777" w:rsidR="009F0B30" w:rsidRPr="007C35FD" w:rsidRDefault="009F0B30" w:rsidP="0018638E">
      <w:pPr>
        <w:spacing w:line="480" w:lineRule="auto"/>
        <w:contextualSpacing/>
        <w:jc w:val="both"/>
        <w:rPr>
          <w:rFonts w:ascii="Times New Roman" w:hAnsi="Times New Roman" w:cs="Times New Roman"/>
          <w:bCs/>
          <w:i/>
          <w:iCs/>
          <w:color w:val="000000" w:themeColor="text1"/>
          <w:sz w:val="24"/>
          <w:szCs w:val="24"/>
          <w:lang w:val="en-GB"/>
        </w:rPr>
      </w:pPr>
    </w:p>
    <w:p w14:paraId="644CB394" w14:textId="7A143F8D" w:rsidR="00EA6A5C" w:rsidRPr="002013B9" w:rsidRDefault="00EA6A5C" w:rsidP="0018638E">
      <w:pPr>
        <w:spacing w:line="480" w:lineRule="auto"/>
        <w:contextualSpacing/>
        <w:jc w:val="both"/>
        <w:rPr>
          <w:rFonts w:ascii="Times New Roman" w:hAnsi="Times New Roman" w:cs="Times New Roman"/>
          <w:bCs/>
          <w:i/>
          <w:iCs/>
          <w:color w:val="000000" w:themeColor="text1"/>
          <w:sz w:val="24"/>
          <w:szCs w:val="24"/>
          <w:lang w:val="en-GB"/>
        </w:rPr>
      </w:pPr>
      <w:r w:rsidRPr="002013B9">
        <w:rPr>
          <w:rFonts w:ascii="Times New Roman" w:hAnsi="Times New Roman" w:cs="Times New Roman"/>
          <w:bCs/>
          <w:i/>
          <w:iCs/>
          <w:color w:val="000000" w:themeColor="text1"/>
          <w:sz w:val="24"/>
          <w:szCs w:val="24"/>
          <w:lang w:val="en-GB"/>
        </w:rPr>
        <w:t xml:space="preserve">Sham </w:t>
      </w:r>
      <w:r w:rsidR="00993FD8" w:rsidRPr="002013B9">
        <w:rPr>
          <w:rFonts w:ascii="Times New Roman" w:hAnsi="Times New Roman" w:cs="Times New Roman"/>
          <w:bCs/>
          <w:i/>
          <w:iCs/>
          <w:color w:val="000000" w:themeColor="text1"/>
          <w:sz w:val="24"/>
          <w:szCs w:val="24"/>
          <w:lang w:val="en-GB"/>
        </w:rPr>
        <w:t>treatment</w:t>
      </w:r>
    </w:p>
    <w:p w14:paraId="6D922B60" w14:textId="2AC63871" w:rsidR="00EA6A5C" w:rsidRPr="002013B9" w:rsidRDefault="00EA6A5C" w:rsidP="0018638E">
      <w:pPr>
        <w:spacing w:line="480" w:lineRule="auto"/>
        <w:contextualSpacing/>
        <w:jc w:val="both"/>
        <w:rPr>
          <w:rFonts w:ascii="Times New Roman" w:hAnsi="Times New Roman" w:cs="Times New Roman"/>
          <w:b/>
          <w:color w:val="000000" w:themeColor="text1"/>
          <w:sz w:val="24"/>
          <w:szCs w:val="24"/>
          <w:lang w:val="en-GB"/>
        </w:rPr>
      </w:pPr>
      <w:r w:rsidRPr="002013B9">
        <w:rPr>
          <w:rFonts w:ascii="Times New Roman" w:hAnsi="Times New Roman" w:cs="Times New Roman"/>
          <w:bCs/>
          <w:color w:val="000000" w:themeColor="text1"/>
          <w:sz w:val="24"/>
          <w:szCs w:val="24"/>
          <w:lang w:val="en-GB"/>
        </w:rPr>
        <w:t>In the sham/control group, patients will be given a transient superficial pin-prick sensation to give the feel</w:t>
      </w:r>
      <w:r w:rsidR="00F27367" w:rsidRPr="002013B9">
        <w:rPr>
          <w:rFonts w:ascii="Times New Roman" w:hAnsi="Times New Roman" w:cs="Times New Roman"/>
          <w:bCs/>
          <w:color w:val="000000" w:themeColor="text1"/>
          <w:sz w:val="24"/>
          <w:szCs w:val="24"/>
          <w:lang w:val="en-GB"/>
        </w:rPr>
        <w:t>ing</w:t>
      </w:r>
      <w:r w:rsidRPr="002013B9">
        <w:rPr>
          <w:rFonts w:ascii="Times New Roman" w:hAnsi="Times New Roman" w:cs="Times New Roman"/>
          <w:bCs/>
          <w:color w:val="000000" w:themeColor="text1"/>
          <w:sz w:val="24"/>
          <w:szCs w:val="24"/>
          <w:lang w:val="en-GB"/>
        </w:rPr>
        <w:t xml:space="preserve"> of epidural </w:t>
      </w:r>
      <w:r w:rsidR="00B62274" w:rsidRPr="002013B9">
        <w:rPr>
          <w:rFonts w:ascii="Times New Roman" w:hAnsi="Times New Roman" w:cs="Times New Roman"/>
          <w:bCs/>
          <w:color w:val="000000" w:themeColor="text1"/>
          <w:sz w:val="24"/>
          <w:szCs w:val="24"/>
          <w:lang w:val="en-GB"/>
        </w:rPr>
        <w:t>anaesthesia prior to sham ESWL</w:t>
      </w:r>
      <w:r w:rsidRPr="002013B9">
        <w:rPr>
          <w:rFonts w:ascii="Times New Roman" w:hAnsi="Times New Roman" w:cs="Times New Roman"/>
          <w:bCs/>
          <w:color w:val="000000" w:themeColor="text1"/>
          <w:sz w:val="24"/>
          <w:szCs w:val="24"/>
          <w:lang w:val="en-GB"/>
        </w:rPr>
        <w:t xml:space="preserve">. </w:t>
      </w:r>
      <w:r w:rsidR="00F27367" w:rsidRPr="002013B9">
        <w:rPr>
          <w:rFonts w:ascii="Times New Roman" w:hAnsi="Times New Roman" w:cs="Times New Roman"/>
          <w:bCs/>
          <w:color w:val="000000" w:themeColor="text1"/>
          <w:sz w:val="24"/>
          <w:szCs w:val="24"/>
          <w:lang w:val="en-GB"/>
        </w:rPr>
        <w:t xml:space="preserve">Subsequently, </w:t>
      </w:r>
      <w:r w:rsidRPr="002013B9">
        <w:rPr>
          <w:rFonts w:ascii="Times New Roman" w:hAnsi="Times New Roman" w:cs="Times New Roman"/>
          <w:bCs/>
          <w:color w:val="000000" w:themeColor="text1"/>
          <w:sz w:val="24"/>
          <w:szCs w:val="24"/>
          <w:lang w:val="en-GB"/>
        </w:rPr>
        <w:t xml:space="preserve">the lithotripsy machine will be switched on, without establishing any form of contact with the </w:t>
      </w:r>
      <w:r w:rsidR="00B62274" w:rsidRPr="002013B9">
        <w:rPr>
          <w:rFonts w:ascii="Times New Roman" w:hAnsi="Times New Roman" w:cs="Times New Roman"/>
          <w:bCs/>
          <w:color w:val="000000" w:themeColor="text1"/>
          <w:sz w:val="24"/>
          <w:szCs w:val="24"/>
          <w:lang w:val="en-GB"/>
        </w:rPr>
        <w:t>patient’s</w:t>
      </w:r>
      <w:r w:rsidRPr="002013B9">
        <w:rPr>
          <w:rFonts w:ascii="Times New Roman" w:hAnsi="Times New Roman" w:cs="Times New Roman"/>
          <w:bCs/>
          <w:color w:val="000000" w:themeColor="text1"/>
          <w:sz w:val="24"/>
          <w:szCs w:val="24"/>
          <w:lang w:val="en-GB"/>
        </w:rPr>
        <w:t xml:space="preserve"> body. </w:t>
      </w:r>
      <w:r w:rsidR="00AA12B0" w:rsidRPr="002013B9">
        <w:rPr>
          <w:rFonts w:ascii="Times New Roman" w:hAnsi="Times New Roman" w:cs="Times New Roman"/>
          <w:bCs/>
          <w:color w:val="000000" w:themeColor="text1"/>
          <w:sz w:val="24"/>
          <w:szCs w:val="24"/>
          <w:lang w:val="en-GB"/>
        </w:rPr>
        <w:t>The patient’s eyes will be lightly covered all along the procedure. Following sham ESWL</w:t>
      </w:r>
      <w:r w:rsidR="00B62274" w:rsidRPr="002013B9">
        <w:rPr>
          <w:rFonts w:ascii="Times New Roman" w:hAnsi="Times New Roman" w:cs="Times New Roman"/>
          <w:bCs/>
          <w:color w:val="000000" w:themeColor="text1"/>
          <w:sz w:val="24"/>
          <w:szCs w:val="24"/>
          <w:lang w:val="en-GB"/>
        </w:rPr>
        <w:t>,</w:t>
      </w:r>
      <w:r w:rsidRPr="002013B9">
        <w:rPr>
          <w:rFonts w:ascii="Times New Roman" w:hAnsi="Times New Roman" w:cs="Times New Roman"/>
          <w:bCs/>
          <w:color w:val="000000" w:themeColor="text1"/>
          <w:sz w:val="24"/>
          <w:szCs w:val="24"/>
          <w:lang w:val="en-GB"/>
        </w:rPr>
        <w:t xml:space="preserve"> </w:t>
      </w:r>
      <w:r w:rsidR="00290612" w:rsidRPr="002013B9">
        <w:rPr>
          <w:rFonts w:ascii="Times New Roman" w:hAnsi="Times New Roman" w:cs="Times New Roman"/>
          <w:bCs/>
          <w:color w:val="000000" w:themeColor="text1"/>
          <w:sz w:val="24"/>
          <w:szCs w:val="24"/>
          <w:lang w:val="en-GB"/>
        </w:rPr>
        <w:t xml:space="preserve">patients </w:t>
      </w:r>
      <w:r w:rsidRPr="002013B9">
        <w:rPr>
          <w:rFonts w:ascii="Times New Roman" w:hAnsi="Times New Roman" w:cs="Times New Roman"/>
          <w:bCs/>
          <w:color w:val="000000" w:themeColor="text1"/>
          <w:sz w:val="24"/>
          <w:szCs w:val="24"/>
          <w:lang w:val="en-GB"/>
        </w:rPr>
        <w:t xml:space="preserve">will be subjected to </w:t>
      </w:r>
      <w:r w:rsidR="00C311F1" w:rsidRPr="002013B9">
        <w:rPr>
          <w:rFonts w:ascii="Times New Roman" w:hAnsi="Times New Roman" w:cs="Times New Roman"/>
          <w:bCs/>
          <w:color w:val="000000" w:themeColor="text1"/>
          <w:sz w:val="24"/>
          <w:szCs w:val="24"/>
          <w:lang w:val="en-GB"/>
        </w:rPr>
        <w:t xml:space="preserve">sham </w:t>
      </w:r>
      <w:r w:rsidRPr="002013B9">
        <w:rPr>
          <w:rFonts w:ascii="Times New Roman" w:hAnsi="Times New Roman" w:cs="Times New Roman"/>
          <w:bCs/>
          <w:color w:val="000000" w:themeColor="text1"/>
          <w:sz w:val="24"/>
          <w:szCs w:val="24"/>
          <w:lang w:val="en-GB"/>
        </w:rPr>
        <w:t xml:space="preserve">ERCP </w:t>
      </w:r>
      <w:r w:rsidR="00366B91" w:rsidRPr="002013B9">
        <w:rPr>
          <w:rFonts w:ascii="Times New Roman" w:hAnsi="Times New Roman" w:cs="Times New Roman"/>
          <w:bCs/>
          <w:color w:val="000000" w:themeColor="text1"/>
          <w:sz w:val="24"/>
          <w:szCs w:val="24"/>
          <w:lang w:val="en-GB"/>
        </w:rPr>
        <w:t>with duodenal intubation</w:t>
      </w:r>
      <w:r w:rsidR="00C311F1" w:rsidRPr="002013B9">
        <w:rPr>
          <w:rFonts w:ascii="Times New Roman" w:hAnsi="Times New Roman" w:cs="Times New Roman"/>
          <w:bCs/>
          <w:color w:val="000000" w:themeColor="text1"/>
          <w:sz w:val="24"/>
          <w:szCs w:val="24"/>
          <w:lang w:val="en-GB"/>
        </w:rPr>
        <w:t xml:space="preserve"> of the endoscope</w:t>
      </w:r>
      <w:r w:rsidR="00366B91" w:rsidRPr="002013B9">
        <w:rPr>
          <w:rFonts w:ascii="Times New Roman" w:hAnsi="Times New Roman" w:cs="Times New Roman"/>
          <w:bCs/>
          <w:color w:val="000000" w:themeColor="text1"/>
          <w:sz w:val="24"/>
          <w:szCs w:val="24"/>
          <w:lang w:val="en-GB"/>
        </w:rPr>
        <w:t xml:space="preserve"> and</w:t>
      </w:r>
      <w:r w:rsidRPr="002013B9">
        <w:rPr>
          <w:rFonts w:ascii="Times New Roman" w:hAnsi="Times New Roman" w:cs="Times New Roman"/>
          <w:bCs/>
          <w:color w:val="000000" w:themeColor="text1"/>
          <w:sz w:val="24"/>
          <w:szCs w:val="24"/>
          <w:lang w:val="en-GB"/>
        </w:rPr>
        <w:t xml:space="preserve"> </w:t>
      </w:r>
      <w:r w:rsidR="00366B91" w:rsidRPr="002013B9">
        <w:rPr>
          <w:rFonts w:ascii="Times New Roman" w:hAnsi="Times New Roman" w:cs="Times New Roman"/>
          <w:bCs/>
          <w:color w:val="000000" w:themeColor="text1"/>
          <w:sz w:val="24"/>
          <w:szCs w:val="24"/>
          <w:lang w:val="en-GB"/>
        </w:rPr>
        <w:t>examination of</w:t>
      </w:r>
      <w:r w:rsidRPr="002013B9">
        <w:rPr>
          <w:rFonts w:ascii="Times New Roman" w:hAnsi="Times New Roman" w:cs="Times New Roman"/>
          <w:bCs/>
          <w:color w:val="000000" w:themeColor="text1"/>
          <w:sz w:val="24"/>
          <w:szCs w:val="24"/>
          <w:lang w:val="en-GB"/>
        </w:rPr>
        <w:t xml:space="preserve"> the papillary area, but no pancreatic ductal intervention</w:t>
      </w:r>
      <w:r w:rsidRPr="002013B9">
        <w:rPr>
          <w:rFonts w:ascii="Times New Roman" w:hAnsi="Times New Roman" w:cs="Times New Roman"/>
          <w:color w:val="000000" w:themeColor="text1"/>
          <w:sz w:val="24"/>
          <w:szCs w:val="24"/>
          <w:lang w:val="en-GB"/>
        </w:rPr>
        <w:t xml:space="preserve"> will be performed.</w:t>
      </w:r>
      <w:r w:rsidRPr="002013B9">
        <w:rPr>
          <w:rFonts w:ascii="Times New Roman" w:hAnsi="Times New Roman" w:cs="Times New Roman"/>
          <w:b/>
          <w:color w:val="000000" w:themeColor="text1"/>
          <w:sz w:val="24"/>
          <w:szCs w:val="24"/>
          <w:lang w:val="en-GB"/>
        </w:rPr>
        <w:t xml:space="preserve"> </w:t>
      </w:r>
    </w:p>
    <w:p w14:paraId="25879577" w14:textId="77777777" w:rsidR="00993FD8" w:rsidRPr="002013B9" w:rsidRDefault="00993FD8" w:rsidP="00164C1D">
      <w:pPr>
        <w:autoSpaceDE w:val="0"/>
        <w:autoSpaceDN w:val="0"/>
        <w:adjustRightInd w:val="0"/>
        <w:spacing w:line="480" w:lineRule="auto"/>
        <w:contextualSpacing/>
        <w:jc w:val="both"/>
        <w:rPr>
          <w:rFonts w:ascii="Times New Roman" w:hAnsi="Times New Roman" w:cs="Times New Roman"/>
          <w:b/>
          <w:bCs/>
          <w:i/>
          <w:color w:val="000000" w:themeColor="text1"/>
          <w:sz w:val="24"/>
          <w:szCs w:val="24"/>
          <w:lang w:val="en-GB"/>
        </w:rPr>
      </w:pPr>
    </w:p>
    <w:p w14:paraId="294CCA30" w14:textId="71B41B48" w:rsidR="002E122A" w:rsidRPr="002013B9" w:rsidRDefault="002E122A" w:rsidP="00164C1D">
      <w:pPr>
        <w:autoSpaceDE w:val="0"/>
        <w:autoSpaceDN w:val="0"/>
        <w:adjustRightInd w:val="0"/>
        <w:spacing w:line="480" w:lineRule="auto"/>
        <w:contextualSpacing/>
        <w:jc w:val="both"/>
        <w:rPr>
          <w:rFonts w:ascii="Times New Roman" w:hAnsi="Times New Roman" w:cs="Times New Roman"/>
          <w:i/>
          <w:color w:val="000000" w:themeColor="text1"/>
          <w:sz w:val="24"/>
          <w:szCs w:val="24"/>
          <w:lang w:val="en-GB"/>
        </w:rPr>
      </w:pPr>
      <w:r w:rsidRPr="002013B9">
        <w:rPr>
          <w:rFonts w:ascii="Times New Roman" w:hAnsi="Times New Roman" w:cs="Times New Roman"/>
          <w:i/>
          <w:color w:val="000000" w:themeColor="text1"/>
          <w:sz w:val="24"/>
          <w:szCs w:val="24"/>
          <w:lang w:val="en-GB"/>
        </w:rPr>
        <w:t xml:space="preserve">Concomitant medication </w:t>
      </w:r>
    </w:p>
    <w:p w14:paraId="7ED05DB3" w14:textId="5ED62DD6" w:rsidR="002E122A" w:rsidRPr="002013B9" w:rsidRDefault="002E122A" w:rsidP="00164C1D">
      <w:pPr>
        <w:autoSpaceDE w:val="0"/>
        <w:autoSpaceDN w:val="0"/>
        <w:adjustRightInd w:val="0"/>
        <w:spacing w:line="480" w:lineRule="auto"/>
        <w:contextualSpacing/>
        <w:jc w:val="both"/>
        <w:rPr>
          <w:rFonts w:ascii="Times New Roman" w:hAnsi="Times New Roman" w:cs="Times New Roman"/>
          <w:color w:val="000000" w:themeColor="text1"/>
          <w:sz w:val="24"/>
          <w:szCs w:val="24"/>
          <w:lang w:val="en-GB"/>
        </w:rPr>
      </w:pPr>
      <w:r w:rsidRPr="002013B9">
        <w:rPr>
          <w:rFonts w:ascii="Times New Roman" w:hAnsi="Times New Roman" w:cs="Times New Roman"/>
          <w:color w:val="000000" w:themeColor="text1"/>
          <w:sz w:val="24"/>
          <w:szCs w:val="24"/>
          <w:lang w:val="en-GB"/>
        </w:rPr>
        <w:t>Patients will be instructed not to change their regular pain treatment during the trial period. Regular pain treatment will be recorded twice, at the screening visit and the last visit. Rescue pain medication, taken on an “as needed basis”, is allowed throughout the trial period and its use will be documented and quantified in the pain diary.</w:t>
      </w:r>
      <w:r w:rsidR="008D5437">
        <w:rPr>
          <w:rFonts w:ascii="Times New Roman" w:hAnsi="Times New Roman" w:cs="Times New Roman"/>
          <w:color w:val="000000" w:themeColor="text1"/>
          <w:sz w:val="24"/>
          <w:szCs w:val="24"/>
          <w:lang w:val="en-GB"/>
        </w:rPr>
        <w:t xml:space="preserve"> </w:t>
      </w:r>
      <w:r w:rsidR="008D5437" w:rsidRPr="008670ED">
        <w:rPr>
          <w:rFonts w:ascii="Times New Roman" w:hAnsi="Times New Roman" w:cs="Times New Roman"/>
          <w:color w:val="FF0000"/>
          <w:sz w:val="24"/>
          <w:szCs w:val="24"/>
        </w:rPr>
        <w:t>Patients with exocrine pancreatic insufficiency will remain on enzyme replacement therapy during the trial period</w:t>
      </w:r>
      <w:r w:rsidR="00181F26">
        <w:rPr>
          <w:rFonts w:ascii="Times New Roman" w:hAnsi="Times New Roman" w:cs="Times New Roman"/>
          <w:color w:val="FF0000"/>
          <w:sz w:val="24"/>
          <w:szCs w:val="24"/>
        </w:rPr>
        <w:t xml:space="preserve"> and follow-up</w:t>
      </w:r>
      <w:r w:rsidR="008D5437" w:rsidRPr="008670ED">
        <w:rPr>
          <w:rFonts w:ascii="Times New Roman" w:hAnsi="Times New Roman" w:cs="Times New Roman"/>
          <w:color w:val="FF0000"/>
          <w:sz w:val="24"/>
          <w:szCs w:val="24"/>
        </w:rPr>
        <w:t>.</w:t>
      </w:r>
    </w:p>
    <w:p w14:paraId="390B3A82" w14:textId="77777777" w:rsidR="002E122A" w:rsidRPr="002013B9" w:rsidRDefault="002E122A" w:rsidP="00164C1D">
      <w:pPr>
        <w:spacing w:line="480" w:lineRule="auto"/>
        <w:contextualSpacing/>
        <w:jc w:val="both"/>
        <w:rPr>
          <w:rFonts w:ascii="Times New Roman" w:hAnsi="Times New Roman" w:cs="Times New Roman"/>
          <w:color w:val="000000" w:themeColor="text1"/>
          <w:sz w:val="24"/>
          <w:szCs w:val="24"/>
          <w:lang w:val="en-GB"/>
        </w:rPr>
      </w:pPr>
    </w:p>
    <w:p w14:paraId="3425A517" w14:textId="6E2AEE7A" w:rsidR="00B04EC2" w:rsidRPr="002013B9" w:rsidRDefault="00E26DCF" w:rsidP="00164C1D">
      <w:pPr>
        <w:pStyle w:val="Heading2"/>
        <w:spacing w:before="0" w:line="480" w:lineRule="auto"/>
        <w:contextualSpacing/>
        <w:rPr>
          <w:rFonts w:cs="Times New Roman"/>
          <w:color w:val="000000" w:themeColor="text1"/>
          <w:sz w:val="24"/>
          <w:szCs w:val="24"/>
          <w:lang w:val="en-GB"/>
        </w:rPr>
      </w:pPr>
      <w:r w:rsidRPr="002013B9">
        <w:rPr>
          <w:rFonts w:cs="Times New Roman"/>
          <w:color w:val="000000" w:themeColor="text1"/>
          <w:sz w:val="24"/>
          <w:szCs w:val="24"/>
          <w:lang w:val="en-GB"/>
        </w:rPr>
        <w:lastRenderedPageBreak/>
        <w:t>Outcomes</w:t>
      </w:r>
    </w:p>
    <w:p w14:paraId="4AA26F38" w14:textId="77777777" w:rsidR="00ED0602" w:rsidRPr="002013B9" w:rsidRDefault="001F623F" w:rsidP="00ED0602">
      <w:pPr>
        <w:spacing w:line="480" w:lineRule="auto"/>
        <w:contextualSpacing/>
        <w:jc w:val="both"/>
        <w:rPr>
          <w:rFonts w:ascii="Times New Roman" w:hAnsi="Times New Roman" w:cs="Times New Roman"/>
          <w:color w:val="000000" w:themeColor="text1"/>
          <w:sz w:val="24"/>
          <w:szCs w:val="24"/>
          <w:lang w:val="en-GB"/>
        </w:rPr>
      </w:pPr>
      <w:r w:rsidRPr="002013B9">
        <w:rPr>
          <w:rFonts w:ascii="Times New Roman" w:hAnsi="Times New Roman" w:cs="Times New Roman"/>
          <w:color w:val="000000" w:themeColor="text1"/>
          <w:sz w:val="24"/>
          <w:szCs w:val="24"/>
          <w:lang w:val="en-GB"/>
        </w:rPr>
        <w:t xml:space="preserve">The study consists of a clinical and an experimental part. The </w:t>
      </w:r>
      <w:r w:rsidRPr="002013B9">
        <w:rPr>
          <w:rFonts w:ascii="Times New Roman" w:hAnsi="Times New Roman" w:cs="Times New Roman"/>
          <w:bCs/>
          <w:i/>
          <w:iCs/>
          <w:color w:val="000000" w:themeColor="text1"/>
          <w:sz w:val="24"/>
          <w:szCs w:val="24"/>
          <w:lang w:val="en-GB"/>
        </w:rPr>
        <w:t>clinical part of the study</w:t>
      </w:r>
      <w:r w:rsidRPr="002013B9">
        <w:rPr>
          <w:rFonts w:ascii="Times New Roman" w:hAnsi="Times New Roman" w:cs="Times New Roman"/>
          <w:color w:val="000000" w:themeColor="text1"/>
          <w:sz w:val="24"/>
          <w:szCs w:val="24"/>
          <w:lang w:val="en-GB"/>
        </w:rPr>
        <w:t xml:space="preserve"> aims to investigate the pain-relieving effects of combined ESWL and endo</w:t>
      </w:r>
      <w:r w:rsidR="00737EB5" w:rsidRPr="002013B9">
        <w:rPr>
          <w:rFonts w:ascii="Times New Roman" w:hAnsi="Times New Roman" w:cs="Times New Roman"/>
          <w:color w:val="000000" w:themeColor="text1"/>
          <w:sz w:val="24"/>
          <w:szCs w:val="24"/>
          <w:lang w:val="en-GB"/>
        </w:rPr>
        <w:t>scopic treatment</w:t>
      </w:r>
      <w:r w:rsidRPr="002013B9">
        <w:rPr>
          <w:rFonts w:ascii="Times New Roman" w:hAnsi="Times New Roman" w:cs="Times New Roman"/>
          <w:color w:val="000000" w:themeColor="text1"/>
          <w:sz w:val="24"/>
          <w:szCs w:val="24"/>
          <w:lang w:val="en-GB"/>
        </w:rPr>
        <w:t xml:space="preserve"> in patients with painful CP in comparison with sham treatment. The </w:t>
      </w:r>
      <w:r w:rsidRPr="002013B9">
        <w:rPr>
          <w:rFonts w:ascii="Times New Roman" w:hAnsi="Times New Roman" w:cs="Times New Roman"/>
          <w:bCs/>
          <w:i/>
          <w:iCs/>
          <w:color w:val="000000" w:themeColor="text1"/>
          <w:sz w:val="24"/>
          <w:szCs w:val="24"/>
          <w:lang w:val="en-GB"/>
        </w:rPr>
        <w:t>experimental part of the study</w:t>
      </w:r>
      <w:r w:rsidRPr="002013B9">
        <w:rPr>
          <w:rFonts w:ascii="Times New Roman" w:hAnsi="Times New Roman" w:cs="Times New Roman"/>
          <w:color w:val="000000" w:themeColor="text1"/>
          <w:sz w:val="24"/>
          <w:szCs w:val="24"/>
          <w:lang w:val="en-GB"/>
        </w:rPr>
        <w:t xml:space="preserve"> aims to evaluate if QST</w:t>
      </w:r>
      <w:r w:rsidR="00902ACC" w:rsidRPr="002013B9">
        <w:rPr>
          <w:rFonts w:ascii="Times New Roman" w:hAnsi="Times New Roman" w:cs="Times New Roman"/>
          <w:color w:val="000000" w:themeColor="text1"/>
          <w:sz w:val="24"/>
          <w:szCs w:val="24"/>
          <w:lang w:val="en-GB"/>
        </w:rPr>
        <w:t xml:space="preserve"> profiles</w:t>
      </w:r>
      <w:r w:rsidRPr="002013B9">
        <w:rPr>
          <w:rFonts w:ascii="Times New Roman" w:hAnsi="Times New Roman" w:cs="Times New Roman"/>
          <w:color w:val="000000" w:themeColor="text1"/>
          <w:sz w:val="24"/>
          <w:szCs w:val="24"/>
          <w:lang w:val="en-GB"/>
        </w:rPr>
        <w:t xml:space="preserve"> </w:t>
      </w:r>
      <w:r w:rsidR="00902ACC" w:rsidRPr="002013B9">
        <w:rPr>
          <w:rFonts w:ascii="Times New Roman" w:hAnsi="Times New Roman" w:cs="Times New Roman"/>
          <w:color w:val="000000" w:themeColor="text1"/>
          <w:sz w:val="24"/>
          <w:szCs w:val="24"/>
          <w:lang w:val="en-GB"/>
        </w:rPr>
        <w:t>obtained prior</w:t>
      </w:r>
      <w:r w:rsidRPr="002013B9">
        <w:rPr>
          <w:rFonts w:ascii="Times New Roman" w:hAnsi="Times New Roman" w:cs="Times New Roman"/>
          <w:color w:val="000000" w:themeColor="text1"/>
          <w:sz w:val="24"/>
          <w:szCs w:val="24"/>
          <w:lang w:val="en-GB"/>
        </w:rPr>
        <w:t xml:space="preserve"> to ESWL and endoscopic intervention can be used for prediction of treatment outcome. </w:t>
      </w:r>
      <w:bookmarkStart w:id="2" w:name="_Toc372282128"/>
    </w:p>
    <w:p w14:paraId="6D42635A" w14:textId="77777777" w:rsidR="00ED0602" w:rsidRPr="002013B9" w:rsidRDefault="00ED0602" w:rsidP="00ED0602">
      <w:pPr>
        <w:spacing w:line="480" w:lineRule="auto"/>
        <w:contextualSpacing/>
        <w:jc w:val="both"/>
        <w:rPr>
          <w:rFonts w:ascii="Times New Roman" w:hAnsi="Times New Roman" w:cs="Times New Roman"/>
          <w:color w:val="000000" w:themeColor="text1"/>
          <w:sz w:val="24"/>
          <w:szCs w:val="24"/>
          <w:lang w:val="en-GB"/>
        </w:rPr>
      </w:pPr>
    </w:p>
    <w:p w14:paraId="41920BE1" w14:textId="77777777" w:rsidR="00ED0602" w:rsidRPr="002013B9" w:rsidRDefault="00FF04A1" w:rsidP="00ED0602">
      <w:pPr>
        <w:spacing w:line="480" w:lineRule="auto"/>
        <w:contextualSpacing/>
        <w:jc w:val="both"/>
        <w:rPr>
          <w:rFonts w:ascii="Times New Roman" w:hAnsi="Times New Roman" w:cs="Times New Roman"/>
          <w:i/>
          <w:iCs/>
          <w:color w:val="000000" w:themeColor="text1"/>
          <w:sz w:val="24"/>
          <w:szCs w:val="24"/>
          <w:lang w:val="en-GB"/>
        </w:rPr>
      </w:pPr>
      <w:r w:rsidRPr="002013B9">
        <w:rPr>
          <w:rFonts w:ascii="Times New Roman" w:hAnsi="Times New Roman" w:cs="Times New Roman"/>
          <w:i/>
          <w:iCs/>
          <w:color w:val="000000" w:themeColor="text1"/>
          <w:sz w:val="24"/>
          <w:szCs w:val="24"/>
          <w:lang w:val="en-GB"/>
        </w:rPr>
        <w:t>Primary Clinical Endpoint</w:t>
      </w:r>
      <w:bookmarkEnd w:id="2"/>
    </w:p>
    <w:p w14:paraId="33E3AA9C" w14:textId="38CD32AF" w:rsidR="00F06F05" w:rsidRPr="002013B9" w:rsidRDefault="00FF04A1" w:rsidP="00ED0602">
      <w:pPr>
        <w:spacing w:line="480" w:lineRule="auto"/>
        <w:contextualSpacing/>
        <w:jc w:val="both"/>
        <w:rPr>
          <w:rFonts w:ascii="Times New Roman" w:hAnsi="Times New Roman" w:cs="Times New Roman"/>
          <w:color w:val="000000" w:themeColor="text1"/>
          <w:sz w:val="24"/>
          <w:szCs w:val="24"/>
          <w:lang w:val="en-GB"/>
        </w:rPr>
      </w:pPr>
      <w:r w:rsidRPr="002013B9">
        <w:rPr>
          <w:rFonts w:ascii="Times New Roman" w:hAnsi="Times New Roman" w:cs="Times New Roman"/>
          <w:color w:val="000000" w:themeColor="text1"/>
          <w:sz w:val="24"/>
          <w:szCs w:val="24"/>
          <w:lang w:val="en-GB"/>
        </w:rPr>
        <w:t xml:space="preserve">The primary </w:t>
      </w:r>
      <w:r w:rsidR="00AA2A7A" w:rsidRPr="002013B9">
        <w:rPr>
          <w:rFonts w:ascii="Times New Roman" w:hAnsi="Times New Roman" w:cs="Times New Roman"/>
          <w:color w:val="000000" w:themeColor="text1"/>
          <w:sz w:val="24"/>
          <w:szCs w:val="24"/>
          <w:lang w:val="en-GB"/>
        </w:rPr>
        <w:t xml:space="preserve">clinical endpoint </w:t>
      </w:r>
      <w:r w:rsidRPr="002013B9">
        <w:rPr>
          <w:rFonts w:ascii="Times New Roman" w:hAnsi="Times New Roman" w:cs="Times New Roman"/>
          <w:color w:val="000000" w:themeColor="text1"/>
          <w:sz w:val="24"/>
          <w:szCs w:val="24"/>
          <w:lang w:val="en-GB"/>
        </w:rPr>
        <w:t>is pain relief</w:t>
      </w:r>
      <w:r w:rsidR="00CC4F5D" w:rsidRPr="002013B9">
        <w:rPr>
          <w:rFonts w:ascii="Times New Roman" w:hAnsi="Times New Roman" w:cs="Times New Roman"/>
          <w:color w:val="000000" w:themeColor="text1"/>
          <w:sz w:val="24"/>
          <w:szCs w:val="24"/>
          <w:lang w:val="en-GB"/>
        </w:rPr>
        <w:t xml:space="preserve">. </w:t>
      </w:r>
      <w:r w:rsidR="00612707" w:rsidRPr="002013B9">
        <w:rPr>
          <w:rFonts w:ascii="Times New Roman" w:hAnsi="Times New Roman" w:cs="Times New Roman"/>
          <w:color w:val="000000" w:themeColor="text1"/>
          <w:sz w:val="24"/>
          <w:szCs w:val="24"/>
          <w:lang w:val="en-GB"/>
        </w:rPr>
        <w:t xml:space="preserve">Average and maximal </w:t>
      </w:r>
      <w:r w:rsidR="003E4270" w:rsidRPr="002013B9">
        <w:rPr>
          <w:rFonts w:ascii="Times New Roman" w:hAnsi="Times New Roman" w:cs="Times New Roman"/>
          <w:color w:val="000000" w:themeColor="text1"/>
          <w:sz w:val="24"/>
          <w:szCs w:val="24"/>
          <w:lang w:val="en-GB"/>
        </w:rPr>
        <w:t xml:space="preserve">daily </w:t>
      </w:r>
      <w:r w:rsidR="00612707" w:rsidRPr="002013B9">
        <w:rPr>
          <w:rFonts w:ascii="Times New Roman" w:hAnsi="Times New Roman" w:cs="Times New Roman"/>
          <w:color w:val="000000" w:themeColor="text1"/>
          <w:sz w:val="24"/>
          <w:szCs w:val="24"/>
          <w:lang w:val="en-GB"/>
        </w:rPr>
        <w:t>c</w:t>
      </w:r>
      <w:r w:rsidR="007D578C" w:rsidRPr="002013B9">
        <w:rPr>
          <w:rFonts w:ascii="Times New Roman" w:hAnsi="Times New Roman" w:cs="Times New Roman"/>
          <w:color w:val="000000" w:themeColor="text1"/>
          <w:sz w:val="24"/>
          <w:szCs w:val="24"/>
          <w:lang w:val="en-GB"/>
        </w:rPr>
        <w:t>linical pain intensity scores will be recorded in a patient pain diary based on a 0-10 visual analogy scale (VAS), with</w:t>
      </w:r>
      <w:r w:rsidR="00612707" w:rsidRPr="002013B9">
        <w:rPr>
          <w:rFonts w:ascii="Times New Roman" w:hAnsi="Times New Roman" w:cs="Times New Roman"/>
          <w:color w:val="000000" w:themeColor="text1"/>
          <w:sz w:val="24"/>
          <w:szCs w:val="24"/>
          <w:lang w:val="en-GB"/>
        </w:rPr>
        <w:t xml:space="preserve"> registration of the baseline pain intensity score</w:t>
      </w:r>
      <w:r w:rsidR="003E4270" w:rsidRPr="002013B9">
        <w:rPr>
          <w:rFonts w:ascii="Times New Roman" w:hAnsi="Times New Roman" w:cs="Times New Roman"/>
          <w:color w:val="000000" w:themeColor="text1"/>
          <w:sz w:val="24"/>
          <w:szCs w:val="24"/>
          <w:lang w:val="en-GB"/>
        </w:rPr>
        <w:t>s</w:t>
      </w:r>
      <w:r w:rsidR="00612707" w:rsidRPr="002013B9">
        <w:rPr>
          <w:rFonts w:ascii="Times New Roman" w:hAnsi="Times New Roman" w:cs="Times New Roman"/>
          <w:color w:val="000000" w:themeColor="text1"/>
          <w:sz w:val="24"/>
          <w:szCs w:val="24"/>
          <w:lang w:val="en-GB"/>
        </w:rPr>
        <w:t xml:space="preserve"> the week prior to intervention and</w:t>
      </w:r>
      <w:r w:rsidR="007D578C" w:rsidRPr="002013B9">
        <w:rPr>
          <w:rFonts w:ascii="Times New Roman" w:hAnsi="Times New Roman" w:cs="Times New Roman"/>
          <w:color w:val="000000" w:themeColor="text1"/>
          <w:sz w:val="24"/>
          <w:szCs w:val="24"/>
          <w:lang w:val="en-GB"/>
        </w:rPr>
        <w:t xml:space="preserve"> </w:t>
      </w:r>
      <w:r w:rsidR="00612707" w:rsidRPr="002013B9">
        <w:rPr>
          <w:rFonts w:ascii="Times New Roman" w:hAnsi="Times New Roman" w:cs="Times New Roman"/>
          <w:color w:val="000000" w:themeColor="text1"/>
          <w:sz w:val="24"/>
          <w:szCs w:val="24"/>
          <w:lang w:val="en-GB"/>
        </w:rPr>
        <w:t>weekly</w:t>
      </w:r>
      <w:r w:rsidR="007D578C" w:rsidRPr="002013B9">
        <w:rPr>
          <w:rFonts w:ascii="Times New Roman" w:hAnsi="Times New Roman" w:cs="Times New Roman"/>
          <w:color w:val="000000" w:themeColor="text1"/>
          <w:sz w:val="24"/>
          <w:szCs w:val="24"/>
          <w:lang w:val="en-GB"/>
        </w:rPr>
        <w:t xml:space="preserve"> recordings continued for a </w:t>
      </w:r>
      <w:r w:rsidR="003D5A9A" w:rsidRPr="002013B9">
        <w:rPr>
          <w:rFonts w:ascii="Times New Roman" w:hAnsi="Times New Roman" w:cs="Times New Roman"/>
          <w:color w:val="000000" w:themeColor="text1"/>
          <w:sz w:val="24"/>
          <w:szCs w:val="24"/>
          <w:lang w:val="en-GB"/>
        </w:rPr>
        <w:t>3</w:t>
      </w:r>
      <w:r w:rsidR="007D578C" w:rsidRPr="002013B9">
        <w:rPr>
          <w:rFonts w:ascii="Times New Roman" w:hAnsi="Times New Roman" w:cs="Times New Roman"/>
          <w:color w:val="000000" w:themeColor="text1"/>
          <w:sz w:val="24"/>
          <w:szCs w:val="24"/>
          <w:lang w:val="en-GB"/>
        </w:rPr>
        <w:t xml:space="preserve"> months period after intervention. </w:t>
      </w:r>
      <w:r w:rsidR="003E4270" w:rsidRPr="002013B9">
        <w:rPr>
          <w:rFonts w:ascii="Times New Roman" w:hAnsi="Times New Roman" w:cs="Times New Roman"/>
          <w:color w:val="000000" w:themeColor="text1"/>
          <w:sz w:val="24"/>
          <w:szCs w:val="24"/>
          <w:lang w:val="en-GB"/>
        </w:rPr>
        <w:t>Mean values of pain scores will be calculated over 1 week</w:t>
      </w:r>
      <w:r w:rsidR="003E4270" w:rsidRPr="002013B9">
        <w:rPr>
          <w:rFonts w:ascii="Times New Roman" w:eastAsiaTheme="majorEastAsia" w:hAnsi="Times New Roman" w:cs="Times New Roman"/>
          <w:color w:val="000000" w:themeColor="text1"/>
          <w:sz w:val="24"/>
          <w:szCs w:val="24"/>
          <w:lang w:val="en-GB"/>
        </w:rPr>
        <w:t xml:space="preserve"> </w:t>
      </w:r>
      <w:r w:rsidR="003E4270" w:rsidRPr="002013B9">
        <w:rPr>
          <w:rFonts w:ascii="Times New Roman" w:hAnsi="Times New Roman" w:cs="Times New Roman"/>
          <w:color w:val="000000" w:themeColor="text1"/>
          <w:sz w:val="24"/>
          <w:szCs w:val="24"/>
          <w:lang w:val="en-GB"/>
        </w:rPr>
        <w:t>to</w:t>
      </w:r>
      <w:r w:rsidR="003E4270" w:rsidRPr="002013B9">
        <w:rPr>
          <w:rFonts w:ascii="Times New Roman" w:eastAsiaTheme="majorEastAsia" w:hAnsi="Times New Roman" w:cs="Times New Roman"/>
          <w:color w:val="000000" w:themeColor="text1"/>
          <w:sz w:val="24"/>
          <w:szCs w:val="24"/>
          <w:lang w:val="en-GB"/>
        </w:rPr>
        <w:t xml:space="preserve"> adjust for </w:t>
      </w:r>
      <w:r w:rsidR="003E4270" w:rsidRPr="002013B9">
        <w:rPr>
          <w:rFonts w:ascii="Times New Roman" w:hAnsi="Times New Roman" w:cs="Times New Roman"/>
          <w:color w:val="000000" w:themeColor="text1"/>
          <w:sz w:val="24"/>
          <w:szCs w:val="24"/>
          <w:lang w:val="en-GB"/>
        </w:rPr>
        <w:t>day-to-day variability in pain intensity</w:t>
      </w:r>
      <w:r w:rsidR="003E4270" w:rsidRPr="002013B9">
        <w:rPr>
          <w:rFonts w:ascii="Times New Roman" w:eastAsiaTheme="majorEastAsia" w:hAnsi="Times New Roman" w:cs="Times New Roman"/>
          <w:color w:val="000000" w:themeColor="text1"/>
          <w:sz w:val="24"/>
          <w:szCs w:val="24"/>
          <w:lang w:val="en-GB"/>
        </w:rPr>
        <w:t xml:space="preserve">. </w:t>
      </w:r>
      <w:r w:rsidR="00612707" w:rsidRPr="002013B9">
        <w:rPr>
          <w:rFonts w:ascii="Times New Roman" w:hAnsi="Times New Roman" w:cs="Times New Roman"/>
          <w:color w:val="000000" w:themeColor="text1"/>
          <w:sz w:val="24"/>
          <w:szCs w:val="24"/>
          <w:lang w:val="en-GB"/>
        </w:rPr>
        <w:t>T</w:t>
      </w:r>
      <w:r w:rsidR="007F6202" w:rsidRPr="002013B9">
        <w:rPr>
          <w:rFonts w:ascii="Times New Roman" w:hAnsi="Times New Roman" w:cs="Times New Roman"/>
          <w:color w:val="000000" w:themeColor="text1"/>
          <w:sz w:val="24"/>
          <w:szCs w:val="24"/>
          <w:lang w:val="en-GB"/>
        </w:rPr>
        <w:t>he</w:t>
      </w:r>
      <w:r w:rsidR="00CC4F5D" w:rsidRPr="002013B9">
        <w:rPr>
          <w:rFonts w:ascii="Times New Roman" w:hAnsi="Times New Roman" w:cs="Times New Roman"/>
          <w:color w:val="000000" w:themeColor="text1"/>
          <w:sz w:val="24"/>
          <w:szCs w:val="24"/>
          <w:lang w:val="en-GB"/>
        </w:rPr>
        <w:t xml:space="preserve"> </w:t>
      </w:r>
      <w:r w:rsidR="0073433C" w:rsidRPr="002013B9">
        <w:rPr>
          <w:rFonts w:ascii="Times New Roman" w:hAnsi="Times New Roman" w:cs="Times New Roman"/>
          <w:color w:val="000000" w:themeColor="text1"/>
          <w:sz w:val="24"/>
          <w:szCs w:val="24"/>
          <w:lang w:val="en-GB"/>
        </w:rPr>
        <w:t xml:space="preserve">difference </w:t>
      </w:r>
      <w:r w:rsidR="007F6202" w:rsidRPr="002013B9">
        <w:rPr>
          <w:rFonts w:ascii="Times New Roman" w:hAnsi="Times New Roman" w:cs="Times New Roman"/>
          <w:color w:val="000000" w:themeColor="text1"/>
          <w:sz w:val="24"/>
          <w:szCs w:val="24"/>
          <w:lang w:val="en-GB"/>
        </w:rPr>
        <w:t>in</w:t>
      </w:r>
      <w:r w:rsidR="003E4270" w:rsidRPr="002013B9">
        <w:rPr>
          <w:rFonts w:ascii="Times New Roman" w:hAnsi="Times New Roman" w:cs="Times New Roman"/>
          <w:color w:val="000000" w:themeColor="text1"/>
          <w:sz w:val="24"/>
          <w:szCs w:val="24"/>
          <w:lang w:val="en-GB"/>
        </w:rPr>
        <w:t xml:space="preserve"> </w:t>
      </w:r>
      <w:r w:rsidR="007D578C" w:rsidRPr="002013B9">
        <w:rPr>
          <w:rFonts w:ascii="Times New Roman" w:hAnsi="Times New Roman" w:cs="Times New Roman"/>
          <w:color w:val="000000" w:themeColor="text1"/>
          <w:sz w:val="24"/>
          <w:szCs w:val="24"/>
          <w:lang w:val="en-GB"/>
        </w:rPr>
        <w:t>pain scores</w:t>
      </w:r>
      <w:r w:rsidR="00612707" w:rsidRPr="002013B9">
        <w:rPr>
          <w:rFonts w:ascii="Times New Roman" w:hAnsi="Times New Roman" w:cs="Times New Roman"/>
          <w:color w:val="000000" w:themeColor="text1"/>
          <w:sz w:val="24"/>
          <w:szCs w:val="24"/>
          <w:lang w:val="en-GB"/>
        </w:rPr>
        <w:t xml:space="preserve"> </w:t>
      </w:r>
      <w:r w:rsidR="007F6202" w:rsidRPr="002013B9">
        <w:rPr>
          <w:rFonts w:ascii="Times New Roman" w:hAnsi="Times New Roman" w:cs="Times New Roman"/>
          <w:color w:val="000000" w:themeColor="text1"/>
          <w:sz w:val="24"/>
          <w:szCs w:val="24"/>
          <w:lang w:val="en-GB"/>
        </w:rPr>
        <w:t xml:space="preserve">between </w:t>
      </w:r>
      <w:r w:rsidR="00503E24" w:rsidRPr="002013B9">
        <w:rPr>
          <w:rFonts w:ascii="Times New Roman" w:hAnsi="Times New Roman" w:cs="Times New Roman"/>
          <w:color w:val="000000" w:themeColor="text1"/>
          <w:sz w:val="24"/>
          <w:szCs w:val="24"/>
          <w:lang w:val="en-GB"/>
        </w:rPr>
        <w:t>patients receiving active treatment (ESWL and ERCP)</w:t>
      </w:r>
      <w:r w:rsidR="007F6202" w:rsidRPr="002013B9">
        <w:rPr>
          <w:rFonts w:ascii="Times New Roman" w:hAnsi="Times New Roman" w:cs="Times New Roman"/>
          <w:color w:val="000000" w:themeColor="text1"/>
          <w:sz w:val="24"/>
          <w:szCs w:val="24"/>
          <w:lang w:val="en-GB"/>
        </w:rPr>
        <w:t xml:space="preserve"> </w:t>
      </w:r>
      <w:r w:rsidR="00D56E65" w:rsidRPr="002013B9">
        <w:rPr>
          <w:rFonts w:ascii="Times New Roman" w:hAnsi="Times New Roman" w:cs="Times New Roman"/>
          <w:color w:val="000000" w:themeColor="text1"/>
          <w:sz w:val="24"/>
          <w:szCs w:val="24"/>
          <w:lang w:val="en-GB"/>
        </w:rPr>
        <w:t>and</w:t>
      </w:r>
      <w:r w:rsidR="007F6202" w:rsidRPr="002013B9">
        <w:rPr>
          <w:rFonts w:ascii="Times New Roman" w:hAnsi="Times New Roman" w:cs="Times New Roman"/>
          <w:color w:val="000000" w:themeColor="text1"/>
          <w:sz w:val="24"/>
          <w:szCs w:val="24"/>
          <w:lang w:val="en-GB"/>
        </w:rPr>
        <w:t xml:space="preserve"> sham </w:t>
      </w:r>
      <w:r w:rsidR="007D578C" w:rsidRPr="002013B9">
        <w:rPr>
          <w:rFonts w:ascii="Times New Roman" w:hAnsi="Times New Roman" w:cs="Times New Roman"/>
          <w:color w:val="000000" w:themeColor="text1"/>
          <w:sz w:val="24"/>
          <w:szCs w:val="24"/>
          <w:lang w:val="en-GB"/>
        </w:rPr>
        <w:t>treatment</w:t>
      </w:r>
      <w:r w:rsidR="00777D83" w:rsidRPr="002013B9">
        <w:rPr>
          <w:rFonts w:ascii="Times New Roman" w:hAnsi="Times New Roman" w:cs="Times New Roman"/>
          <w:color w:val="000000" w:themeColor="text1"/>
          <w:sz w:val="24"/>
          <w:szCs w:val="24"/>
          <w:lang w:val="en-GB"/>
        </w:rPr>
        <w:t xml:space="preserve"> </w:t>
      </w:r>
      <w:r w:rsidR="007D578C" w:rsidRPr="002013B9">
        <w:rPr>
          <w:rFonts w:ascii="Times New Roman" w:hAnsi="Times New Roman" w:cs="Times New Roman"/>
          <w:color w:val="000000" w:themeColor="text1"/>
          <w:sz w:val="24"/>
          <w:szCs w:val="24"/>
          <w:lang w:val="en-GB"/>
        </w:rPr>
        <w:t>are compared</w:t>
      </w:r>
      <w:r w:rsidR="009A3A25" w:rsidRPr="002013B9">
        <w:rPr>
          <w:rFonts w:ascii="Times New Roman" w:hAnsi="Times New Roman" w:cs="Times New Roman"/>
          <w:color w:val="000000" w:themeColor="text1"/>
          <w:sz w:val="24"/>
          <w:szCs w:val="24"/>
          <w:lang w:val="en-GB"/>
        </w:rPr>
        <w:t>,</w:t>
      </w:r>
      <w:r w:rsidR="009A3A25" w:rsidRPr="002013B9">
        <w:rPr>
          <w:rFonts w:ascii="Times New Roman" w:eastAsia="Times New Roman" w:hAnsi="Times New Roman" w:cs="Times New Roman"/>
          <w:color w:val="000000" w:themeColor="text1"/>
          <w:sz w:val="24"/>
          <w:szCs w:val="24"/>
          <w:lang w:val="en-GB" w:eastAsia="da-DK"/>
        </w:rPr>
        <w:t xml:space="preserve"> </w:t>
      </w:r>
      <w:r w:rsidR="009A3A25" w:rsidRPr="002013B9">
        <w:rPr>
          <w:rFonts w:ascii="Times New Roman" w:hAnsi="Times New Roman" w:cs="Times New Roman"/>
          <w:color w:val="000000" w:themeColor="text1"/>
          <w:sz w:val="24"/>
          <w:szCs w:val="24"/>
          <w:lang w:val="en-GB"/>
        </w:rPr>
        <w:t>with the primary comparison</w:t>
      </w:r>
      <w:r w:rsidR="00612707" w:rsidRPr="002013B9">
        <w:rPr>
          <w:rFonts w:ascii="Times New Roman" w:hAnsi="Times New Roman" w:cs="Times New Roman"/>
          <w:color w:val="000000" w:themeColor="text1"/>
          <w:sz w:val="24"/>
          <w:szCs w:val="24"/>
          <w:lang w:val="en-GB"/>
        </w:rPr>
        <w:t xml:space="preserve"> of average pain scores</w:t>
      </w:r>
      <w:r w:rsidR="009A3A25" w:rsidRPr="002013B9">
        <w:rPr>
          <w:rFonts w:ascii="Times New Roman" w:hAnsi="Times New Roman" w:cs="Times New Roman"/>
          <w:color w:val="000000" w:themeColor="text1"/>
          <w:sz w:val="24"/>
          <w:szCs w:val="24"/>
          <w:lang w:val="en-GB"/>
        </w:rPr>
        <w:t xml:space="preserve"> </w:t>
      </w:r>
      <w:r w:rsidR="007D578C" w:rsidRPr="002013B9">
        <w:rPr>
          <w:rFonts w:ascii="Times New Roman" w:hAnsi="Times New Roman" w:cs="Times New Roman"/>
          <w:color w:val="000000" w:themeColor="text1"/>
          <w:sz w:val="24"/>
          <w:szCs w:val="24"/>
          <w:lang w:val="en-GB"/>
        </w:rPr>
        <w:t>3 months after intervention</w:t>
      </w:r>
      <w:r w:rsidR="00FA6BE9" w:rsidRPr="002013B9">
        <w:rPr>
          <w:rFonts w:ascii="Times New Roman" w:hAnsi="Times New Roman" w:cs="Times New Roman"/>
          <w:color w:val="000000" w:themeColor="text1"/>
          <w:sz w:val="24"/>
          <w:szCs w:val="24"/>
          <w:lang w:val="en-GB"/>
        </w:rPr>
        <w:t xml:space="preserve">. </w:t>
      </w:r>
      <w:r w:rsidR="000B3AAB" w:rsidRPr="002013B9">
        <w:rPr>
          <w:rFonts w:ascii="Times New Roman" w:hAnsi="Times New Roman" w:cs="Times New Roman"/>
          <w:color w:val="000000" w:themeColor="text1"/>
          <w:sz w:val="24"/>
          <w:szCs w:val="24"/>
          <w:lang w:val="en-GB"/>
        </w:rPr>
        <w:t xml:space="preserve">Weekly telephone interviews from a study </w:t>
      </w:r>
      <w:r w:rsidR="00F131D1" w:rsidRPr="002013B9">
        <w:rPr>
          <w:rFonts w:ascii="Times New Roman" w:hAnsi="Times New Roman" w:cs="Times New Roman"/>
          <w:color w:val="000000" w:themeColor="text1"/>
          <w:sz w:val="24"/>
          <w:szCs w:val="24"/>
          <w:lang w:val="en-GB"/>
        </w:rPr>
        <w:t>co-ordinator</w:t>
      </w:r>
      <w:r w:rsidR="000B3AAB" w:rsidRPr="002013B9">
        <w:rPr>
          <w:rFonts w:ascii="Times New Roman" w:hAnsi="Times New Roman" w:cs="Times New Roman"/>
          <w:color w:val="000000" w:themeColor="text1"/>
          <w:sz w:val="24"/>
          <w:szCs w:val="24"/>
          <w:lang w:val="en-GB"/>
        </w:rPr>
        <w:t xml:space="preserve"> will be undertaken to facilitate accurate registration and compliance</w:t>
      </w:r>
      <w:r w:rsidR="00514259" w:rsidRPr="002013B9">
        <w:rPr>
          <w:rFonts w:ascii="Times New Roman" w:hAnsi="Times New Roman" w:cs="Times New Roman"/>
          <w:color w:val="000000" w:themeColor="text1"/>
          <w:sz w:val="24"/>
          <w:szCs w:val="24"/>
          <w:lang w:val="en-GB"/>
        </w:rPr>
        <w:t xml:space="preserve"> pain score.</w:t>
      </w:r>
    </w:p>
    <w:p w14:paraId="4015031B" w14:textId="77777777" w:rsidR="00B64710" w:rsidRPr="002013B9" w:rsidRDefault="00B64710" w:rsidP="007D578C">
      <w:pPr>
        <w:pStyle w:val="Default"/>
        <w:spacing w:line="480" w:lineRule="auto"/>
        <w:contextualSpacing/>
        <w:jc w:val="both"/>
        <w:rPr>
          <w:color w:val="000000" w:themeColor="text1"/>
          <w:lang w:val="en-GB"/>
        </w:rPr>
      </w:pPr>
    </w:p>
    <w:p w14:paraId="2EB78C00" w14:textId="1BDFD72F" w:rsidR="003E4270" w:rsidRPr="002013B9" w:rsidRDefault="00FF04A1" w:rsidP="003E4270">
      <w:pPr>
        <w:pStyle w:val="Heading2"/>
        <w:spacing w:before="0" w:line="480" w:lineRule="auto"/>
        <w:contextualSpacing/>
        <w:jc w:val="both"/>
        <w:rPr>
          <w:rFonts w:cs="Times New Roman"/>
          <w:b w:val="0"/>
          <w:bCs w:val="0"/>
          <w:i/>
          <w:iCs/>
          <w:color w:val="000000" w:themeColor="text1"/>
          <w:sz w:val="24"/>
          <w:szCs w:val="24"/>
          <w:lang w:val="en-GB"/>
        </w:rPr>
      </w:pPr>
      <w:bookmarkStart w:id="3" w:name="_Toc372282129"/>
      <w:r w:rsidRPr="002013B9">
        <w:rPr>
          <w:rFonts w:cs="Times New Roman"/>
          <w:b w:val="0"/>
          <w:bCs w:val="0"/>
          <w:i/>
          <w:iCs/>
          <w:color w:val="000000" w:themeColor="text1"/>
          <w:sz w:val="24"/>
          <w:szCs w:val="24"/>
          <w:lang w:val="en-GB"/>
        </w:rPr>
        <w:t>Secondary Clinical Endpoints</w:t>
      </w:r>
      <w:bookmarkEnd w:id="3"/>
      <w:r w:rsidRPr="002013B9">
        <w:rPr>
          <w:rFonts w:cs="Times New Roman"/>
          <w:b w:val="0"/>
          <w:bCs w:val="0"/>
          <w:i/>
          <w:iCs/>
          <w:color w:val="000000" w:themeColor="text1"/>
          <w:sz w:val="24"/>
          <w:szCs w:val="24"/>
          <w:lang w:val="en-GB"/>
        </w:rPr>
        <w:t xml:space="preserve"> </w:t>
      </w:r>
    </w:p>
    <w:p w14:paraId="34E2C3CB" w14:textId="03A9D1C6" w:rsidR="00D56E65" w:rsidRPr="002013B9" w:rsidRDefault="00FD48C3" w:rsidP="00D56E65">
      <w:pPr>
        <w:pStyle w:val="Default"/>
        <w:numPr>
          <w:ilvl w:val="0"/>
          <w:numId w:val="26"/>
        </w:numPr>
        <w:spacing w:line="480" w:lineRule="auto"/>
        <w:contextualSpacing/>
        <w:jc w:val="both"/>
        <w:rPr>
          <w:color w:val="000000" w:themeColor="text1"/>
          <w:lang w:val="en-GB"/>
        </w:rPr>
      </w:pPr>
      <w:r w:rsidRPr="002013B9">
        <w:rPr>
          <w:color w:val="000000" w:themeColor="text1"/>
          <w:lang w:val="en-GB"/>
        </w:rPr>
        <w:t>Difference</w:t>
      </w:r>
      <w:r w:rsidR="00D56E65" w:rsidRPr="002013B9">
        <w:rPr>
          <w:color w:val="000000" w:themeColor="text1"/>
          <w:lang w:val="en-GB"/>
        </w:rPr>
        <w:t xml:space="preserve"> </w:t>
      </w:r>
      <w:r w:rsidR="00456FE0" w:rsidRPr="002013B9">
        <w:rPr>
          <w:color w:val="000000" w:themeColor="text1"/>
          <w:lang w:val="en-GB"/>
        </w:rPr>
        <w:t xml:space="preserve">between groups </w:t>
      </w:r>
      <w:r w:rsidR="00D56E65" w:rsidRPr="002013B9">
        <w:rPr>
          <w:color w:val="000000" w:themeColor="text1"/>
          <w:lang w:val="en-GB"/>
        </w:rPr>
        <w:t>in pain</w:t>
      </w:r>
      <w:r w:rsidR="003E4270" w:rsidRPr="002013B9">
        <w:rPr>
          <w:color w:val="000000" w:themeColor="text1"/>
          <w:lang w:val="en-GB"/>
        </w:rPr>
        <w:t xml:space="preserve"> scores</w:t>
      </w:r>
      <w:r w:rsidR="00D56E65" w:rsidRPr="002013B9">
        <w:rPr>
          <w:color w:val="000000" w:themeColor="text1"/>
          <w:lang w:val="en-GB"/>
        </w:rPr>
        <w:t xml:space="preserve"> after 6 </w:t>
      </w:r>
      <w:r w:rsidRPr="002013B9">
        <w:rPr>
          <w:color w:val="000000" w:themeColor="text1"/>
          <w:lang w:val="en-GB"/>
        </w:rPr>
        <w:t>months</w:t>
      </w:r>
      <w:r w:rsidR="00D56E65" w:rsidRPr="002013B9">
        <w:rPr>
          <w:color w:val="000000" w:themeColor="text1"/>
          <w:lang w:val="en-GB"/>
        </w:rPr>
        <w:t>.</w:t>
      </w:r>
      <w:r w:rsidR="003D5A9A" w:rsidRPr="002013B9">
        <w:rPr>
          <w:color w:val="000000" w:themeColor="text1"/>
          <w:lang w:val="en-GB"/>
        </w:rPr>
        <w:t xml:space="preserve"> </w:t>
      </w:r>
    </w:p>
    <w:p w14:paraId="01ACED1D" w14:textId="754ED67A" w:rsidR="00E17BDF" w:rsidRPr="002013B9" w:rsidRDefault="00FF04A1" w:rsidP="00164C1D">
      <w:pPr>
        <w:pStyle w:val="Default"/>
        <w:numPr>
          <w:ilvl w:val="0"/>
          <w:numId w:val="26"/>
        </w:numPr>
        <w:spacing w:line="480" w:lineRule="auto"/>
        <w:contextualSpacing/>
        <w:jc w:val="both"/>
        <w:rPr>
          <w:color w:val="000000" w:themeColor="text1"/>
          <w:lang w:val="en-GB"/>
        </w:rPr>
      </w:pPr>
      <w:r w:rsidRPr="002013B9">
        <w:rPr>
          <w:color w:val="000000" w:themeColor="text1"/>
          <w:lang w:val="en-GB"/>
        </w:rPr>
        <w:t>The ratio of responders versus non-responder</w:t>
      </w:r>
      <w:r w:rsidR="00C86490" w:rsidRPr="002013B9">
        <w:rPr>
          <w:color w:val="000000" w:themeColor="text1"/>
          <w:lang w:val="en-GB"/>
        </w:rPr>
        <w:t xml:space="preserve">s defined by a decrease in </w:t>
      </w:r>
      <w:r w:rsidR="00C335AC" w:rsidRPr="002013B9">
        <w:rPr>
          <w:color w:val="000000" w:themeColor="text1"/>
          <w:lang w:val="en-GB"/>
        </w:rPr>
        <w:t>the average clinical pain score (</w:t>
      </w:r>
      <w:r w:rsidR="00C86490" w:rsidRPr="002013B9">
        <w:rPr>
          <w:color w:val="000000" w:themeColor="text1"/>
          <w:lang w:val="en-GB"/>
        </w:rPr>
        <w:t>VAS</w:t>
      </w:r>
      <w:r w:rsidR="00C335AC" w:rsidRPr="002013B9">
        <w:rPr>
          <w:color w:val="000000" w:themeColor="text1"/>
          <w:lang w:val="en-GB"/>
        </w:rPr>
        <w:t>)</w:t>
      </w:r>
      <w:r w:rsidR="00C86490" w:rsidRPr="002013B9">
        <w:rPr>
          <w:color w:val="000000" w:themeColor="text1"/>
          <w:lang w:val="en-GB"/>
        </w:rPr>
        <w:t xml:space="preserve"> of</w:t>
      </w:r>
      <w:r w:rsidRPr="002013B9">
        <w:rPr>
          <w:color w:val="000000" w:themeColor="text1"/>
          <w:lang w:val="en-GB"/>
        </w:rPr>
        <w:t xml:space="preserve"> 30% </w:t>
      </w:r>
      <w:r w:rsidR="00C86490" w:rsidRPr="002013B9">
        <w:rPr>
          <w:color w:val="000000" w:themeColor="text1"/>
          <w:lang w:val="en-GB"/>
        </w:rPr>
        <w:t xml:space="preserve">after </w:t>
      </w:r>
      <w:r w:rsidR="00757007" w:rsidRPr="002013B9">
        <w:rPr>
          <w:color w:val="000000" w:themeColor="text1"/>
          <w:lang w:val="en-GB"/>
        </w:rPr>
        <w:t>3</w:t>
      </w:r>
      <w:r w:rsidR="00C86490" w:rsidRPr="002013B9">
        <w:rPr>
          <w:color w:val="000000" w:themeColor="text1"/>
          <w:lang w:val="en-GB"/>
        </w:rPr>
        <w:t xml:space="preserve"> </w:t>
      </w:r>
      <w:r w:rsidR="00F308C5" w:rsidRPr="002013B9">
        <w:rPr>
          <w:color w:val="000000" w:themeColor="text1"/>
          <w:lang w:val="en-GB"/>
        </w:rPr>
        <w:t xml:space="preserve">and 6 </w:t>
      </w:r>
      <w:r w:rsidR="00FA6BE9" w:rsidRPr="002013B9">
        <w:rPr>
          <w:color w:val="000000" w:themeColor="text1"/>
          <w:lang w:val="en-GB"/>
        </w:rPr>
        <w:t>months compared to baseline.</w:t>
      </w:r>
      <w:r w:rsidRPr="002013B9">
        <w:rPr>
          <w:color w:val="000000" w:themeColor="text1"/>
          <w:lang w:val="en-GB"/>
        </w:rPr>
        <w:t xml:space="preserve"> </w:t>
      </w:r>
    </w:p>
    <w:p w14:paraId="6C86ED32" w14:textId="209B6FB7" w:rsidR="003E4270" w:rsidRPr="002013B9" w:rsidRDefault="003E4270" w:rsidP="00164C1D">
      <w:pPr>
        <w:pStyle w:val="Default"/>
        <w:numPr>
          <w:ilvl w:val="0"/>
          <w:numId w:val="26"/>
        </w:numPr>
        <w:spacing w:line="480" w:lineRule="auto"/>
        <w:contextualSpacing/>
        <w:jc w:val="both"/>
        <w:rPr>
          <w:color w:val="000000" w:themeColor="text1"/>
          <w:lang w:val="en-GB"/>
        </w:rPr>
      </w:pPr>
      <w:r w:rsidRPr="002013B9">
        <w:rPr>
          <w:color w:val="000000" w:themeColor="text1"/>
          <w:lang w:val="en-GB"/>
        </w:rPr>
        <w:t xml:space="preserve">Difference </w:t>
      </w:r>
      <w:r w:rsidR="00456FE0" w:rsidRPr="002013B9">
        <w:rPr>
          <w:color w:val="000000" w:themeColor="text1"/>
          <w:lang w:val="en-GB"/>
        </w:rPr>
        <w:t xml:space="preserve">between groups </w:t>
      </w:r>
      <w:r w:rsidRPr="002013B9">
        <w:rPr>
          <w:color w:val="000000" w:themeColor="text1"/>
          <w:lang w:val="en-GB"/>
        </w:rPr>
        <w:t>in number of pain free days after 3 and 6 months.</w:t>
      </w:r>
    </w:p>
    <w:p w14:paraId="62111400" w14:textId="77777777" w:rsidR="00757007" w:rsidRPr="002013B9" w:rsidRDefault="00FF04A1" w:rsidP="00164C1D">
      <w:pPr>
        <w:pStyle w:val="Default"/>
        <w:numPr>
          <w:ilvl w:val="0"/>
          <w:numId w:val="26"/>
        </w:numPr>
        <w:spacing w:line="480" w:lineRule="auto"/>
        <w:contextualSpacing/>
        <w:jc w:val="both"/>
        <w:rPr>
          <w:color w:val="000000" w:themeColor="text1"/>
          <w:lang w:val="en-GB"/>
        </w:rPr>
      </w:pPr>
      <w:r w:rsidRPr="002013B9">
        <w:rPr>
          <w:color w:val="000000" w:themeColor="text1"/>
          <w:lang w:val="en-GB"/>
        </w:rPr>
        <w:t xml:space="preserve">Change in </w:t>
      </w:r>
      <w:r w:rsidR="00757007" w:rsidRPr="002013B9">
        <w:rPr>
          <w:color w:val="000000" w:themeColor="text1"/>
          <w:lang w:val="en-GB"/>
        </w:rPr>
        <w:t xml:space="preserve">analgesic </w:t>
      </w:r>
      <w:r w:rsidRPr="002013B9">
        <w:rPr>
          <w:color w:val="000000" w:themeColor="text1"/>
          <w:lang w:val="en-GB"/>
        </w:rPr>
        <w:t>consumption</w:t>
      </w:r>
      <w:r w:rsidR="00757007" w:rsidRPr="002013B9">
        <w:rPr>
          <w:color w:val="000000" w:themeColor="text1"/>
          <w:lang w:val="en-GB"/>
        </w:rPr>
        <w:t xml:space="preserve"> (if used</w:t>
      </w:r>
      <w:r w:rsidR="00F308C5" w:rsidRPr="002013B9">
        <w:rPr>
          <w:color w:val="000000" w:themeColor="text1"/>
          <w:lang w:val="en-GB"/>
        </w:rPr>
        <w:t>)</w:t>
      </w:r>
      <w:r w:rsidR="00757007" w:rsidRPr="002013B9">
        <w:rPr>
          <w:color w:val="000000" w:themeColor="text1"/>
          <w:lang w:val="en-GB"/>
        </w:rPr>
        <w:t xml:space="preserve"> </w:t>
      </w:r>
      <w:r w:rsidR="00C86490" w:rsidRPr="002013B9">
        <w:rPr>
          <w:color w:val="000000" w:themeColor="text1"/>
          <w:lang w:val="en-GB"/>
        </w:rPr>
        <w:t xml:space="preserve">after </w:t>
      </w:r>
      <w:r w:rsidR="00757007" w:rsidRPr="002013B9">
        <w:rPr>
          <w:color w:val="000000" w:themeColor="text1"/>
          <w:lang w:val="en-GB"/>
        </w:rPr>
        <w:t>3</w:t>
      </w:r>
      <w:r w:rsidR="00C86490" w:rsidRPr="002013B9">
        <w:rPr>
          <w:color w:val="000000" w:themeColor="text1"/>
          <w:lang w:val="en-GB"/>
        </w:rPr>
        <w:t xml:space="preserve"> </w:t>
      </w:r>
      <w:r w:rsidR="00F308C5" w:rsidRPr="002013B9">
        <w:rPr>
          <w:color w:val="000000" w:themeColor="text1"/>
          <w:lang w:val="en-GB"/>
        </w:rPr>
        <w:t xml:space="preserve">and 6 </w:t>
      </w:r>
      <w:r w:rsidR="00C86490" w:rsidRPr="002013B9">
        <w:rPr>
          <w:color w:val="000000" w:themeColor="text1"/>
          <w:lang w:val="en-GB"/>
        </w:rPr>
        <w:t>months compared to baseline</w:t>
      </w:r>
      <w:r w:rsidR="00FA6BE9" w:rsidRPr="002013B9">
        <w:rPr>
          <w:color w:val="000000" w:themeColor="text1"/>
          <w:lang w:val="en-GB"/>
        </w:rPr>
        <w:t>.</w:t>
      </w:r>
      <w:r w:rsidR="00757007" w:rsidRPr="002013B9">
        <w:rPr>
          <w:color w:val="000000" w:themeColor="text1"/>
          <w:lang w:val="en-GB"/>
        </w:rPr>
        <w:t xml:space="preserve">  </w:t>
      </w:r>
    </w:p>
    <w:p w14:paraId="44393E9E" w14:textId="7ADD3213" w:rsidR="00E17BDF" w:rsidRPr="00456FE0" w:rsidRDefault="00456FE0" w:rsidP="00164C1D">
      <w:pPr>
        <w:pStyle w:val="Default"/>
        <w:numPr>
          <w:ilvl w:val="0"/>
          <w:numId w:val="26"/>
        </w:numPr>
        <w:spacing w:line="480" w:lineRule="auto"/>
        <w:contextualSpacing/>
        <w:jc w:val="both"/>
        <w:rPr>
          <w:color w:val="FF0000"/>
          <w:lang w:val="en-GB"/>
        </w:rPr>
      </w:pPr>
      <w:r w:rsidRPr="00456FE0">
        <w:rPr>
          <w:color w:val="FF0000"/>
          <w:lang w:val="en-GB"/>
        </w:rPr>
        <w:t>Difference between groups in total</w:t>
      </w:r>
      <w:r w:rsidR="00F308C5" w:rsidRPr="00456FE0">
        <w:rPr>
          <w:color w:val="FF0000"/>
          <w:lang w:val="en-GB"/>
        </w:rPr>
        <w:t xml:space="preserve"> number of</w:t>
      </w:r>
      <w:r w:rsidR="00757007" w:rsidRPr="00456FE0">
        <w:rPr>
          <w:color w:val="FF0000"/>
          <w:lang w:val="en-GB"/>
        </w:rPr>
        <w:t xml:space="preserve"> hospitalization</w:t>
      </w:r>
      <w:r w:rsidR="00F308C5" w:rsidRPr="00456FE0">
        <w:rPr>
          <w:color w:val="FF0000"/>
          <w:lang w:val="en-GB"/>
        </w:rPr>
        <w:t>s</w:t>
      </w:r>
      <w:r w:rsidRPr="00456FE0">
        <w:rPr>
          <w:color w:val="FF0000"/>
          <w:lang w:val="en-GB"/>
        </w:rPr>
        <w:t xml:space="preserve"> </w:t>
      </w:r>
      <w:r w:rsidR="00FA6BE9" w:rsidRPr="00456FE0">
        <w:rPr>
          <w:color w:val="FF0000"/>
          <w:lang w:val="en-GB"/>
        </w:rPr>
        <w:t>during the study period</w:t>
      </w:r>
      <w:r w:rsidR="00F308C5" w:rsidRPr="00456FE0">
        <w:rPr>
          <w:color w:val="FF0000"/>
          <w:lang w:val="en-GB"/>
        </w:rPr>
        <w:t>.</w:t>
      </w:r>
    </w:p>
    <w:p w14:paraId="32CF8138" w14:textId="47E5EBD1" w:rsidR="00B5236A" w:rsidRPr="00456FE0" w:rsidRDefault="00456FE0" w:rsidP="00164C1D">
      <w:pPr>
        <w:pStyle w:val="Default"/>
        <w:numPr>
          <w:ilvl w:val="0"/>
          <w:numId w:val="26"/>
        </w:numPr>
        <w:spacing w:line="480" w:lineRule="auto"/>
        <w:contextualSpacing/>
        <w:jc w:val="both"/>
        <w:rPr>
          <w:color w:val="FF0000"/>
          <w:lang w:val="en-GB"/>
        </w:rPr>
      </w:pPr>
      <w:r w:rsidRPr="00456FE0">
        <w:rPr>
          <w:rFonts w:eastAsia="Times New Roman"/>
          <w:color w:val="FF0000"/>
          <w:lang w:val="en-US" w:eastAsia="da-DK"/>
        </w:rPr>
        <w:lastRenderedPageBreak/>
        <w:t xml:space="preserve">Difference </w:t>
      </w:r>
      <w:r w:rsidRPr="00456FE0">
        <w:rPr>
          <w:color w:val="FF0000"/>
          <w:lang w:val="en-GB"/>
        </w:rPr>
        <w:t>between groups</w:t>
      </w:r>
      <w:r w:rsidRPr="00456FE0">
        <w:rPr>
          <w:rFonts w:eastAsia="Times New Roman"/>
          <w:color w:val="FF0000"/>
          <w:lang w:val="en-US" w:eastAsia="da-DK"/>
        </w:rPr>
        <w:t xml:space="preserve"> in t</w:t>
      </w:r>
      <w:r w:rsidR="00B5236A" w:rsidRPr="00456FE0">
        <w:rPr>
          <w:rFonts w:eastAsia="Times New Roman"/>
          <w:color w:val="FF0000"/>
          <w:lang w:val="en-US" w:eastAsia="da-DK"/>
        </w:rPr>
        <w:t>otal duration of hospital stays</w:t>
      </w:r>
      <w:r w:rsidRPr="00456FE0">
        <w:rPr>
          <w:rFonts w:eastAsia="Times New Roman"/>
          <w:color w:val="FF0000"/>
          <w:lang w:val="en-US" w:eastAsia="da-DK"/>
        </w:rPr>
        <w:t xml:space="preserve"> </w:t>
      </w:r>
      <w:r w:rsidR="00B5236A" w:rsidRPr="00456FE0">
        <w:rPr>
          <w:color w:val="FF0000"/>
          <w:lang w:val="en-GB"/>
        </w:rPr>
        <w:t>during the study period.</w:t>
      </w:r>
    </w:p>
    <w:p w14:paraId="3514C4AB" w14:textId="559513AB" w:rsidR="00B5236A" w:rsidRPr="00456FE0" w:rsidRDefault="00456FE0" w:rsidP="00164C1D">
      <w:pPr>
        <w:pStyle w:val="Default"/>
        <w:numPr>
          <w:ilvl w:val="0"/>
          <w:numId w:val="26"/>
        </w:numPr>
        <w:spacing w:line="480" w:lineRule="auto"/>
        <w:contextualSpacing/>
        <w:jc w:val="both"/>
        <w:rPr>
          <w:color w:val="FF0000"/>
          <w:lang w:val="en-GB"/>
        </w:rPr>
      </w:pPr>
      <w:r w:rsidRPr="00456FE0">
        <w:rPr>
          <w:rFonts w:eastAsia="Times New Roman"/>
          <w:color w:val="FF0000"/>
          <w:lang w:val="en-GB" w:eastAsia="da-DK"/>
        </w:rPr>
        <w:t xml:space="preserve">Difference in </w:t>
      </w:r>
      <w:r w:rsidRPr="00456FE0">
        <w:rPr>
          <w:rFonts w:eastAsia="Times New Roman"/>
          <w:color w:val="FF0000"/>
          <w:lang w:val="en-US" w:eastAsia="da-DK"/>
        </w:rPr>
        <w:t>t</w:t>
      </w:r>
      <w:r w:rsidR="00B5236A" w:rsidRPr="00456FE0">
        <w:rPr>
          <w:rFonts w:eastAsia="Times New Roman"/>
          <w:color w:val="FF0000"/>
          <w:lang w:val="en-US" w:eastAsia="da-DK"/>
        </w:rPr>
        <w:t>otal loss of working days</w:t>
      </w:r>
      <w:r w:rsidRPr="00456FE0">
        <w:rPr>
          <w:rFonts w:eastAsia="Times New Roman"/>
          <w:color w:val="FF0000"/>
          <w:lang w:val="en-US" w:eastAsia="da-DK"/>
        </w:rPr>
        <w:t xml:space="preserve"> </w:t>
      </w:r>
      <w:r w:rsidRPr="00456FE0">
        <w:rPr>
          <w:color w:val="FF0000"/>
          <w:lang w:val="en-GB"/>
        </w:rPr>
        <w:t>due to CP</w:t>
      </w:r>
      <w:r w:rsidRPr="00456FE0">
        <w:rPr>
          <w:rFonts w:eastAsia="Times New Roman"/>
          <w:color w:val="FF0000"/>
          <w:lang w:val="en-US" w:eastAsia="da-DK"/>
        </w:rPr>
        <w:t xml:space="preserve"> between groups</w:t>
      </w:r>
      <w:r w:rsidR="00B5236A" w:rsidRPr="00456FE0">
        <w:rPr>
          <w:rFonts w:eastAsia="Times New Roman"/>
          <w:color w:val="FF0000"/>
          <w:lang w:val="en-US" w:eastAsia="da-DK"/>
        </w:rPr>
        <w:t xml:space="preserve"> </w:t>
      </w:r>
      <w:r w:rsidR="00B5236A" w:rsidRPr="00456FE0">
        <w:rPr>
          <w:color w:val="FF0000"/>
          <w:lang w:val="en-GB"/>
        </w:rPr>
        <w:t>during the study period</w:t>
      </w:r>
      <w:r>
        <w:rPr>
          <w:color w:val="FF0000"/>
          <w:lang w:val="en-GB"/>
        </w:rPr>
        <w:t>.</w:t>
      </w:r>
      <w:r w:rsidR="00B5236A" w:rsidRPr="00456FE0">
        <w:rPr>
          <w:color w:val="FF0000"/>
          <w:lang w:val="en-GB"/>
        </w:rPr>
        <w:t xml:space="preserve"> </w:t>
      </w:r>
    </w:p>
    <w:p w14:paraId="35E7142A" w14:textId="02F39483" w:rsidR="00456FE0" w:rsidRPr="00456FE0" w:rsidRDefault="00456FE0" w:rsidP="00164C1D">
      <w:pPr>
        <w:pStyle w:val="Default"/>
        <w:numPr>
          <w:ilvl w:val="0"/>
          <w:numId w:val="26"/>
        </w:numPr>
        <w:spacing w:line="480" w:lineRule="auto"/>
        <w:contextualSpacing/>
        <w:jc w:val="both"/>
        <w:rPr>
          <w:color w:val="FF0000"/>
          <w:lang w:val="en-GB"/>
        </w:rPr>
      </w:pPr>
      <w:r w:rsidRPr="00456FE0">
        <w:rPr>
          <w:color w:val="FF0000"/>
          <w:lang w:val="en-GB"/>
        </w:rPr>
        <w:t>Difference between groups in cumulated</w:t>
      </w:r>
      <w:r>
        <w:rPr>
          <w:color w:val="FF0000"/>
          <w:lang w:val="en-GB"/>
        </w:rPr>
        <w:t xml:space="preserve"> cost</w:t>
      </w:r>
      <w:r w:rsidRPr="00456FE0">
        <w:rPr>
          <w:color w:val="FF0000"/>
          <w:lang w:val="en-GB"/>
        </w:rPr>
        <w:t xml:space="preserve"> attributed to CP </w:t>
      </w:r>
      <w:r>
        <w:rPr>
          <w:color w:val="FF0000"/>
          <w:lang w:val="en-GB"/>
        </w:rPr>
        <w:t xml:space="preserve">related </w:t>
      </w:r>
      <w:r w:rsidRPr="00456FE0">
        <w:rPr>
          <w:color w:val="FF0000"/>
          <w:lang w:val="en-GB"/>
        </w:rPr>
        <w:t>treatment and di</w:t>
      </w:r>
      <w:r>
        <w:rPr>
          <w:color w:val="FF0000"/>
          <w:lang w:val="en-GB"/>
        </w:rPr>
        <w:t>s</w:t>
      </w:r>
      <w:r w:rsidRPr="00456FE0">
        <w:rPr>
          <w:color w:val="FF0000"/>
          <w:lang w:val="en-GB"/>
        </w:rPr>
        <w:t>ability (loss of working days) during the study period</w:t>
      </w:r>
      <w:r>
        <w:rPr>
          <w:color w:val="FF0000"/>
          <w:lang w:val="en-GB"/>
        </w:rPr>
        <w:t>.</w:t>
      </w:r>
    </w:p>
    <w:p w14:paraId="6324133B" w14:textId="1DAA769B" w:rsidR="00434EBC" w:rsidRPr="002013B9" w:rsidRDefault="008D3CD9" w:rsidP="00164C1D">
      <w:pPr>
        <w:pStyle w:val="Default"/>
        <w:numPr>
          <w:ilvl w:val="0"/>
          <w:numId w:val="26"/>
        </w:numPr>
        <w:spacing w:line="480" w:lineRule="auto"/>
        <w:contextualSpacing/>
        <w:jc w:val="both"/>
        <w:rPr>
          <w:color w:val="000000" w:themeColor="text1"/>
          <w:lang w:val="en-GB"/>
        </w:rPr>
      </w:pPr>
      <w:r w:rsidRPr="002013B9">
        <w:rPr>
          <w:color w:val="000000" w:themeColor="text1"/>
          <w:lang w:val="en-GB"/>
        </w:rPr>
        <w:t xml:space="preserve">Difference </w:t>
      </w:r>
      <w:r w:rsidR="00456FE0" w:rsidRPr="002013B9">
        <w:rPr>
          <w:color w:val="000000" w:themeColor="text1"/>
          <w:lang w:val="en-GB"/>
        </w:rPr>
        <w:t xml:space="preserve">between groups </w:t>
      </w:r>
      <w:r w:rsidR="00FF04A1" w:rsidRPr="002013B9">
        <w:rPr>
          <w:color w:val="000000" w:themeColor="text1"/>
          <w:lang w:val="en-GB"/>
        </w:rPr>
        <w:t xml:space="preserve">in quality of life using the European Organization for </w:t>
      </w:r>
      <w:r w:rsidR="00323603" w:rsidRPr="002013B9">
        <w:rPr>
          <w:color w:val="000000" w:themeColor="text1"/>
          <w:lang w:val="en-GB"/>
        </w:rPr>
        <w:t>R</w:t>
      </w:r>
      <w:r w:rsidR="00FF04A1" w:rsidRPr="002013B9">
        <w:rPr>
          <w:color w:val="000000" w:themeColor="text1"/>
          <w:lang w:val="en-GB"/>
        </w:rPr>
        <w:t xml:space="preserve">esearch and </w:t>
      </w:r>
      <w:r w:rsidR="00323603" w:rsidRPr="002013B9">
        <w:rPr>
          <w:color w:val="000000" w:themeColor="text1"/>
          <w:lang w:val="en-GB"/>
        </w:rPr>
        <w:t>T</w:t>
      </w:r>
      <w:r w:rsidR="00FF04A1" w:rsidRPr="002013B9">
        <w:rPr>
          <w:color w:val="000000" w:themeColor="text1"/>
          <w:lang w:val="en-GB"/>
        </w:rPr>
        <w:t xml:space="preserve">reatment of </w:t>
      </w:r>
      <w:r w:rsidR="00323603" w:rsidRPr="002013B9">
        <w:rPr>
          <w:color w:val="000000" w:themeColor="text1"/>
          <w:lang w:val="en-GB"/>
        </w:rPr>
        <w:t>C</w:t>
      </w:r>
      <w:r w:rsidR="00FF04A1" w:rsidRPr="002013B9">
        <w:rPr>
          <w:color w:val="000000" w:themeColor="text1"/>
          <w:lang w:val="en-GB"/>
        </w:rPr>
        <w:t xml:space="preserve">ancer </w:t>
      </w:r>
      <w:r w:rsidR="00323603" w:rsidRPr="002013B9">
        <w:rPr>
          <w:color w:val="000000" w:themeColor="text1"/>
          <w:lang w:val="en-GB"/>
        </w:rPr>
        <w:t>Q</w:t>
      </w:r>
      <w:r w:rsidR="00FF04A1" w:rsidRPr="002013B9">
        <w:rPr>
          <w:color w:val="000000" w:themeColor="text1"/>
          <w:lang w:val="en-GB"/>
        </w:rPr>
        <w:t xml:space="preserve">uality of </w:t>
      </w:r>
      <w:r w:rsidR="00323603" w:rsidRPr="002013B9">
        <w:rPr>
          <w:color w:val="000000" w:themeColor="text1"/>
          <w:lang w:val="en-GB"/>
        </w:rPr>
        <w:t>L</w:t>
      </w:r>
      <w:r w:rsidR="00FF04A1" w:rsidRPr="002013B9">
        <w:rPr>
          <w:color w:val="000000" w:themeColor="text1"/>
          <w:lang w:val="en-GB"/>
        </w:rPr>
        <w:t xml:space="preserve">ife questionnaire </w:t>
      </w:r>
      <w:r w:rsidR="00E6041C" w:rsidRPr="002013B9">
        <w:rPr>
          <w:color w:val="000000" w:themeColor="text1"/>
          <w:lang w:val="en-GB"/>
        </w:rPr>
        <w:t>(</w:t>
      </w:r>
      <w:r w:rsidR="00FF04A1" w:rsidRPr="002013B9">
        <w:rPr>
          <w:color w:val="000000" w:themeColor="text1"/>
          <w:lang w:val="en-GB"/>
        </w:rPr>
        <w:t>EORTC-</w:t>
      </w:r>
      <w:r w:rsidR="00E6041C" w:rsidRPr="002013B9">
        <w:rPr>
          <w:color w:val="000000" w:themeColor="text1"/>
          <w:lang w:val="en-GB"/>
        </w:rPr>
        <w:t>QLQ-</w:t>
      </w:r>
      <w:r w:rsidR="00FF04A1" w:rsidRPr="002013B9">
        <w:rPr>
          <w:color w:val="000000" w:themeColor="text1"/>
          <w:lang w:val="en-GB"/>
        </w:rPr>
        <w:t>C30</w:t>
      </w:r>
      <w:r w:rsidR="00E6041C" w:rsidRPr="002013B9">
        <w:rPr>
          <w:color w:val="000000" w:themeColor="text1"/>
          <w:lang w:val="en-GB"/>
        </w:rPr>
        <w:t>)</w:t>
      </w:r>
      <w:r w:rsidR="00C86490" w:rsidRPr="002013B9">
        <w:rPr>
          <w:color w:val="000000" w:themeColor="text1"/>
          <w:lang w:val="en-GB"/>
        </w:rPr>
        <w:t xml:space="preserve"> after </w:t>
      </w:r>
      <w:r w:rsidR="00757007" w:rsidRPr="002013B9">
        <w:rPr>
          <w:color w:val="000000" w:themeColor="text1"/>
          <w:lang w:val="en-GB"/>
        </w:rPr>
        <w:t>3</w:t>
      </w:r>
      <w:r w:rsidR="00F308C5" w:rsidRPr="002013B9">
        <w:rPr>
          <w:color w:val="000000" w:themeColor="text1"/>
          <w:lang w:val="en-GB"/>
        </w:rPr>
        <w:t xml:space="preserve"> and 6</w:t>
      </w:r>
      <w:r w:rsidR="00757007" w:rsidRPr="002013B9">
        <w:rPr>
          <w:color w:val="000000" w:themeColor="text1"/>
          <w:lang w:val="en-GB"/>
        </w:rPr>
        <w:t xml:space="preserve"> </w:t>
      </w:r>
      <w:r w:rsidR="00C86490" w:rsidRPr="002013B9">
        <w:rPr>
          <w:color w:val="000000" w:themeColor="text1"/>
          <w:lang w:val="en-GB"/>
        </w:rPr>
        <w:t>months</w:t>
      </w:r>
      <w:r w:rsidR="00A73E48" w:rsidRPr="002013B9">
        <w:rPr>
          <w:color w:val="000000" w:themeColor="text1"/>
          <w:lang w:val="en-GB"/>
        </w:rPr>
        <w:t>.</w:t>
      </w:r>
      <w:r w:rsidR="00241928" w:rsidRPr="002013B9">
        <w:rPr>
          <w:color w:val="000000" w:themeColor="text1"/>
          <w:lang w:val="en-GB"/>
        </w:rPr>
        <w:fldChar w:fldCharType="begin"/>
      </w:r>
      <w:r w:rsidR="001E5F21" w:rsidRPr="002013B9">
        <w:rPr>
          <w:color w:val="000000" w:themeColor="text1"/>
          <w:lang w:val="en-GB"/>
        </w:rPr>
        <w:instrText>ADDIN RW.CITE{{1010 Aaronson,N.K. 1993}}</w:instrText>
      </w:r>
      <w:r w:rsidR="00241928" w:rsidRPr="002013B9">
        <w:rPr>
          <w:color w:val="000000" w:themeColor="text1"/>
          <w:lang w:val="en-GB"/>
        </w:rPr>
        <w:fldChar w:fldCharType="separate"/>
      </w:r>
      <w:r w:rsidR="001E5F21" w:rsidRPr="002013B9">
        <w:rPr>
          <w:rFonts w:eastAsia="Times New Roman"/>
          <w:color w:val="000000" w:themeColor="text1"/>
          <w:vertAlign w:val="superscript"/>
          <w:lang w:val="en-GB"/>
        </w:rPr>
        <w:t>15</w:t>
      </w:r>
      <w:r w:rsidR="00241928" w:rsidRPr="002013B9">
        <w:rPr>
          <w:color w:val="000000" w:themeColor="text1"/>
          <w:lang w:val="en-GB"/>
        </w:rPr>
        <w:fldChar w:fldCharType="end"/>
      </w:r>
    </w:p>
    <w:p w14:paraId="7A02A47C" w14:textId="77B1DE6E" w:rsidR="00434EBC" w:rsidRPr="002013B9" w:rsidRDefault="00005816" w:rsidP="00164C1D">
      <w:pPr>
        <w:pStyle w:val="Default"/>
        <w:numPr>
          <w:ilvl w:val="0"/>
          <w:numId w:val="26"/>
        </w:numPr>
        <w:spacing w:line="480" w:lineRule="auto"/>
        <w:contextualSpacing/>
        <w:jc w:val="both"/>
        <w:rPr>
          <w:color w:val="000000" w:themeColor="text1"/>
          <w:lang w:val="en-GB"/>
        </w:rPr>
      </w:pPr>
      <w:r w:rsidRPr="002013B9">
        <w:rPr>
          <w:color w:val="000000" w:themeColor="text1"/>
          <w:lang w:val="en-GB"/>
        </w:rPr>
        <w:t>Difference</w:t>
      </w:r>
      <w:r w:rsidR="00FF04A1" w:rsidRPr="002013B9">
        <w:rPr>
          <w:color w:val="000000" w:themeColor="text1"/>
          <w:lang w:val="en-GB"/>
        </w:rPr>
        <w:t xml:space="preserve"> </w:t>
      </w:r>
      <w:r w:rsidR="00456FE0" w:rsidRPr="002013B9">
        <w:rPr>
          <w:color w:val="000000" w:themeColor="text1"/>
          <w:lang w:val="en-GB"/>
        </w:rPr>
        <w:t xml:space="preserve">between groups </w:t>
      </w:r>
      <w:r w:rsidR="00FF04A1" w:rsidRPr="002013B9">
        <w:rPr>
          <w:color w:val="000000" w:themeColor="text1"/>
          <w:lang w:val="en-GB"/>
        </w:rPr>
        <w:t>in pain and physical functioning composite scores of the modified brief pain inventory-short form (mBPI-sf)</w:t>
      </w:r>
      <w:r w:rsidR="00C86490" w:rsidRPr="002013B9">
        <w:rPr>
          <w:color w:val="000000" w:themeColor="text1"/>
          <w:lang w:val="en-GB"/>
        </w:rPr>
        <w:t xml:space="preserve"> after </w:t>
      </w:r>
      <w:r w:rsidR="00757007" w:rsidRPr="002013B9">
        <w:rPr>
          <w:color w:val="000000" w:themeColor="text1"/>
          <w:lang w:val="en-GB"/>
        </w:rPr>
        <w:t>3</w:t>
      </w:r>
      <w:r w:rsidR="00F308C5" w:rsidRPr="002013B9">
        <w:rPr>
          <w:color w:val="000000" w:themeColor="text1"/>
          <w:lang w:val="en-GB"/>
        </w:rPr>
        <w:t xml:space="preserve"> and 6</w:t>
      </w:r>
      <w:r w:rsidR="00C86490" w:rsidRPr="002013B9">
        <w:rPr>
          <w:color w:val="000000" w:themeColor="text1"/>
          <w:lang w:val="en-GB"/>
        </w:rPr>
        <w:t xml:space="preserve"> months</w:t>
      </w:r>
      <w:r w:rsidR="00FF04A1" w:rsidRPr="002013B9">
        <w:rPr>
          <w:color w:val="000000" w:themeColor="text1"/>
          <w:lang w:val="en-GB"/>
        </w:rPr>
        <w:t>.</w:t>
      </w:r>
      <w:r w:rsidR="00241928" w:rsidRPr="002013B9">
        <w:rPr>
          <w:color w:val="000000" w:themeColor="text1"/>
          <w:lang w:val="en-GB"/>
        </w:rPr>
        <w:fldChar w:fldCharType="begin"/>
      </w:r>
      <w:r w:rsidR="00A73E48" w:rsidRPr="002013B9">
        <w:rPr>
          <w:color w:val="000000" w:themeColor="text1"/>
          <w:lang w:val="en-GB"/>
        </w:rPr>
        <w:instrText>ADDIN RW.CITE{{1000 Mendoza,T. 2006}}</w:instrText>
      </w:r>
      <w:r w:rsidR="00241928" w:rsidRPr="002013B9">
        <w:rPr>
          <w:color w:val="000000" w:themeColor="text1"/>
          <w:lang w:val="en-GB"/>
        </w:rPr>
        <w:fldChar w:fldCharType="separate"/>
      </w:r>
      <w:r w:rsidR="001E5F21" w:rsidRPr="002013B9">
        <w:rPr>
          <w:rFonts w:eastAsia="Times New Roman"/>
          <w:color w:val="000000" w:themeColor="text1"/>
          <w:vertAlign w:val="superscript"/>
          <w:lang w:val="en-GB"/>
        </w:rPr>
        <w:t>16</w:t>
      </w:r>
      <w:r w:rsidR="00241928" w:rsidRPr="002013B9">
        <w:rPr>
          <w:color w:val="000000" w:themeColor="text1"/>
          <w:lang w:val="en-GB"/>
        </w:rPr>
        <w:fldChar w:fldCharType="end"/>
      </w:r>
    </w:p>
    <w:p w14:paraId="6C70FBC0" w14:textId="36863589" w:rsidR="00D34442" w:rsidRPr="002013B9" w:rsidRDefault="00D34442" w:rsidP="00164C1D">
      <w:pPr>
        <w:pStyle w:val="Default"/>
        <w:numPr>
          <w:ilvl w:val="0"/>
          <w:numId w:val="26"/>
        </w:numPr>
        <w:spacing w:line="480" w:lineRule="auto"/>
        <w:contextualSpacing/>
        <w:jc w:val="both"/>
        <w:rPr>
          <w:color w:val="000000" w:themeColor="text1"/>
          <w:lang w:val="en-GB"/>
        </w:rPr>
      </w:pPr>
      <w:r w:rsidRPr="002013B9">
        <w:rPr>
          <w:color w:val="000000" w:themeColor="text1"/>
          <w:lang w:val="en-GB"/>
        </w:rPr>
        <w:t xml:space="preserve">Difference </w:t>
      </w:r>
      <w:r w:rsidR="00456FE0" w:rsidRPr="002013B9">
        <w:rPr>
          <w:color w:val="000000" w:themeColor="text1"/>
          <w:lang w:val="en-GB"/>
        </w:rPr>
        <w:t xml:space="preserve">between groups </w:t>
      </w:r>
      <w:r w:rsidRPr="002013B9">
        <w:rPr>
          <w:color w:val="000000" w:themeColor="text1"/>
          <w:lang w:val="en-GB"/>
        </w:rPr>
        <w:t xml:space="preserve">in depression and anxiety scores of the Hospital Anxiety and Depression scale after 3 and 6 </w:t>
      </w:r>
      <w:r w:rsidRPr="002013B9">
        <w:rPr>
          <w:color w:val="000000" w:themeColor="text1"/>
          <w:lang w:val="en-GB"/>
        </w:rPr>
        <w:fldChar w:fldCharType="begin" w:fldLock="1"/>
      </w:r>
      <w:r w:rsidR="004D0981">
        <w:rPr>
          <w:color w:val="000000" w:themeColor="text1"/>
          <w:lang w:val="en-GB"/>
        </w:rPr>
        <w:instrText>ADDIN CSL_CITATION {"citationItems":[{"id":"ITEM-1","itemData":{"DOI":"10.1016/S0022-3999(01)00296-3","ISBN":"0022-3999 (Print)\\r0022-3999 (Linking)","ISSN":"0022-3999","PMID":"11832252","abstract":"To review the literature of the validity of the Hospital Anxiety and Depression Scale (HADS).","author":[{"dropping-particle":"","family":"Bjelland","given":"Ingvar","non-dropping-particle":"","parse-names":false,"suffix":""},{"dropping-particle":"","family":"Dahl","given":"Alv a","non-dropping-particle":"","parse-names":false,"suffix":""},{"dropping-particle":"","family":"Haug","given":"Tone Tangen","non-dropping-particle":"","parse-names":false,"suffix":""},{"dropping-particle":"","family":"Neckelmann","given":"Dag","non-dropping-particle":"","parse-names":false,"suffix":""}],"container-title":"J Psychosom Res","id":"ITEM-1","issue":"2","issued":{"date-parts":[["2002"]]},"page":"69-77","title":"The validity of the Hospital Anxiety and Depression Scale. An updated literature review.","type":"article-journal","volume":"52"},"uris":["http://www.mendeley.com/documents/?uuid=0e805f41-1120-48f6-ad5d-022dfc3905bc"]}],"mendeley":{"formattedCitation":"[33]","plainTextFormattedCitation":"[33]","previouslyFormattedCitation":"[32]"},"properties":{"noteIndex":0},"schema":"https://github.com/citation-style-language/schema/raw/master/csl-citation.json"}</w:instrText>
      </w:r>
      <w:r w:rsidRPr="002013B9">
        <w:rPr>
          <w:color w:val="000000" w:themeColor="text1"/>
          <w:lang w:val="en-GB"/>
        </w:rPr>
        <w:fldChar w:fldCharType="separate"/>
      </w:r>
      <w:r w:rsidR="004D0981" w:rsidRPr="004D0981">
        <w:rPr>
          <w:noProof/>
          <w:color w:val="000000" w:themeColor="text1"/>
          <w:lang w:val="en-GB"/>
        </w:rPr>
        <w:t>[33]</w:t>
      </w:r>
      <w:r w:rsidRPr="002013B9">
        <w:rPr>
          <w:color w:val="000000" w:themeColor="text1"/>
          <w:lang w:val="en-GB"/>
        </w:rPr>
        <w:fldChar w:fldCharType="end"/>
      </w:r>
      <w:r w:rsidRPr="002013B9">
        <w:rPr>
          <w:color w:val="000000" w:themeColor="text1"/>
          <w:lang w:val="en-GB"/>
        </w:rPr>
        <w:t>.</w:t>
      </w:r>
    </w:p>
    <w:p w14:paraId="526D1205" w14:textId="77777777" w:rsidR="00434EBC" w:rsidRPr="002013B9" w:rsidRDefault="00FF04A1" w:rsidP="00164C1D">
      <w:pPr>
        <w:pStyle w:val="Default"/>
        <w:numPr>
          <w:ilvl w:val="0"/>
          <w:numId w:val="26"/>
        </w:numPr>
        <w:spacing w:line="480" w:lineRule="auto"/>
        <w:contextualSpacing/>
        <w:jc w:val="both"/>
        <w:rPr>
          <w:color w:val="000000" w:themeColor="text1"/>
          <w:lang w:val="en-GB"/>
        </w:rPr>
      </w:pPr>
      <w:r w:rsidRPr="002013B9">
        <w:rPr>
          <w:color w:val="000000" w:themeColor="text1"/>
          <w:lang w:val="en-GB"/>
        </w:rPr>
        <w:t xml:space="preserve">Patient </w:t>
      </w:r>
      <w:r w:rsidR="00323603" w:rsidRPr="002013B9">
        <w:rPr>
          <w:color w:val="000000" w:themeColor="text1"/>
          <w:lang w:val="en-GB"/>
        </w:rPr>
        <w:t>G</w:t>
      </w:r>
      <w:r w:rsidRPr="002013B9">
        <w:rPr>
          <w:color w:val="000000" w:themeColor="text1"/>
          <w:lang w:val="en-GB"/>
        </w:rPr>
        <w:t xml:space="preserve">lobal </w:t>
      </w:r>
      <w:r w:rsidR="00323603" w:rsidRPr="002013B9">
        <w:rPr>
          <w:color w:val="000000" w:themeColor="text1"/>
          <w:lang w:val="en-GB"/>
        </w:rPr>
        <w:t>I</w:t>
      </w:r>
      <w:r w:rsidRPr="002013B9">
        <w:rPr>
          <w:color w:val="000000" w:themeColor="text1"/>
          <w:lang w:val="en-GB"/>
        </w:rPr>
        <w:t xml:space="preserve">mpression of </w:t>
      </w:r>
      <w:r w:rsidR="00323603" w:rsidRPr="002013B9">
        <w:rPr>
          <w:color w:val="000000" w:themeColor="text1"/>
          <w:lang w:val="en-GB"/>
        </w:rPr>
        <w:t>C</w:t>
      </w:r>
      <w:r w:rsidRPr="002013B9">
        <w:rPr>
          <w:color w:val="000000" w:themeColor="text1"/>
          <w:lang w:val="en-GB"/>
        </w:rPr>
        <w:t>hange (PGIC)</w:t>
      </w:r>
      <w:r w:rsidR="00F308C5" w:rsidRPr="002013B9">
        <w:rPr>
          <w:color w:val="000000" w:themeColor="text1"/>
          <w:lang w:val="en-GB"/>
        </w:rPr>
        <w:t xml:space="preserve"> after 3 and 6 months</w:t>
      </w:r>
      <w:r w:rsidR="009632D2" w:rsidRPr="002013B9">
        <w:rPr>
          <w:color w:val="000000" w:themeColor="text1"/>
          <w:lang w:val="en-GB"/>
        </w:rPr>
        <w:t>.</w:t>
      </w:r>
      <w:r w:rsidR="00241928" w:rsidRPr="002013B9">
        <w:rPr>
          <w:color w:val="000000" w:themeColor="text1"/>
          <w:lang w:val="en-GB"/>
        </w:rPr>
        <w:fldChar w:fldCharType="begin"/>
      </w:r>
      <w:r w:rsidR="001F6B41" w:rsidRPr="002013B9">
        <w:rPr>
          <w:color w:val="000000" w:themeColor="text1"/>
          <w:lang w:val="en-GB"/>
        </w:rPr>
        <w:instrText>ADDIN RW.CITE{{996 Farrar,J.T. 2001}}</w:instrText>
      </w:r>
      <w:r w:rsidR="00241928" w:rsidRPr="002013B9">
        <w:rPr>
          <w:color w:val="000000" w:themeColor="text1"/>
          <w:lang w:val="en-GB"/>
        </w:rPr>
        <w:fldChar w:fldCharType="separate"/>
      </w:r>
      <w:r w:rsidR="001E5F21" w:rsidRPr="002013B9">
        <w:rPr>
          <w:rFonts w:eastAsia="Times New Roman"/>
          <w:color w:val="000000" w:themeColor="text1"/>
          <w:vertAlign w:val="superscript"/>
          <w:lang w:val="en-GB"/>
        </w:rPr>
        <w:t>18</w:t>
      </w:r>
      <w:r w:rsidR="00241928" w:rsidRPr="002013B9">
        <w:rPr>
          <w:color w:val="000000" w:themeColor="text1"/>
          <w:lang w:val="en-GB"/>
        </w:rPr>
        <w:fldChar w:fldCharType="end"/>
      </w:r>
      <w:r w:rsidRPr="002013B9">
        <w:rPr>
          <w:color w:val="000000" w:themeColor="text1"/>
          <w:lang w:val="en-GB"/>
        </w:rPr>
        <w:t xml:space="preserve"> </w:t>
      </w:r>
    </w:p>
    <w:p w14:paraId="3D593617" w14:textId="0EBEF67B" w:rsidR="00167B63" w:rsidRPr="002013B9" w:rsidRDefault="00F308C5" w:rsidP="00164C1D">
      <w:pPr>
        <w:pStyle w:val="Default"/>
        <w:numPr>
          <w:ilvl w:val="0"/>
          <w:numId w:val="26"/>
        </w:numPr>
        <w:spacing w:line="480" w:lineRule="auto"/>
        <w:contextualSpacing/>
        <w:jc w:val="both"/>
        <w:rPr>
          <w:color w:val="000000" w:themeColor="text1"/>
          <w:lang w:val="en-GB"/>
        </w:rPr>
      </w:pPr>
      <w:r w:rsidRPr="002013B9">
        <w:rPr>
          <w:color w:val="000000" w:themeColor="text1"/>
          <w:lang w:val="en-GB"/>
        </w:rPr>
        <w:t>A</w:t>
      </w:r>
      <w:r w:rsidR="003B011B" w:rsidRPr="002013B9">
        <w:rPr>
          <w:color w:val="000000" w:themeColor="text1"/>
          <w:lang w:val="en-GB"/>
        </w:rPr>
        <w:t>ssessment of complications</w:t>
      </w:r>
      <w:r w:rsidRPr="002013B9">
        <w:rPr>
          <w:color w:val="000000" w:themeColor="text1"/>
          <w:lang w:val="en-GB"/>
        </w:rPr>
        <w:t xml:space="preserve"> </w:t>
      </w:r>
      <w:r w:rsidR="00FA6BE9" w:rsidRPr="002013B9">
        <w:rPr>
          <w:color w:val="000000" w:themeColor="text1"/>
          <w:lang w:val="en-GB"/>
        </w:rPr>
        <w:t xml:space="preserve">to interventions </w:t>
      </w:r>
      <w:r w:rsidR="00F13237" w:rsidRPr="002013B9">
        <w:rPr>
          <w:color w:val="000000" w:themeColor="text1"/>
          <w:lang w:val="en-GB"/>
        </w:rPr>
        <w:t>during the study period.</w:t>
      </w:r>
    </w:p>
    <w:p w14:paraId="227CD5E4" w14:textId="77777777" w:rsidR="001F3132" w:rsidRPr="002013B9" w:rsidRDefault="001F3132" w:rsidP="00164C1D">
      <w:pPr>
        <w:pStyle w:val="Default"/>
        <w:spacing w:line="480" w:lineRule="auto"/>
        <w:contextualSpacing/>
        <w:jc w:val="both"/>
        <w:rPr>
          <w:color w:val="000000" w:themeColor="text1"/>
          <w:lang w:val="en-GB"/>
        </w:rPr>
      </w:pPr>
    </w:p>
    <w:p w14:paraId="2A2654E3" w14:textId="334068E1" w:rsidR="007E2BED" w:rsidRPr="002013B9" w:rsidRDefault="00FF04A1" w:rsidP="00164C1D">
      <w:pPr>
        <w:pStyle w:val="Heading2"/>
        <w:spacing w:before="0" w:line="480" w:lineRule="auto"/>
        <w:contextualSpacing/>
        <w:jc w:val="both"/>
        <w:rPr>
          <w:rFonts w:cs="Times New Roman"/>
          <w:b w:val="0"/>
          <w:bCs w:val="0"/>
          <w:i/>
          <w:iCs/>
          <w:color w:val="000000" w:themeColor="text1"/>
          <w:sz w:val="24"/>
          <w:szCs w:val="24"/>
          <w:lang w:val="en-GB"/>
        </w:rPr>
      </w:pPr>
      <w:bookmarkStart w:id="4" w:name="_Toc372282130"/>
      <w:r w:rsidRPr="002013B9">
        <w:rPr>
          <w:rFonts w:cs="Times New Roman"/>
          <w:b w:val="0"/>
          <w:bCs w:val="0"/>
          <w:i/>
          <w:iCs/>
          <w:color w:val="000000" w:themeColor="text1"/>
          <w:sz w:val="24"/>
          <w:szCs w:val="24"/>
          <w:lang w:val="en-GB"/>
        </w:rPr>
        <w:t xml:space="preserve">Experimental </w:t>
      </w:r>
      <w:r w:rsidR="002E122A" w:rsidRPr="002013B9">
        <w:rPr>
          <w:rFonts w:cs="Times New Roman"/>
          <w:b w:val="0"/>
          <w:bCs w:val="0"/>
          <w:i/>
          <w:iCs/>
          <w:color w:val="000000" w:themeColor="text1"/>
          <w:sz w:val="24"/>
          <w:szCs w:val="24"/>
          <w:lang w:val="en-GB"/>
        </w:rPr>
        <w:t>e</w:t>
      </w:r>
      <w:r w:rsidRPr="002013B9">
        <w:rPr>
          <w:rFonts w:cs="Times New Roman"/>
          <w:b w:val="0"/>
          <w:bCs w:val="0"/>
          <w:i/>
          <w:iCs/>
          <w:color w:val="000000" w:themeColor="text1"/>
          <w:sz w:val="24"/>
          <w:szCs w:val="24"/>
          <w:lang w:val="en-GB"/>
        </w:rPr>
        <w:t>ndpoints</w:t>
      </w:r>
      <w:bookmarkEnd w:id="4"/>
    </w:p>
    <w:p w14:paraId="1B933FC4" w14:textId="61E23FE8" w:rsidR="00A12798" w:rsidRPr="002013B9" w:rsidRDefault="00FF04A1" w:rsidP="00164C1D">
      <w:pPr>
        <w:pStyle w:val="Default"/>
        <w:spacing w:line="480" w:lineRule="auto"/>
        <w:contextualSpacing/>
        <w:jc w:val="both"/>
        <w:rPr>
          <w:color w:val="000000" w:themeColor="text1"/>
          <w:lang w:val="en-GB"/>
        </w:rPr>
      </w:pPr>
      <w:r w:rsidRPr="002013B9">
        <w:rPr>
          <w:color w:val="000000" w:themeColor="text1"/>
          <w:lang w:val="en-GB"/>
        </w:rPr>
        <w:t>The following experimental pain measures will be employed</w:t>
      </w:r>
      <w:r w:rsidR="00487D90" w:rsidRPr="002013B9">
        <w:rPr>
          <w:color w:val="000000" w:themeColor="text1"/>
          <w:lang w:val="en-GB"/>
        </w:rPr>
        <w:t xml:space="preserve"> </w:t>
      </w:r>
      <w:r w:rsidR="009F2362" w:rsidRPr="002013B9">
        <w:rPr>
          <w:color w:val="000000" w:themeColor="text1"/>
          <w:lang w:val="en-GB"/>
        </w:rPr>
        <w:t>prior to intervention</w:t>
      </w:r>
      <w:r w:rsidR="00E53E8C" w:rsidRPr="002013B9">
        <w:rPr>
          <w:color w:val="000000" w:themeColor="text1"/>
          <w:lang w:val="en-GB"/>
        </w:rPr>
        <w:t xml:space="preserve"> as well as</w:t>
      </w:r>
      <w:r w:rsidR="00C86490" w:rsidRPr="002013B9">
        <w:rPr>
          <w:color w:val="000000" w:themeColor="text1"/>
          <w:lang w:val="en-GB"/>
        </w:rPr>
        <w:t xml:space="preserve"> </w:t>
      </w:r>
      <w:r w:rsidR="00952D61" w:rsidRPr="002013B9">
        <w:rPr>
          <w:color w:val="000000" w:themeColor="text1"/>
          <w:lang w:val="en-GB"/>
        </w:rPr>
        <w:t>24-48 hours</w:t>
      </w:r>
      <w:r w:rsidR="00C86490" w:rsidRPr="002013B9">
        <w:rPr>
          <w:color w:val="000000" w:themeColor="text1"/>
          <w:lang w:val="en-GB"/>
        </w:rPr>
        <w:t xml:space="preserve"> </w:t>
      </w:r>
      <w:r w:rsidR="00E53E8C" w:rsidRPr="002013B9">
        <w:rPr>
          <w:color w:val="000000" w:themeColor="text1"/>
          <w:lang w:val="en-GB"/>
        </w:rPr>
        <w:t xml:space="preserve">and 3 months </w:t>
      </w:r>
      <w:r w:rsidR="00487D90" w:rsidRPr="002013B9">
        <w:rPr>
          <w:color w:val="000000" w:themeColor="text1"/>
          <w:lang w:val="en-GB"/>
        </w:rPr>
        <w:t xml:space="preserve">after intervention </w:t>
      </w:r>
      <w:r w:rsidR="00C86490" w:rsidRPr="002013B9">
        <w:rPr>
          <w:color w:val="000000" w:themeColor="text1"/>
          <w:lang w:val="en-GB"/>
        </w:rPr>
        <w:t xml:space="preserve">to characterize changes in pain processing induced by the assigned </w:t>
      </w:r>
      <w:r w:rsidR="00487D90" w:rsidRPr="002013B9">
        <w:rPr>
          <w:color w:val="000000" w:themeColor="text1"/>
          <w:lang w:val="en-GB"/>
        </w:rPr>
        <w:t>procedure</w:t>
      </w:r>
      <w:r w:rsidR="00C335AC" w:rsidRPr="002013B9">
        <w:rPr>
          <w:color w:val="000000" w:themeColor="text1"/>
          <w:lang w:val="en-GB"/>
        </w:rPr>
        <w:t>s</w:t>
      </w:r>
      <w:r w:rsidRPr="002013B9">
        <w:rPr>
          <w:color w:val="000000" w:themeColor="text1"/>
          <w:lang w:val="en-GB"/>
        </w:rPr>
        <w:t>:</w:t>
      </w:r>
    </w:p>
    <w:p w14:paraId="7B01F7A0" w14:textId="21E09883" w:rsidR="00A12798" w:rsidRPr="002013B9" w:rsidRDefault="00C86490" w:rsidP="00164C1D">
      <w:pPr>
        <w:pStyle w:val="ListParagraph"/>
        <w:numPr>
          <w:ilvl w:val="0"/>
          <w:numId w:val="3"/>
        </w:numPr>
        <w:spacing w:line="480" w:lineRule="auto"/>
        <w:jc w:val="both"/>
        <w:rPr>
          <w:rFonts w:ascii="Times New Roman" w:hAnsi="Times New Roman" w:cs="Times New Roman"/>
          <w:color w:val="000000" w:themeColor="text1"/>
          <w:sz w:val="24"/>
          <w:szCs w:val="24"/>
          <w:lang w:val="en-GB"/>
        </w:rPr>
      </w:pPr>
      <w:r w:rsidRPr="002013B9">
        <w:rPr>
          <w:rFonts w:ascii="Times New Roman" w:hAnsi="Times New Roman" w:cs="Times New Roman"/>
          <w:color w:val="000000" w:themeColor="text1"/>
          <w:sz w:val="24"/>
          <w:szCs w:val="24"/>
          <w:lang w:val="en-GB"/>
        </w:rPr>
        <w:t>Muscle p</w:t>
      </w:r>
      <w:r w:rsidR="00FF04A1" w:rsidRPr="002013B9">
        <w:rPr>
          <w:rFonts w:ascii="Times New Roman" w:hAnsi="Times New Roman" w:cs="Times New Roman"/>
          <w:color w:val="000000" w:themeColor="text1"/>
          <w:sz w:val="24"/>
          <w:szCs w:val="24"/>
          <w:lang w:val="en-GB"/>
        </w:rPr>
        <w:t xml:space="preserve">ressure stimulation </w:t>
      </w:r>
      <w:r w:rsidR="00845E50" w:rsidRPr="002013B9">
        <w:rPr>
          <w:rFonts w:ascii="Times New Roman" w:hAnsi="Times New Roman" w:cs="Times New Roman"/>
          <w:color w:val="000000" w:themeColor="text1"/>
          <w:sz w:val="24"/>
          <w:szCs w:val="24"/>
          <w:lang w:val="en-GB"/>
        </w:rPr>
        <w:t>(pancreatic viscerotome</w:t>
      </w:r>
      <w:r w:rsidR="008029BE" w:rsidRPr="002013B9">
        <w:rPr>
          <w:rFonts w:ascii="Times New Roman" w:hAnsi="Times New Roman" w:cs="Times New Roman"/>
          <w:color w:val="000000" w:themeColor="text1"/>
          <w:sz w:val="24"/>
          <w:szCs w:val="24"/>
          <w:lang w:val="en-GB"/>
        </w:rPr>
        <w:t xml:space="preserve"> </w:t>
      </w:r>
      <w:r w:rsidR="005A3AD4" w:rsidRPr="002013B9">
        <w:rPr>
          <w:rFonts w:ascii="Times New Roman" w:hAnsi="Times New Roman" w:cs="Times New Roman"/>
          <w:color w:val="000000" w:themeColor="text1"/>
          <w:sz w:val="24"/>
          <w:szCs w:val="24"/>
          <w:lang w:val="en-GB"/>
        </w:rPr>
        <w:t>[</w:t>
      </w:r>
      <w:r w:rsidR="008029BE" w:rsidRPr="002013B9">
        <w:rPr>
          <w:rFonts w:ascii="Times New Roman" w:hAnsi="Times New Roman" w:cs="Times New Roman"/>
          <w:color w:val="000000" w:themeColor="text1"/>
          <w:sz w:val="24"/>
          <w:szCs w:val="24"/>
          <w:lang w:val="en-GB"/>
        </w:rPr>
        <w:t>T10</w:t>
      </w:r>
      <w:r w:rsidRPr="002013B9">
        <w:rPr>
          <w:rFonts w:ascii="Times New Roman" w:hAnsi="Times New Roman" w:cs="Times New Roman"/>
          <w:color w:val="000000" w:themeColor="text1"/>
          <w:sz w:val="24"/>
          <w:szCs w:val="24"/>
          <w:lang w:val="en-GB"/>
        </w:rPr>
        <w:t xml:space="preserve"> ventral and dorsal</w:t>
      </w:r>
      <w:r w:rsidR="005A3AD4" w:rsidRPr="002013B9">
        <w:rPr>
          <w:rFonts w:ascii="Times New Roman" w:hAnsi="Times New Roman" w:cs="Times New Roman"/>
          <w:color w:val="000000" w:themeColor="text1"/>
          <w:sz w:val="24"/>
          <w:szCs w:val="24"/>
          <w:lang w:val="en-GB"/>
        </w:rPr>
        <w:t>]</w:t>
      </w:r>
      <w:r w:rsidR="00845E50" w:rsidRPr="002013B9">
        <w:rPr>
          <w:rFonts w:ascii="Times New Roman" w:hAnsi="Times New Roman" w:cs="Times New Roman"/>
          <w:color w:val="000000" w:themeColor="text1"/>
          <w:sz w:val="24"/>
          <w:szCs w:val="24"/>
          <w:lang w:val="en-GB"/>
        </w:rPr>
        <w:t xml:space="preserve"> and control area</w:t>
      </w:r>
      <w:r w:rsidR="008029BE" w:rsidRPr="002013B9">
        <w:rPr>
          <w:rFonts w:ascii="Times New Roman" w:hAnsi="Times New Roman" w:cs="Times New Roman"/>
          <w:color w:val="000000" w:themeColor="text1"/>
          <w:sz w:val="24"/>
          <w:szCs w:val="24"/>
          <w:lang w:val="en-GB"/>
        </w:rPr>
        <w:t xml:space="preserve">s </w:t>
      </w:r>
      <w:r w:rsidR="005A3AD4" w:rsidRPr="002013B9">
        <w:rPr>
          <w:rFonts w:ascii="Times New Roman" w:hAnsi="Times New Roman" w:cs="Times New Roman"/>
          <w:color w:val="000000" w:themeColor="text1"/>
          <w:sz w:val="24"/>
          <w:szCs w:val="24"/>
          <w:lang w:val="en-GB"/>
        </w:rPr>
        <w:t>[</w:t>
      </w:r>
      <w:r w:rsidR="008029BE" w:rsidRPr="002013B9">
        <w:rPr>
          <w:rFonts w:ascii="Times New Roman" w:hAnsi="Times New Roman" w:cs="Times New Roman"/>
          <w:color w:val="000000" w:themeColor="text1"/>
          <w:sz w:val="24"/>
          <w:szCs w:val="24"/>
          <w:lang w:val="en-GB"/>
        </w:rPr>
        <w:t>C5, L1 and L4</w:t>
      </w:r>
      <w:r w:rsidR="005A3AD4" w:rsidRPr="002013B9">
        <w:rPr>
          <w:rFonts w:ascii="Times New Roman" w:hAnsi="Times New Roman" w:cs="Times New Roman"/>
          <w:color w:val="000000" w:themeColor="text1"/>
          <w:sz w:val="24"/>
          <w:szCs w:val="24"/>
          <w:lang w:val="en-GB"/>
        </w:rPr>
        <w:t>]</w:t>
      </w:r>
      <w:r w:rsidR="00845E50" w:rsidRPr="002013B9">
        <w:rPr>
          <w:rFonts w:ascii="Times New Roman" w:hAnsi="Times New Roman" w:cs="Times New Roman"/>
          <w:color w:val="000000" w:themeColor="text1"/>
          <w:sz w:val="24"/>
          <w:szCs w:val="24"/>
          <w:lang w:val="en-GB"/>
        </w:rPr>
        <w:t>)</w:t>
      </w:r>
      <w:r w:rsidR="00FF04A1" w:rsidRPr="002013B9">
        <w:rPr>
          <w:rFonts w:ascii="Times New Roman" w:hAnsi="Times New Roman" w:cs="Times New Roman"/>
          <w:color w:val="000000" w:themeColor="text1"/>
          <w:sz w:val="24"/>
          <w:szCs w:val="24"/>
          <w:lang w:val="en-GB"/>
        </w:rPr>
        <w:t>.</w:t>
      </w:r>
      <w:r w:rsidR="00167B63" w:rsidRPr="002013B9">
        <w:rPr>
          <w:rFonts w:ascii="Times New Roman" w:hAnsi="Times New Roman" w:cs="Times New Roman"/>
          <w:color w:val="000000" w:themeColor="text1"/>
          <w:sz w:val="24"/>
          <w:szCs w:val="24"/>
          <w:lang w:val="en-GB"/>
        </w:rPr>
        <w:t xml:space="preserve"> </w:t>
      </w:r>
    </w:p>
    <w:p w14:paraId="4047A4AB" w14:textId="28151AE8" w:rsidR="00D34442" w:rsidRPr="002013B9" w:rsidRDefault="00D34442" w:rsidP="00D34442">
      <w:pPr>
        <w:pStyle w:val="ListParagraph"/>
        <w:numPr>
          <w:ilvl w:val="0"/>
          <w:numId w:val="3"/>
        </w:numPr>
        <w:spacing w:line="480" w:lineRule="auto"/>
        <w:jc w:val="both"/>
        <w:rPr>
          <w:rFonts w:ascii="Times New Roman" w:hAnsi="Times New Roman" w:cs="Times New Roman"/>
          <w:color w:val="000000" w:themeColor="text1"/>
          <w:sz w:val="24"/>
          <w:szCs w:val="24"/>
          <w:lang w:val="en-GB"/>
        </w:rPr>
      </w:pPr>
      <w:r w:rsidRPr="002013B9">
        <w:rPr>
          <w:rFonts w:ascii="Times New Roman" w:hAnsi="Times New Roman" w:cs="Times New Roman"/>
          <w:color w:val="000000" w:themeColor="text1"/>
          <w:sz w:val="24"/>
          <w:szCs w:val="24"/>
          <w:lang w:val="en-GB"/>
        </w:rPr>
        <w:t>Bone pressure stimulation (tibia bone)</w:t>
      </w:r>
    </w:p>
    <w:p w14:paraId="42B8A9A6" w14:textId="6257D523" w:rsidR="00A12798" w:rsidRPr="002013B9" w:rsidRDefault="00FF04A1" w:rsidP="00164C1D">
      <w:pPr>
        <w:pStyle w:val="ListParagraph"/>
        <w:numPr>
          <w:ilvl w:val="0"/>
          <w:numId w:val="3"/>
        </w:numPr>
        <w:spacing w:line="480" w:lineRule="auto"/>
        <w:jc w:val="both"/>
        <w:rPr>
          <w:rFonts w:ascii="Times New Roman" w:hAnsi="Times New Roman" w:cs="Times New Roman"/>
          <w:color w:val="000000" w:themeColor="text1"/>
          <w:sz w:val="24"/>
          <w:szCs w:val="24"/>
          <w:lang w:val="en-GB"/>
        </w:rPr>
      </w:pPr>
      <w:r w:rsidRPr="002013B9">
        <w:rPr>
          <w:rFonts w:ascii="Times New Roman" w:hAnsi="Times New Roman" w:cs="Times New Roman"/>
          <w:color w:val="000000" w:themeColor="text1"/>
          <w:sz w:val="24"/>
          <w:szCs w:val="24"/>
          <w:lang w:val="en-GB"/>
        </w:rPr>
        <w:t xml:space="preserve">Temporal summation to repetitive </w:t>
      </w:r>
      <w:r w:rsidR="00167B63" w:rsidRPr="002013B9">
        <w:rPr>
          <w:rFonts w:ascii="Times New Roman" w:hAnsi="Times New Roman" w:cs="Times New Roman"/>
          <w:color w:val="000000" w:themeColor="text1"/>
          <w:sz w:val="24"/>
          <w:szCs w:val="24"/>
          <w:lang w:val="en-GB"/>
        </w:rPr>
        <w:t xml:space="preserve">pinprick </w:t>
      </w:r>
      <w:r w:rsidRPr="002013B9">
        <w:rPr>
          <w:rFonts w:ascii="Times New Roman" w:hAnsi="Times New Roman" w:cs="Times New Roman"/>
          <w:color w:val="000000" w:themeColor="text1"/>
          <w:sz w:val="24"/>
          <w:szCs w:val="24"/>
          <w:lang w:val="en-GB"/>
        </w:rPr>
        <w:t>stimulations</w:t>
      </w:r>
      <w:r w:rsidR="00487D90" w:rsidRPr="002013B9">
        <w:rPr>
          <w:rFonts w:ascii="Times New Roman" w:hAnsi="Times New Roman" w:cs="Times New Roman"/>
          <w:color w:val="000000" w:themeColor="text1"/>
          <w:sz w:val="24"/>
          <w:szCs w:val="24"/>
          <w:lang w:val="en-GB"/>
        </w:rPr>
        <w:t xml:space="preserve"> of the</w:t>
      </w:r>
      <w:r w:rsidR="00CC37E4" w:rsidRPr="002013B9">
        <w:rPr>
          <w:rFonts w:ascii="Times New Roman" w:hAnsi="Times New Roman" w:cs="Times New Roman"/>
          <w:color w:val="000000" w:themeColor="text1"/>
          <w:sz w:val="24"/>
          <w:szCs w:val="24"/>
          <w:lang w:val="en-GB"/>
        </w:rPr>
        <w:t xml:space="preserve"> </w:t>
      </w:r>
      <w:r w:rsidRPr="002013B9">
        <w:rPr>
          <w:rFonts w:ascii="Times New Roman" w:hAnsi="Times New Roman" w:cs="Times New Roman"/>
          <w:color w:val="000000" w:themeColor="text1"/>
          <w:sz w:val="24"/>
          <w:szCs w:val="24"/>
          <w:lang w:val="en-GB"/>
        </w:rPr>
        <w:t>pancreatic</w:t>
      </w:r>
      <w:r w:rsidR="008029BE" w:rsidRPr="002013B9">
        <w:rPr>
          <w:rFonts w:ascii="Times New Roman" w:hAnsi="Times New Roman" w:cs="Times New Roman"/>
          <w:color w:val="000000" w:themeColor="text1"/>
          <w:sz w:val="24"/>
          <w:szCs w:val="24"/>
          <w:lang w:val="en-GB"/>
        </w:rPr>
        <w:t xml:space="preserve"> area (T10)</w:t>
      </w:r>
      <w:r w:rsidRPr="002013B9">
        <w:rPr>
          <w:rFonts w:ascii="Times New Roman" w:hAnsi="Times New Roman" w:cs="Times New Roman"/>
          <w:color w:val="000000" w:themeColor="text1"/>
          <w:sz w:val="24"/>
          <w:szCs w:val="24"/>
          <w:lang w:val="en-GB"/>
        </w:rPr>
        <w:t xml:space="preserve"> and control area</w:t>
      </w:r>
      <w:r w:rsidR="008029BE" w:rsidRPr="002013B9">
        <w:rPr>
          <w:rFonts w:ascii="Times New Roman" w:hAnsi="Times New Roman" w:cs="Times New Roman"/>
          <w:color w:val="000000" w:themeColor="text1"/>
          <w:sz w:val="24"/>
          <w:szCs w:val="24"/>
          <w:lang w:val="en-GB"/>
        </w:rPr>
        <w:t xml:space="preserve"> </w:t>
      </w:r>
      <w:r w:rsidR="005A3AD4" w:rsidRPr="002013B9">
        <w:rPr>
          <w:rFonts w:ascii="Times New Roman" w:hAnsi="Times New Roman" w:cs="Times New Roman"/>
          <w:color w:val="000000" w:themeColor="text1"/>
          <w:sz w:val="24"/>
          <w:szCs w:val="24"/>
          <w:lang w:val="en-GB"/>
        </w:rPr>
        <w:t>[</w:t>
      </w:r>
      <w:r w:rsidR="008029BE" w:rsidRPr="002013B9">
        <w:rPr>
          <w:rFonts w:ascii="Times New Roman" w:hAnsi="Times New Roman" w:cs="Times New Roman"/>
          <w:color w:val="000000" w:themeColor="text1"/>
          <w:sz w:val="24"/>
          <w:szCs w:val="24"/>
          <w:lang w:val="en-GB"/>
        </w:rPr>
        <w:t>dominant forearm</w:t>
      </w:r>
      <w:r w:rsidR="005A3AD4" w:rsidRPr="002013B9">
        <w:rPr>
          <w:rFonts w:ascii="Times New Roman" w:hAnsi="Times New Roman" w:cs="Times New Roman"/>
          <w:color w:val="000000" w:themeColor="text1"/>
          <w:sz w:val="24"/>
          <w:szCs w:val="24"/>
          <w:lang w:val="en-GB"/>
        </w:rPr>
        <w:t>]</w:t>
      </w:r>
      <w:r w:rsidR="00CC37E4" w:rsidRPr="002013B9">
        <w:rPr>
          <w:rFonts w:ascii="Times New Roman" w:hAnsi="Times New Roman" w:cs="Times New Roman"/>
          <w:color w:val="000000" w:themeColor="text1"/>
          <w:sz w:val="24"/>
          <w:szCs w:val="24"/>
          <w:lang w:val="en-GB"/>
        </w:rPr>
        <w:t>)</w:t>
      </w:r>
      <w:r w:rsidRPr="002013B9">
        <w:rPr>
          <w:rFonts w:ascii="Times New Roman" w:hAnsi="Times New Roman" w:cs="Times New Roman"/>
          <w:color w:val="000000" w:themeColor="text1"/>
          <w:sz w:val="24"/>
          <w:szCs w:val="24"/>
          <w:lang w:val="en-GB"/>
        </w:rPr>
        <w:t>.</w:t>
      </w:r>
    </w:p>
    <w:p w14:paraId="41511D45" w14:textId="77777777" w:rsidR="00A12798" w:rsidRPr="002013B9" w:rsidRDefault="00487D90" w:rsidP="00164C1D">
      <w:pPr>
        <w:pStyle w:val="ListParagraph"/>
        <w:numPr>
          <w:ilvl w:val="0"/>
          <w:numId w:val="3"/>
        </w:numPr>
        <w:spacing w:line="480" w:lineRule="auto"/>
        <w:jc w:val="both"/>
        <w:rPr>
          <w:rFonts w:ascii="Times New Roman" w:hAnsi="Times New Roman" w:cs="Times New Roman"/>
          <w:color w:val="000000" w:themeColor="text1"/>
          <w:sz w:val="24"/>
          <w:szCs w:val="24"/>
          <w:lang w:val="en-GB"/>
        </w:rPr>
      </w:pPr>
      <w:r w:rsidRPr="002013B9">
        <w:rPr>
          <w:rFonts w:ascii="Times New Roman" w:hAnsi="Times New Roman" w:cs="Times New Roman"/>
          <w:color w:val="000000" w:themeColor="text1"/>
          <w:sz w:val="24"/>
          <w:szCs w:val="24"/>
          <w:lang w:val="en-GB"/>
        </w:rPr>
        <w:t>C</w:t>
      </w:r>
      <w:r w:rsidR="00FF04A1" w:rsidRPr="002013B9">
        <w:rPr>
          <w:rFonts w:ascii="Times New Roman" w:hAnsi="Times New Roman" w:cs="Times New Roman"/>
          <w:color w:val="000000" w:themeColor="text1"/>
          <w:sz w:val="24"/>
          <w:szCs w:val="24"/>
          <w:lang w:val="en-GB"/>
        </w:rPr>
        <w:t>onditioned pain modulation (CPM).</w:t>
      </w:r>
    </w:p>
    <w:p w14:paraId="76A542E6" w14:textId="77777777" w:rsidR="0024057D" w:rsidRPr="002013B9" w:rsidRDefault="0024057D" w:rsidP="00164C1D">
      <w:pPr>
        <w:pStyle w:val="Heading2"/>
        <w:spacing w:before="0" w:line="480" w:lineRule="auto"/>
        <w:contextualSpacing/>
        <w:jc w:val="both"/>
        <w:rPr>
          <w:rFonts w:cs="Times New Roman"/>
          <w:color w:val="000000" w:themeColor="text1"/>
          <w:sz w:val="24"/>
          <w:szCs w:val="24"/>
          <w:lang w:val="en-GB"/>
        </w:rPr>
      </w:pPr>
      <w:bookmarkStart w:id="5" w:name="_Toc372282144"/>
      <w:bookmarkStart w:id="6" w:name="_Toc372282181"/>
      <w:bookmarkEnd w:id="5"/>
    </w:p>
    <w:p w14:paraId="692C435C" w14:textId="42CE126A" w:rsidR="00E26DCF" w:rsidRPr="002013B9" w:rsidRDefault="00E26DCF" w:rsidP="00164C1D">
      <w:pPr>
        <w:pStyle w:val="Heading2"/>
        <w:spacing w:before="0" w:line="480" w:lineRule="auto"/>
        <w:contextualSpacing/>
        <w:jc w:val="both"/>
        <w:rPr>
          <w:rFonts w:cs="Times New Roman"/>
          <w:color w:val="000000" w:themeColor="text1"/>
          <w:sz w:val="24"/>
          <w:szCs w:val="24"/>
          <w:lang w:val="en-GB"/>
        </w:rPr>
      </w:pPr>
      <w:r w:rsidRPr="002013B9">
        <w:rPr>
          <w:rFonts w:cs="Times New Roman"/>
          <w:color w:val="000000" w:themeColor="text1"/>
          <w:sz w:val="24"/>
          <w:szCs w:val="24"/>
          <w:lang w:val="en-GB"/>
        </w:rPr>
        <w:t>Sample size determination</w:t>
      </w:r>
      <w:bookmarkEnd w:id="6"/>
      <w:r w:rsidRPr="002013B9">
        <w:rPr>
          <w:rFonts w:cs="Times New Roman"/>
          <w:color w:val="000000" w:themeColor="text1"/>
          <w:sz w:val="24"/>
          <w:szCs w:val="24"/>
          <w:lang w:val="en-GB"/>
        </w:rPr>
        <w:t xml:space="preserve"> </w:t>
      </w:r>
      <w:r w:rsidRPr="002013B9">
        <w:rPr>
          <w:rFonts w:cs="Times New Roman"/>
          <w:color w:val="000000" w:themeColor="text1"/>
          <w:sz w:val="24"/>
          <w:szCs w:val="24"/>
          <w:lang w:val="en-GB"/>
        </w:rPr>
        <w:tab/>
      </w:r>
    </w:p>
    <w:p w14:paraId="398EBB46" w14:textId="24A317B2" w:rsidR="005D57E1" w:rsidRPr="002013B9" w:rsidRDefault="00E26DCF" w:rsidP="005D57E1">
      <w:pPr>
        <w:spacing w:line="480" w:lineRule="auto"/>
        <w:contextualSpacing/>
        <w:jc w:val="both"/>
        <w:rPr>
          <w:rFonts w:ascii="Times New Roman" w:hAnsi="Times New Roman" w:cs="Times New Roman"/>
          <w:color w:val="000000" w:themeColor="text1"/>
          <w:sz w:val="24"/>
          <w:szCs w:val="24"/>
          <w:lang w:val="en-GB"/>
        </w:rPr>
      </w:pPr>
      <w:r w:rsidRPr="002013B9">
        <w:rPr>
          <w:rFonts w:ascii="Times New Roman" w:hAnsi="Times New Roman" w:cs="Times New Roman"/>
          <w:color w:val="000000" w:themeColor="text1"/>
          <w:sz w:val="24"/>
          <w:szCs w:val="24"/>
          <w:lang w:val="en-GB"/>
        </w:rPr>
        <w:t>The study is powered to detect a minimal difference</w:t>
      </w:r>
      <w:r w:rsidRPr="002013B9">
        <w:rPr>
          <w:rFonts w:ascii="Times New Roman" w:hAnsi="Times New Roman" w:cs="Times New Roman"/>
          <w:i/>
          <w:iCs/>
          <w:color w:val="000000" w:themeColor="text1"/>
          <w:sz w:val="24"/>
          <w:szCs w:val="24"/>
          <w:lang w:val="en-GB"/>
        </w:rPr>
        <w:t xml:space="preserve"> </w:t>
      </w:r>
      <w:r w:rsidRPr="002013B9">
        <w:rPr>
          <w:rFonts w:ascii="Times New Roman" w:hAnsi="Times New Roman" w:cs="Times New Roman"/>
          <w:color w:val="000000" w:themeColor="text1"/>
          <w:sz w:val="24"/>
          <w:szCs w:val="24"/>
          <w:lang w:val="en-GB"/>
        </w:rPr>
        <w:t xml:space="preserve">between </w:t>
      </w:r>
      <w:r w:rsidR="00E8298D" w:rsidRPr="002013B9">
        <w:rPr>
          <w:rFonts w:ascii="Times New Roman" w:hAnsi="Times New Roman" w:cs="Times New Roman"/>
          <w:color w:val="000000" w:themeColor="text1"/>
          <w:sz w:val="24"/>
          <w:szCs w:val="24"/>
          <w:lang w:val="en-GB"/>
        </w:rPr>
        <w:t>groups</w:t>
      </w:r>
      <w:r w:rsidRPr="002013B9">
        <w:rPr>
          <w:rFonts w:ascii="Times New Roman" w:hAnsi="Times New Roman" w:cs="Times New Roman"/>
          <w:color w:val="000000" w:themeColor="text1"/>
          <w:sz w:val="24"/>
          <w:szCs w:val="24"/>
          <w:lang w:val="en-GB"/>
        </w:rPr>
        <w:t xml:space="preserve"> of </w:t>
      </w:r>
      <w:r w:rsidR="001F6578" w:rsidRPr="002013B9">
        <w:rPr>
          <w:rFonts w:ascii="Times New Roman" w:hAnsi="Times New Roman" w:cs="Times New Roman"/>
          <w:color w:val="000000" w:themeColor="text1"/>
          <w:sz w:val="24"/>
          <w:szCs w:val="24"/>
          <w:lang w:val="en-GB"/>
        </w:rPr>
        <w:t>30</w:t>
      </w:r>
      <w:r w:rsidRPr="002013B9">
        <w:rPr>
          <w:rFonts w:ascii="Times New Roman" w:hAnsi="Times New Roman" w:cs="Times New Roman"/>
          <w:color w:val="000000" w:themeColor="text1"/>
          <w:sz w:val="24"/>
          <w:szCs w:val="24"/>
          <w:lang w:val="en-GB"/>
        </w:rPr>
        <w:t xml:space="preserve">% on the average </w:t>
      </w:r>
      <w:r w:rsidR="00C335AC" w:rsidRPr="002013B9">
        <w:rPr>
          <w:rFonts w:ascii="Times New Roman" w:hAnsi="Times New Roman" w:cs="Times New Roman"/>
          <w:color w:val="000000" w:themeColor="text1"/>
          <w:sz w:val="24"/>
          <w:szCs w:val="24"/>
          <w:lang w:val="en-GB"/>
        </w:rPr>
        <w:t xml:space="preserve">clinical </w:t>
      </w:r>
      <w:r w:rsidRPr="002013B9">
        <w:rPr>
          <w:rFonts w:ascii="Times New Roman" w:hAnsi="Times New Roman" w:cs="Times New Roman"/>
          <w:color w:val="000000" w:themeColor="text1"/>
          <w:sz w:val="24"/>
          <w:szCs w:val="24"/>
          <w:lang w:val="en-GB"/>
        </w:rPr>
        <w:t xml:space="preserve">pain score </w:t>
      </w:r>
      <w:r w:rsidR="00487D90" w:rsidRPr="002013B9">
        <w:rPr>
          <w:rFonts w:ascii="Times New Roman" w:hAnsi="Times New Roman" w:cs="Times New Roman"/>
          <w:color w:val="000000" w:themeColor="text1"/>
          <w:sz w:val="24"/>
          <w:szCs w:val="24"/>
          <w:lang w:val="en-GB"/>
        </w:rPr>
        <w:t>3 months after intervention</w:t>
      </w:r>
      <w:r w:rsidR="00CC4815" w:rsidRPr="002013B9">
        <w:rPr>
          <w:rFonts w:ascii="Times New Roman" w:hAnsi="Times New Roman" w:cs="Times New Roman"/>
          <w:color w:val="000000" w:themeColor="text1"/>
          <w:sz w:val="24"/>
          <w:szCs w:val="24"/>
          <w:lang w:val="en-GB"/>
        </w:rPr>
        <w:t xml:space="preserve"> </w:t>
      </w:r>
      <w:r w:rsidR="00CC4815" w:rsidRPr="002013B9">
        <w:rPr>
          <w:rFonts w:ascii="Times New Roman" w:hAnsi="Times New Roman" w:cs="Times New Roman"/>
          <w:color w:val="000000" w:themeColor="text1"/>
          <w:sz w:val="24"/>
          <w:szCs w:val="24"/>
          <w:lang w:val="en-GB"/>
        </w:rPr>
        <w:fldChar w:fldCharType="begin" w:fldLock="1"/>
      </w:r>
      <w:r w:rsidR="004D0981">
        <w:rPr>
          <w:rFonts w:ascii="Times New Roman" w:hAnsi="Times New Roman" w:cs="Times New Roman"/>
          <w:color w:val="000000" w:themeColor="text1"/>
          <w:sz w:val="24"/>
          <w:szCs w:val="24"/>
          <w:lang w:val="en-GB"/>
        </w:rPr>
        <w:instrText>ADDIN CSL_CITATION {"citationItems":[{"id":"ITEM-1","itemData":{"DOI":"10.1016/j.jpain.2007.09.005","ISSN":"1526-5900","PMID":"18055266","abstract":"UNLABELLED A consensus meeting was convened by the Initiative on Methods, Measurement, and Pain Assessment in Clinical Trials (IMMPACT) to provide recommendations for interpreting clinical importance of treatment outcomes in clinical trials of the efficacy and effectiveness of chronic pain treatments. A group of 40 participants from universities, governmental agencies, a patient self-help organization, and the pharmaceutical industry considered methodologic issues and research results relevant to determining the clinical importance of changes in the specific outcome measures previously recommended by IMMPACT for 4 core chronic pain outcome domains: (1) Pain intensity, assessed by a 0 to 10 numerical rating scale; (2) physical functioning, assessed by the Multidimensional Pain Inventory and Brief Pain Inventory interference scales; (3) emotional functioning, assessed by the Beck Depression Inventory and Profile of Mood States; and (4) participant ratings of overall improvement, assessed by the Patient Global Impression of Change scale. It is recommended that 2 or more different methods be used to evaluate the clinical importance of improvement or worsening for chronic pain clinical trial outcome measures. Provisional benchmarks for identifying clinically important changes in specific outcome measures that can be used for outcome studies of treatments for chronic pain are proposed. PERSPECTIVE Systematically collecting and reporting the recommended information needed to evaluate the clinical importance of treatment outcomes of chronic pain clinical trials will allow additional validation of proposed benchmarks and provide more meaningful comparisons of chronic pain treatments.","author":[{"dropping-particle":"","family":"Dworkin","given":"Robert H","non-dropping-particle":"","parse-names":false,"suffix":""},{"dropping-particle":"","family":"Turk","given":"Dennis C","non-dropping-particle":"","parse-names":false,"suffix":""},{"dropping-particle":"","family":"Wyrwich","given":"Kathleen W","non-dropping-particle":"","parse-names":false,"suffix":""},{"dropping-particle":"","family":"Beaton","given":"Dorcas","non-dropping-particle":"","parse-names":false,"suffix":""},{"dropping-particle":"","family":"Cleeland","given":"Charles S","non-dropping-particle":"","parse-names":false,"suffix":""},{"dropping-particle":"","family":"Farrar","given":"John T","non-dropping-particle":"","parse-names":false,"suffix":""},{"dropping-particle":"","family":"Haythornthwaite","given":"Jennifer A","non-dropping-particle":"","parse-names":false,"suffix":""},{"dropping-particle":"","family":"Jensen","given":"Mark P","non-dropping-particle":"","parse-names":false,"suffix":""},{"dropping-particle":"","family":"Kerns","given":"Robert D","non-dropping-particle":"","parse-names":false,"suffix":""},{"dropping-particle":"","family":"Ader","given":"Deborah N","non-dropping-particle":"","parse-names":false,"suffix":""},{"dropping-particle":"","family":"Brandenburg","given":"Nancy","non-dropping-particle":"","parse-names":false,"suffix":""},{"dropping-particle":"","family":"Burke","given":"Laurie B","non-dropping-particle":"","parse-names":false,"suffix":""},{"dropping-particle":"","family":"Cella","given":"David","non-dropping-particle":"","parse-names":false,"suffix":""},{"dropping-particle":"","family":"Chandler","given":"Julie","non-dropping-particle":"","parse-names":false,"suffix":""},{"dropping-particle":"","family":"Cowan","given":"Penny","non-dropping-particle":"","parse-names":false,"suffix":""},{"dropping-particle":"","family":"Dimitrova","given":"Rozalina","non-dropping-particle":"","parse-names":false,"suffix":""},{"dropping-particle":"","family":"Dionne","given":"Raymond","non-dropping-particle":"","parse-names":false,"suffix":""},{"dropping-particle":"","family":"Hertz","given":"Sharon","non-dropping-particle":"","parse-names":false,"suffix":""},{"dropping-particle":"","family":"Jadad","given":"Alejandro R","non-dropping-particle":"","parse-names":false,"suffix":""},{"dropping-particle":"","family":"Katz","given":"Nathaniel P","non-dropping-particle":"","parse-names":false,"suffix":""},{"dropping-particle":"","family":"Kehlet","given":"Henrik","non-dropping-particle":"","parse-names":false,"suffix":""},{"dropping-particle":"","family":"Kramer","given":"Lynn D","non-dropping-particle":"","parse-names":false,"suffix":""},{"dropping-particle":"","family":"Manning","given":"Donald C","non-dropping-particle":"","parse-names":false,"suffix":""},{"dropping-particle":"","family":"McCormick","given":"Cynthia","non-dropping-particle":"","parse-names":false,"suffix":""},{"dropping-particle":"","family":"McDermott","given":"Michael P","non-dropping-particle":"","parse-names":false,"suffix":""},{"dropping-particle":"","family":"McQuay","given":"Henry J","non-dropping-particle":"","parse-names":false,"suffix":""},{"dropping-particle":"","family":"Patel","given":"Sanjay","non-dropping-particle":"","parse-names":false,"suffix":""},{"dropping-particle":"","family":"Porter","given":"Linda","non-dropping-particle":"","parse-names":false,"suffix":""},{"dropping-particle":"","family":"Quessy","given":"Steve","non-dropping-particle":"","parse-names":false,"suffix":""},{"dropping-particle":"","family":"Rappaport","given":"Bob A","non-dropping-particle":"","parse-names":false,"suffix":""},{"dropping-particle":"","family":"Rauschkolb","given":"Christine","non-dropping-particle":"","parse-names":false,"suffix":""},{"dropping-particle":"","family":"Revicki","given":"Dennis A","non-dropping-particle":"","parse-names":false,"suffix":""},{"dropping-particle":"","family":"Rothman","given":"Margaret","non-dropping-particle":"","parse-names":false,"suffix":""},{"dropping-particle":"","family":"Schmader","given":"Kenneth E","non-dropping-particle":"","parse-names":false,"suffix":""},{"dropping-particle":"","family":"Stacey","given":"Brett R","non-dropping-particle":"","parse-names":false,"suffix":""},{"dropping-particle":"","family":"Stauffer","given":"Joseph W","non-dropping-particle":"","parse-names":false,"suffix":""},{"dropping-particle":"","family":"Stein","given":"Thorsten","non-dropping-particle":"von","parse-names":false,"suffix":""},{"dropping-particle":"","family":"White","given":"Richard E","non-dropping-particle":"","parse-names":false,"suffix":""},{"dropping-particle":"","family":"Witter","given":"James","non-dropping-particle":"","parse-names":false,"suffix":""},{"dropping-particle":"","family":"Zavisic","given":"Stojan","non-dropping-particle":"","parse-names":false,"suffix":""}],"container-title":"The journal of pain : official journal of the American Pain Society","id":"ITEM-1","issue":"2","issued":{"date-parts":[["2008","2"]]},"page":"105-21","title":"Interpreting the clinical importance of treatment outcomes in chronic pain clinical trials: IMMPACT recommendations.","type":"article-journal","volume":"9"},"uris":["http://www.mendeley.com/documents/?uuid=2eede2a8-32c1-4838-92ff-4f7961ae7d9c"]}],"mendeley":{"formattedCitation":"[34]","plainTextFormattedCitation":"[34]","previouslyFormattedCitation":"[33]"},"properties":{"noteIndex":0},"schema":"https://github.com/citation-style-language/schema/raw/master/csl-citation.json"}</w:instrText>
      </w:r>
      <w:r w:rsidR="00CC4815" w:rsidRPr="002013B9">
        <w:rPr>
          <w:rFonts w:ascii="Times New Roman" w:hAnsi="Times New Roman" w:cs="Times New Roman"/>
          <w:color w:val="000000" w:themeColor="text1"/>
          <w:sz w:val="24"/>
          <w:szCs w:val="24"/>
          <w:lang w:val="en-GB"/>
        </w:rPr>
        <w:fldChar w:fldCharType="separate"/>
      </w:r>
      <w:r w:rsidR="004D0981" w:rsidRPr="004D0981">
        <w:rPr>
          <w:rFonts w:ascii="Times New Roman" w:hAnsi="Times New Roman" w:cs="Times New Roman"/>
          <w:noProof/>
          <w:color w:val="000000" w:themeColor="text1"/>
          <w:sz w:val="24"/>
          <w:szCs w:val="24"/>
          <w:lang w:val="en-GB"/>
        </w:rPr>
        <w:t>[34]</w:t>
      </w:r>
      <w:r w:rsidR="00CC4815" w:rsidRPr="002013B9">
        <w:rPr>
          <w:rFonts w:ascii="Times New Roman" w:hAnsi="Times New Roman" w:cs="Times New Roman"/>
          <w:color w:val="000000" w:themeColor="text1"/>
          <w:sz w:val="24"/>
          <w:szCs w:val="24"/>
          <w:lang w:val="en-GB"/>
        </w:rPr>
        <w:fldChar w:fldCharType="end"/>
      </w:r>
      <w:r w:rsidR="00487D90" w:rsidRPr="002013B9">
        <w:rPr>
          <w:rFonts w:ascii="Times New Roman" w:hAnsi="Times New Roman" w:cs="Times New Roman"/>
          <w:color w:val="000000" w:themeColor="text1"/>
          <w:sz w:val="24"/>
          <w:szCs w:val="24"/>
          <w:lang w:val="en-GB"/>
        </w:rPr>
        <w:t>.</w:t>
      </w:r>
      <w:r w:rsidRPr="002013B9">
        <w:rPr>
          <w:rFonts w:ascii="Times New Roman" w:hAnsi="Times New Roman" w:cs="Times New Roman"/>
          <w:color w:val="000000" w:themeColor="text1"/>
          <w:sz w:val="24"/>
          <w:szCs w:val="24"/>
          <w:lang w:val="en-GB"/>
        </w:rPr>
        <w:t xml:space="preserve"> </w:t>
      </w:r>
      <w:r w:rsidR="005D57E1" w:rsidRPr="002013B9">
        <w:rPr>
          <w:rFonts w:ascii="Times New Roman" w:hAnsi="Times New Roman" w:cs="Times New Roman"/>
          <w:color w:val="000000" w:themeColor="text1"/>
          <w:sz w:val="24"/>
          <w:szCs w:val="24"/>
          <w:lang w:val="en-GB"/>
        </w:rPr>
        <w:t>On the basis of an assumed</w:t>
      </w:r>
      <w:r w:rsidR="001F6578" w:rsidRPr="002013B9">
        <w:rPr>
          <w:rFonts w:ascii="Times New Roman" w:hAnsi="Times New Roman" w:cs="Times New Roman"/>
          <w:color w:val="000000" w:themeColor="text1"/>
          <w:sz w:val="24"/>
          <w:szCs w:val="24"/>
          <w:lang w:val="en-GB"/>
        </w:rPr>
        <w:t xml:space="preserve"> SD of</w:t>
      </w:r>
      <w:r w:rsidR="005D57E1" w:rsidRPr="002013B9">
        <w:rPr>
          <w:rFonts w:ascii="Times New Roman" w:hAnsi="Times New Roman" w:cs="Times New Roman"/>
          <w:color w:val="000000" w:themeColor="text1"/>
          <w:sz w:val="24"/>
          <w:szCs w:val="24"/>
          <w:lang w:val="en-GB"/>
        </w:rPr>
        <w:t xml:space="preserve"> </w:t>
      </w:r>
      <w:r w:rsidR="001F6578" w:rsidRPr="002013B9">
        <w:rPr>
          <w:rFonts w:ascii="Times New Roman" w:hAnsi="Times New Roman" w:cs="Times New Roman"/>
          <w:color w:val="000000" w:themeColor="text1"/>
          <w:sz w:val="24"/>
          <w:szCs w:val="24"/>
          <w:lang w:val="en-GB"/>
        </w:rPr>
        <w:t>45</w:t>
      </w:r>
      <w:r w:rsidR="005D57E1" w:rsidRPr="002013B9">
        <w:rPr>
          <w:rFonts w:ascii="Times New Roman" w:hAnsi="Times New Roman" w:cs="Times New Roman"/>
          <w:color w:val="000000" w:themeColor="text1"/>
          <w:sz w:val="24"/>
          <w:szCs w:val="24"/>
          <w:lang w:val="en-GB"/>
        </w:rPr>
        <w:t xml:space="preserve">%, we determine that a study with </w:t>
      </w:r>
      <w:r w:rsidR="001F6578" w:rsidRPr="002013B9">
        <w:rPr>
          <w:rFonts w:ascii="Times New Roman" w:hAnsi="Times New Roman" w:cs="Times New Roman"/>
          <w:color w:val="000000" w:themeColor="text1"/>
          <w:sz w:val="24"/>
          <w:szCs w:val="24"/>
          <w:lang w:val="en-GB"/>
        </w:rPr>
        <w:t>48</w:t>
      </w:r>
      <w:r w:rsidR="005D57E1" w:rsidRPr="002013B9">
        <w:rPr>
          <w:rFonts w:ascii="Times New Roman" w:hAnsi="Times New Roman" w:cs="Times New Roman"/>
          <w:color w:val="000000" w:themeColor="text1"/>
          <w:sz w:val="24"/>
          <w:szCs w:val="24"/>
          <w:lang w:val="en-GB"/>
        </w:rPr>
        <w:t xml:space="preserve"> patients per group </w:t>
      </w:r>
      <w:r w:rsidR="003C2222" w:rsidRPr="002013B9">
        <w:rPr>
          <w:rFonts w:ascii="Times New Roman" w:hAnsi="Times New Roman" w:cs="Times New Roman"/>
          <w:color w:val="000000" w:themeColor="text1"/>
          <w:sz w:val="24"/>
          <w:szCs w:val="24"/>
          <w:lang w:val="en-GB"/>
        </w:rPr>
        <w:t>i</w:t>
      </w:r>
      <w:r w:rsidR="005D57E1" w:rsidRPr="002013B9">
        <w:rPr>
          <w:rFonts w:ascii="Times New Roman" w:hAnsi="Times New Roman" w:cs="Times New Roman"/>
          <w:color w:val="000000" w:themeColor="text1"/>
          <w:sz w:val="24"/>
          <w:szCs w:val="24"/>
          <w:lang w:val="en-GB"/>
        </w:rPr>
        <w:t>s needed to provide a power of 90% (to allow for secondary endpoints) with the use of a 2-sided significance level of 0.05</w:t>
      </w:r>
      <w:r w:rsidR="001F6578" w:rsidRPr="002013B9">
        <w:rPr>
          <w:rFonts w:ascii="Times New Roman" w:hAnsi="Times New Roman" w:cs="Times New Roman"/>
          <w:color w:val="000000" w:themeColor="text1"/>
          <w:sz w:val="24"/>
          <w:szCs w:val="24"/>
          <w:lang w:val="en-GB"/>
        </w:rPr>
        <w:t xml:space="preserve"> </w:t>
      </w:r>
      <w:r w:rsidR="001F6578" w:rsidRPr="002013B9">
        <w:rPr>
          <w:rFonts w:ascii="Times New Roman" w:hAnsi="Times New Roman" w:cs="Times New Roman"/>
          <w:color w:val="000000" w:themeColor="text1"/>
          <w:sz w:val="24"/>
          <w:szCs w:val="24"/>
          <w:lang w:val="en-GB"/>
        </w:rPr>
        <w:fldChar w:fldCharType="begin" w:fldLock="1"/>
      </w:r>
      <w:r w:rsidR="004D0981">
        <w:rPr>
          <w:rFonts w:ascii="Times New Roman" w:hAnsi="Times New Roman" w:cs="Times New Roman"/>
          <w:color w:val="000000" w:themeColor="text1"/>
          <w:sz w:val="24"/>
          <w:szCs w:val="24"/>
          <w:lang w:val="en-GB"/>
        </w:rPr>
        <w:instrText>ADDIN CSL_CITATION {"citationItems":[{"id":"ITEM-1","itemData":{"DOI":"10.1111/jgh.13332","ISSN":"1440-1746","PMID":"26945817","abstract":"BACKGROUND AND AIM The aim of this study was to evaluate the effect of antioxidant-pregabalin combination on pain recurrence in patients with chronic calcific pancreatitis. METHODS In this randomized, double-blind, placebo-controlled trial, chronic calcific pancreatitis patients with pain recurrence following pancreatic ductal clearance of stones received either antioxidant-pregabalin combination or matching placebo for 2 months followed by open-label antioxidants for the next 4 months in both groups. Compliance, daily pain, and adverse events were recorded weekly and at the end of study by a coordinator blinded to treatment status. Primary outcome was pain improvement (visual analog scale and Izbicki score); secondary outcomes were as follows: complete pain resolution, painful days, and adverse events. Number needed-to-treat was calculated. RESULTS We randomized 42 and 45 patients (mean age 29.3 years) to treatment and placebo arms, respectively. Baseline characteristics, including pain scores, were similar for both groups. No patients received high-potency narcotic. At 2 months, a significant improvement in the treatment arm was observed in percent reduction of visual analog scale (-50 [-80.0; -32.1] vs -29.5 [-64.5; 0]; P = 0.01), Izbicki score (14.5 [0; 21.3] vs 30.0 [11.8; 41.3]; P = 0.001), complete pain resolution (20 [47.6%] vs 12 [26.7%]; P = 0.04), and number of painful days (10.0 [2.0; 16.0] vs 18.0 [7.0; 34.0]; P = 0.01). Needed-to-treat was 4.8. Pain reduction persisted at 6 months in the original treatment group (20.0 [15.0; 28.0] vs 36.0 [20.0; 50.0]; P = 0.006). A total of 33 patients in the treatment arm experienced mild to moderate self-limiting nausea/vomiting and drowsiness, respectively and did not require any change in study protocol. CONCLUSION Antioxidant-pregabalin combination results in significant relief in pain recurrence after ductal clearance in narcotic naïve patients with chronic calcific pancreatitis.","author":[{"dropping-particle":"","family":"Talukdar","given":"Rupjyoti","non-dropping-particle":"","parse-names":false,"suffix":""},{"dropping-particle":"","family":"Lakhtakia","given":"Sundeep","non-dropping-particle":"","parse-names":false,"suffix":""},{"dropping-particle":"","family":"Nageshwar Reddy","given":"D","non-dropping-particle":"","parse-names":false,"suffix":""},{"dropping-particle":"","family":"Rao","given":"G Venkat","non-dropping-particle":"","parse-names":false,"suffix":""},{"dropping-particle":"","family":"Pradeep","given":"Rebala","non-dropping-particle":"","parse-names":false,"suffix":""},{"dropping-particle":"","family":"Banerjee","given":"Rupa","non-dropping-particle":"","parse-names":false,"suffix":""},{"dropping-particle":"","family":"Gupta","given":"Rajesh","non-dropping-particle":"","parse-names":false,"suffix":""},{"dropping-particle":"","family":"Ramchandani","given":"Mohan","non-dropping-particle":"","parse-names":false,"suffix":""},{"dropping-particle":"","family":"Tandan","given":"Manu","non-dropping-particle":"","parse-names":false,"suffix":""},{"dropping-particle":"","family":"Murthy","given":"H Vivekananda","non-dropping-particle":"","parse-names":false,"suffix":""}],"container-title":"Journal of gastroenterology and hepatology","id":"ITEM-1","issue":"9","issued":{"date-parts":[["2016","9"]]},"page":"1654-62","title":"Ameliorating effect of antioxidants and pregabalin combination in pain recurrence after ductal clearance in chronic pancreatitis: Results of a randomized, double blind, placebo-controlled trial.","type":"article-journal","volume":"31"},"uris":["http://www.mendeley.com/documents/?uuid=d31867ae-07e9-4bc7-a382-0635a0c49d78"]}],"mendeley":{"formattedCitation":"[35]","plainTextFormattedCitation":"[35]","previouslyFormattedCitation":"[34]"},"properties":{"noteIndex":0},"schema":"https://github.com/citation-style-language/schema/raw/master/csl-citation.json"}</w:instrText>
      </w:r>
      <w:r w:rsidR="001F6578" w:rsidRPr="002013B9">
        <w:rPr>
          <w:rFonts w:ascii="Times New Roman" w:hAnsi="Times New Roman" w:cs="Times New Roman"/>
          <w:color w:val="000000" w:themeColor="text1"/>
          <w:sz w:val="24"/>
          <w:szCs w:val="24"/>
          <w:lang w:val="en-GB"/>
        </w:rPr>
        <w:fldChar w:fldCharType="separate"/>
      </w:r>
      <w:r w:rsidR="004D0981" w:rsidRPr="004D0981">
        <w:rPr>
          <w:rFonts w:ascii="Times New Roman" w:hAnsi="Times New Roman" w:cs="Times New Roman"/>
          <w:noProof/>
          <w:color w:val="000000" w:themeColor="text1"/>
          <w:sz w:val="24"/>
          <w:szCs w:val="24"/>
          <w:lang w:val="en-GB"/>
        </w:rPr>
        <w:t>[35]</w:t>
      </w:r>
      <w:r w:rsidR="001F6578" w:rsidRPr="002013B9">
        <w:rPr>
          <w:rFonts w:ascii="Times New Roman" w:hAnsi="Times New Roman" w:cs="Times New Roman"/>
          <w:color w:val="000000" w:themeColor="text1"/>
          <w:sz w:val="24"/>
          <w:szCs w:val="24"/>
          <w:lang w:val="en-GB"/>
        </w:rPr>
        <w:fldChar w:fldCharType="end"/>
      </w:r>
      <w:r w:rsidR="005D57E1" w:rsidRPr="002013B9">
        <w:rPr>
          <w:rFonts w:ascii="Times New Roman" w:hAnsi="Times New Roman" w:cs="Times New Roman"/>
          <w:color w:val="000000" w:themeColor="text1"/>
          <w:sz w:val="24"/>
          <w:szCs w:val="24"/>
          <w:lang w:val="en-GB"/>
        </w:rPr>
        <w:t xml:space="preserve">. </w:t>
      </w:r>
      <w:r w:rsidR="00EB2760" w:rsidRPr="002013B9">
        <w:rPr>
          <w:rFonts w:ascii="Times New Roman" w:hAnsi="Times New Roman" w:cs="Times New Roman"/>
          <w:color w:val="000000" w:themeColor="text1"/>
          <w:sz w:val="24"/>
          <w:szCs w:val="24"/>
          <w:lang w:val="en-GB"/>
        </w:rPr>
        <w:t xml:space="preserve">To allow for a 10% dropout rate </w:t>
      </w:r>
      <w:r w:rsidR="005D57E1" w:rsidRPr="002013B9">
        <w:rPr>
          <w:rFonts w:ascii="Times New Roman" w:hAnsi="Times New Roman" w:cs="Times New Roman"/>
          <w:color w:val="000000" w:themeColor="text1"/>
          <w:sz w:val="24"/>
          <w:szCs w:val="24"/>
          <w:lang w:val="en-GB"/>
        </w:rPr>
        <w:t xml:space="preserve">the sample size </w:t>
      </w:r>
      <w:r w:rsidR="003C2222" w:rsidRPr="002013B9">
        <w:rPr>
          <w:rFonts w:ascii="Times New Roman" w:hAnsi="Times New Roman" w:cs="Times New Roman"/>
          <w:color w:val="000000" w:themeColor="text1"/>
          <w:sz w:val="24"/>
          <w:szCs w:val="24"/>
          <w:lang w:val="en-GB"/>
        </w:rPr>
        <w:t>is</w:t>
      </w:r>
      <w:r w:rsidR="005D57E1" w:rsidRPr="002013B9">
        <w:rPr>
          <w:rFonts w:ascii="Times New Roman" w:hAnsi="Times New Roman" w:cs="Times New Roman"/>
          <w:color w:val="000000" w:themeColor="text1"/>
          <w:sz w:val="24"/>
          <w:szCs w:val="24"/>
          <w:lang w:val="en-GB"/>
        </w:rPr>
        <w:t xml:space="preserve"> set at 106 patients. </w:t>
      </w:r>
    </w:p>
    <w:p w14:paraId="2C1889DC" w14:textId="13C2D79D" w:rsidR="002507A2" w:rsidRPr="002013B9" w:rsidRDefault="002507A2" w:rsidP="00164C1D">
      <w:pPr>
        <w:spacing w:line="480" w:lineRule="auto"/>
        <w:contextualSpacing/>
        <w:jc w:val="both"/>
        <w:rPr>
          <w:rFonts w:ascii="Times New Roman" w:hAnsi="Times New Roman" w:cs="Times New Roman"/>
          <w:color w:val="000000" w:themeColor="text1"/>
          <w:sz w:val="24"/>
          <w:szCs w:val="24"/>
          <w:lang w:val="en-GB"/>
        </w:rPr>
      </w:pPr>
    </w:p>
    <w:p w14:paraId="696AB52F" w14:textId="77777777" w:rsidR="00773F88" w:rsidRPr="00176F7D" w:rsidRDefault="00723C4A" w:rsidP="00176F7D">
      <w:pPr>
        <w:spacing w:line="480" w:lineRule="auto"/>
        <w:contextualSpacing/>
        <w:jc w:val="both"/>
        <w:rPr>
          <w:rFonts w:ascii="Times New Roman" w:hAnsi="Times New Roman" w:cs="Times New Roman"/>
          <w:b/>
          <w:bCs/>
          <w:color w:val="000000" w:themeColor="text1"/>
          <w:sz w:val="24"/>
          <w:szCs w:val="24"/>
          <w:lang w:val="en-GB"/>
        </w:rPr>
      </w:pPr>
      <w:r w:rsidRPr="00176F7D">
        <w:rPr>
          <w:rFonts w:ascii="Times New Roman" w:hAnsi="Times New Roman" w:cs="Times New Roman"/>
          <w:b/>
          <w:bCs/>
          <w:color w:val="000000" w:themeColor="text1"/>
          <w:sz w:val="24"/>
          <w:szCs w:val="24"/>
          <w:lang w:val="en-GB"/>
        </w:rPr>
        <w:t>Randomization, blinding and treatment allocation</w:t>
      </w:r>
    </w:p>
    <w:p w14:paraId="4948B12D" w14:textId="77777777" w:rsidR="006D1585" w:rsidRDefault="00773F88" w:rsidP="006D1585">
      <w:pPr>
        <w:pStyle w:val="NormalWeb"/>
        <w:spacing w:line="480" w:lineRule="auto"/>
        <w:contextualSpacing/>
        <w:rPr>
          <w:color w:val="000000" w:themeColor="text1"/>
          <w:lang w:val="en-GB"/>
        </w:rPr>
      </w:pPr>
      <w:r w:rsidRPr="00773F88">
        <w:rPr>
          <w:color w:val="FF0000"/>
        </w:rPr>
        <w:t xml:space="preserve">Randomization </w:t>
      </w:r>
      <w:r w:rsidRPr="00CA1047">
        <w:rPr>
          <w:color w:val="FF0000"/>
        </w:rPr>
        <w:t>is</w:t>
      </w:r>
      <w:r w:rsidRPr="00773F88">
        <w:rPr>
          <w:color w:val="FF0000"/>
        </w:rPr>
        <w:t xml:space="preserve"> performed using an automatic assign</w:t>
      </w:r>
      <w:r w:rsidR="001D1739" w:rsidRPr="00CA1047">
        <w:rPr>
          <w:color w:val="FF0000"/>
        </w:rPr>
        <w:t xml:space="preserve">ment system that </w:t>
      </w:r>
      <w:r w:rsidR="00176F7D" w:rsidRPr="00CA1047">
        <w:rPr>
          <w:color w:val="FF0000"/>
        </w:rPr>
        <w:t>conceal</w:t>
      </w:r>
      <w:r w:rsidR="001D1739" w:rsidRPr="00CA1047">
        <w:rPr>
          <w:color w:val="FF0000"/>
        </w:rPr>
        <w:t xml:space="preserve"> allocation. </w:t>
      </w:r>
      <w:r w:rsidR="00197871" w:rsidRPr="00CA1047">
        <w:rPr>
          <w:color w:val="FF0000"/>
          <w:shd w:val="clear" w:color="auto" w:fill="FFFFFF"/>
          <w:lang w:val="en-GB"/>
        </w:rPr>
        <w:t xml:space="preserve">Block </w:t>
      </w:r>
      <w:r w:rsidR="00970C04" w:rsidRPr="00CA1047">
        <w:rPr>
          <w:color w:val="FF0000"/>
          <w:shd w:val="clear" w:color="auto" w:fill="FFFFFF"/>
          <w:lang w:val="en-GB"/>
        </w:rPr>
        <w:t>randomization</w:t>
      </w:r>
      <w:r w:rsidR="00197871" w:rsidRPr="00CA1047">
        <w:rPr>
          <w:color w:val="FF0000"/>
          <w:shd w:val="clear" w:color="auto" w:fill="FFFFFF"/>
          <w:lang w:val="en-GB"/>
        </w:rPr>
        <w:t xml:space="preserve"> is employed</w:t>
      </w:r>
      <w:r w:rsidR="00970C04" w:rsidRPr="00CA1047">
        <w:rPr>
          <w:color w:val="FF0000"/>
          <w:shd w:val="clear" w:color="auto" w:fill="FFFFFF"/>
          <w:lang w:val="en-GB"/>
        </w:rPr>
        <w:t xml:space="preserve"> with randomization of</w:t>
      </w:r>
      <w:r w:rsidR="00723C4A" w:rsidRPr="00CA1047">
        <w:rPr>
          <w:color w:val="FF0000"/>
          <w:shd w:val="clear" w:color="auto" w:fill="FFFFFF"/>
          <w:lang w:val="en-GB"/>
        </w:rPr>
        <w:t xml:space="preserve"> 6 patients </w:t>
      </w:r>
      <w:r w:rsidR="00970C04" w:rsidRPr="00CA1047">
        <w:rPr>
          <w:color w:val="FF0000"/>
          <w:shd w:val="clear" w:color="auto" w:fill="FFFFFF"/>
          <w:lang w:val="en-GB"/>
        </w:rPr>
        <w:t>per block</w:t>
      </w:r>
      <w:r w:rsidR="00723C4A" w:rsidRPr="00CA1047">
        <w:rPr>
          <w:color w:val="FF0000"/>
          <w:shd w:val="clear" w:color="auto" w:fill="FFFFFF"/>
          <w:lang w:val="en-GB"/>
        </w:rPr>
        <w:t xml:space="preserve"> to equal proportions for sham procedures or combined ESWL and endotherapy</w:t>
      </w:r>
      <w:r w:rsidR="00666718" w:rsidRPr="00CA1047">
        <w:rPr>
          <w:color w:val="FF0000"/>
          <w:shd w:val="clear" w:color="auto" w:fill="FFFFFF"/>
          <w:lang w:val="en-GB"/>
        </w:rPr>
        <w:t>.</w:t>
      </w:r>
      <w:r w:rsidR="0020604E" w:rsidRPr="00CA1047">
        <w:rPr>
          <w:color w:val="FF0000"/>
          <w:shd w:val="clear" w:color="auto" w:fill="FFFFFF"/>
          <w:lang w:val="en-GB"/>
        </w:rPr>
        <w:t xml:space="preserve"> </w:t>
      </w:r>
      <w:r w:rsidR="00666718" w:rsidRPr="00CA1047">
        <w:rPr>
          <w:color w:val="FF0000"/>
          <w:shd w:val="clear" w:color="auto" w:fill="FFFFFF"/>
          <w:lang w:val="en-GB"/>
        </w:rPr>
        <w:t>N</w:t>
      </w:r>
      <w:r w:rsidR="0020604E" w:rsidRPr="00CA1047">
        <w:rPr>
          <w:color w:val="FF0000"/>
          <w:shd w:val="clear" w:color="auto" w:fill="FFFFFF"/>
          <w:lang w:val="en-GB"/>
        </w:rPr>
        <w:t xml:space="preserve">o stratification of randomization </w:t>
      </w:r>
      <w:r w:rsidR="002F07FB">
        <w:rPr>
          <w:color w:val="FF0000"/>
          <w:shd w:val="clear" w:color="auto" w:fill="FFFFFF"/>
          <w:lang w:val="en-GB"/>
        </w:rPr>
        <w:t xml:space="preserve">based on </w:t>
      </w:r>
      <w:r w:rsidR="007A0CE5">
        <w:rPr>
          <w:color w:val="FF0000"/>
          <w:shd w:val="clear" w:color="auto" w:fill="FFFFFF"/>
          <w:lang w:val="en-GB"/>
        </w:rPr>
        <w:t xml:space="preserve">demographic or clinical variables </w:t>
      </w:r>
      <w:r w:rsidR="00F131D1" w:rsidRPr="00CA1047">
        <w:rPr>
          <w:color w:val="FF0000"/>
          <w:lang w:val="en-GB"/>
        </w:rPr>
        <w:t xml:space="preserve">will be </w:t>
      </w:r>
      <w:r w:rsidR="0020604E" w:rsidRPr="00CA1047">
        <w:rPr>
          <w:color w:val="FF0000"/>
          <w:shd w:val="clear" w:color="auto" w:fill="FFFFFF"/>
          <w:lang w:val="en-GB"/>
        </w:rPr>
        <w:t>applied</w:t>
      </w:r>
      <w:r w:rsidR="00723C4A" w:rsidRPr="00CA1047">
        <w:rPr>
          <w:color w:val="FF0000"/>
          <w:shd w:val="clear" w:color="auto" w:fill="FFFFFF"/>
          <w:lang w:val="en-GB"/>
        </w:rPr>
        <w:t>.</w:t>
      </w:r>
      <w:r w:rsidR="00866B55" w:rsidRPr="00CA1047">
        <w:rPr>
          <w:color w:val="FF0000"/>
          <w:shd w:val="clear" w:color="auto" w:fill="FFFFFF"/>
          <w:lang w:val="en-GB"/>
        </w:rPr>
        <w:t xml:space="preserve"> </w:t>
      </w:r>
      <w:r w:rsidR="00DA0A5C" w:rsidRPr="00176F7D">
        <w:rPr>
          <w:color w:val="000000" w:themeColor="text1"/>
          <w:lang w:val="en-GB"/>
        </w:rPr>
        <w:t xml:space="preserve">The allocation sequence will be generated by a biostatistician who won’t be involved in the administration of treatment or recording of data. Randomization of patients into the two groups will be done by a physician who won’t have access to the clinical data of the patients. </w:t>
      </w:r>
    </w:p>
    <w:p w14:paraId="0544A4F3" w14:textId="53FCF9AE" w:rsidR="00131EE0" w:rsidRPr="00176F7D" w:rsidRDefault="00131EE0" w:rsidP="006D1585">
      <w:pPr>
        <w:pStyle w:val="NormalWeb"/>
        <w:spacing w:line="480" w:lineRule="auto"/>
        <w:ind w:firstLine="567"/>
        <w:contextualSpacing/>
        <w:rPr>
          <w:color w:val="000000" w:themeColor="text1"/>
          <w:lang w:val="en-GB"/>
        </w:rPr>
      </w:pPr>
      <w:r w:rsidRPr="002013B9">
        <w:rPr>
          <w:color w:val="000000" w:themeColor="text1"/>
          <w:lang w:val="en-GB"/>
        </w:rPr>
        <w:t>The patients will be blinded to the treatment received. The patients in the sham procedure will be provided a superficial needle prick with a sterile needle to mimic epidural anaesthesia. Then the ESWL instrument will be started so that the patients get a</w:t>
      </w:r>
      <w:r w:rsidR="003E0D60" w:rsidRPr="002013B9">
        <w:rPr>
          <w:color w:val="000000" w:themeColor="text1"/>
          <w:lang w:val="en-GB"/>
        </w:rPr>
        <w:t>n audi</w:t>
      </w:r>
      <w:r w:rsidR="00582B59" w:rsidRPr="002013B9">
        <w:rPr>
          <w:color w:val="000000" w:themeColor="text1"/>
          <w:lang w:val="en-GB"/>
        </w:rPr>
        <w:t>tory</w:t>
      </w:r>
      <w:r w:rsidRPr="002013B9">
        <w:rPr>
          <w:color w:val="000000" w:themeColor="text1"/>
          <w:lang w:val="en-GB"/>
        </w:rPr>
        <w:t xml:space="preserve"> </w:t>
      </w:r>
      <w:r w:rsidR="003E0D60" w:rsidRPr="002013B9">
        <w:rPr>
          <w:color w:val="000000" w:themeColor="text1"/>
          <w:lang w:val="en-GB"/>
        </w:rPr>
        <w:t>perception</w:t>
      </w:r>
      <w:r w:rsidRPr="002013B9">
        <w:rPr>
          <w:color w:val="000000" w:themeColor="text1"/>
          <w:lang w:val="en-GB"/>
        </w:rPr>
        <w:t xml:space="preserve"> that the treatment is being provided. The eyes will be covered and if the patient wishes they will be given light sedation. The operator cannot be blinded due to the nature of the study. However, the principal investigator and the statistician will be blinded to the treatment arms.</w:t>
      </w:r>
    </w:p>
    <w:p w14:paraId="3578BC3E" w14:textId="78D2D5F2" w:rsidR="00131EE0" w:rsidRPr="002013B9" w:rsidRDefault="00131EE0" w:rsidP="00164C1D">
      <w:pPr>
        <w:spacing w:line="480" w:lineRule="auto"/>
        <w:ind w:firstLine="567"/>
        <w:contextualSpacing/>
        <w:jc w:val="both"/>
        <w:rPr>
          <w:rFonts w:ascii="Times New Roman" w:hAnsi="Times New Roman" w:cs="Times New Roman"/>
          <w:color w:val="000000" w:themeColor="text1"/>
          <w:sz w:val="24"/>
          <w:szCs w:val="24"/>
          <w:lang w:val="en-GB"/>
        </w:rPr>
      </w:pPr>
      <w:r w:rsidRPr="002013B9">
        <w:rPr>
          <w:rFonts w:ascii="Times New Roman" w:hAnsi="Times New Roman" w:cs="Times New Roman"/>
          <w:color w:val="000000" w:themeColor="text1"/>
          <w:sz w:val="24"/>
          <w:szCs w:val="24"/>
          <w:lang w:val="en-GB"/>
        </w:rPr>
        <w:lastRenderedPageBreak/>
        <w:t xml:space="preserve">In case of an emergency that necessitates knowledge of the </w:t>
      </w:r>
      <w:r w:rsidR="003E4C68">
        <w:rPr>
          <w:rFonts w:ascii="Times New Roman" w:hAnsi="Times New Roman" w:cs="Times New Roman"/>
          <w:color w:val="000000" w:themeColor="text1"/>
          <w:sz w:val="24"/>
          <w:szCs w:val="24"/>
          <w:lang w:val="en-GB"/>
        </w:rPr>
        <w:t>procedure</w:t>
      </w:r>
      <w:r w:rsidR="006073B1">
        <w:rPr>
          <w:rFonts w:ascii="Times New Roman" w:hAnsi="Times New Roman" w:cs="Times New Roman"/>
          <w:color w:val="000000" w:themeColor="text1"/>
          <w:sz w:val="24"/>
          <w:szCs w:val="24"/>
          <w:lang w:val="en-GB"/>
        </w:rPr>
        <w:t xml:space="preserve"> allocation</w:t>
      </w:r>
      <w:r w:rsidRPr="002013B9">
        <w:rPr>
          <w:rFonts w:ascii="Times New Roman" w:hAnsi="Times New Roman" w:cs="Times New Roman"/>
          <w:color w:val="000000" w:themeColor="text1"/>
          <w:sz w:val="24"/>
          <w:szCs w:val="24"/>
          <w:lang w:val="en-GB"/>
        </w:rPr>
        <w:t xml:space="preserve">, the individual procedure assignment for each patient </w:t>
      </w:r>
      <w:r w:rsidR="00F131D1" w:rsidRPr="002013B9">
        <w:rPr>
          <w:rFonts w:ascii="Times New Roman" w:hAnsi="Times New Roman" w:cs="Times New Roman"/>
          <w:color w:val="000000" w:themeColor="text1"/>
          <w:sz w:val="24"/>
          <w:szCs w:val="24"/>
          <w:lang w:val="en-GB"/>
        </w:rPr>
        <w:t xml:space="preserve">will be </w:t>
      </w:r>
      <w:r w:rsidRPr="002013B9">
        <w:rPr>
          <w:rFonts w:ascii="Times New Roman" w:hAnsi="Times New Roman" w:cs="Times New Roman"/>
          <w:color w:val="000000" w:themeColor="text1"/>
          <w:sz w:val="24"/>
          <w:szCs w:val="24"/>
          <w:lang w:val="en-GB"/>
        </w:rPr>
        <w:t xml:space="preserve">available. The codes </w:t>
      </w:r>
      <w:r w:rsidR="00F131D1" w:rsidRPr="002013B9">
        <w:rPr>
          <w:rFonts w:ascii="Times New Roman" w:hAnsi="Times New Roman" w:cs="Times New Roman"/>
          <w:color w:val="000000" w:themeColor="text1"/>
          <w:sz w:val="24"/>
          <w:szCs w:val="24"/>
          <w:lang w:val="en-GB"/>
        </w:rPr>
        <w:t xml:space="preserve">will be </w:t>
      </w:r>
      <w:r w:rsidRPr="002013B9">
        <w:rPr>
          <w:rFonts w:ascii="Times New Roman" w:hAnsi="Times New Roman" w:cs="Times New Roman"/>
          <w:color w:val="000000" w:themeColor="text1"/>
          <w:sz w:val="24"/>
          <w:szCs w:val="24"/>
          <w:lang w:val="en-GB"/>
        </w:rPr>
        <w:t>available at the study centre in sealed envelopes, stored in a locked and secure area accessible only to those individuals authorized by the investigator. This procedure allows unblinding of individual subjects, without revealing codes of the entire study. The investigator will be able to determine which procedure a patient was given by opening the sealed envelope with the corresponding randomization number. The investigator must state the reason why the code was broken on the envelope, date and sign it. At the end of the study, all sealed and unsealed envelopes must be accounted for.</w:t>
      </w:r>
    </w:p>
    <w:p w14:paraId="759A73B3" w14:textId="77777777" w:rsidR="009F0B30" w:rsidRDefault="009F0B30" w:rsidP="00993FD8">
      <w:pPr>
        <w:spacing w:line="480" w:lineRule="auto"/>
        <w:contextualSpacing/>
        <w:jc w:val="both"/>
        <w:rPr>
          <w:rFonts w:ascii="Times New Roman" w:hAnsi="Times New Roman" w:cs="Times New Roman"/>
          <w:b/>
          <w:bCs/>
          <w:color w:val="000000" w:themeColor="text1"/>
          <w:sz w:val="24"/>
          <w:szCs w:val="24"/>
          <w:lang w:val="en-GB"/>
        </w:rPr>
      </w:pPr>
      <w:bookmarkStart w:id="7" w:name="_Toc372282158"/>
    </w:p>
    <w:p w14:paraId="54157865" w14:textId="4FBC4E6F" w:rsidR="00EB2760" w:rsidRPr="002013B9" w:rsidRDefault="00BA3F32" w:rsidP="00993FD8">
      <w:pPr>
        <w:spacing w:line="480" w:lineRule="auto"/>
        <w:contextualSpacing/>
        <w:jc w:val="both"/>
        <w:rPr>
          <w:rFonts w:ascii="Times New Roman" w:hAnsi="Times New Roman" w:cs="Times New Roman"/>
          <w:b/>
          <w:bCs/>
          <w:color w:val="000000" w:themeColor="text1"/>
          <w:sz w:val="24"/>
          <w:szCs w:val="24"/>
          <w:lang w:val="en-GB"/>
        </w:rPr>
      </w:pPr>
      <w:r w:rsidRPr="002013B9">
        <w:rPr>
          <w:rFonts w:ascii="Times New Roman" w:hAnsi="Times New Roman" w:cs="Times New Roman"/>
          <w:b/>
          <w:bCs/>
          <w:color w:val="000000" w:themeColor="text1"/>
          <w:sz w:val="24"/>
          <w:szCs w:val="24"/>
          <w:lang w:val="en-GB"/>
        </w:rPr>
        <w:t>Outcome measures</w:t>
      </w:r>
      <w:r w:rsidR="00D34442" w:rsidRPr="002013B9">
        <w:rPr>
          <w:rFonts w:ascii="Times New Roman" w:hAnsi="Times New Roman" w:cs="Times New Roman"/>
          <w:b/>
          <w:bCs/>
          <w:color w:val="000000" w:themeColor="text1"/>
          <w:sz w:val="24"/>
          <w:szCs w:val="24"/>
          <w:lang w:val="en-GB"/>
        </w:rPr>
        <w:t xml:space="preserve"> </w:t>
      </w:r>
    </w:p>
    <w:p w14:paraId="7EBCEC88" w14:textId="2EC76581" w:rsidR="00993FD8" w:rsidRPr="002013B9" w:rsidRDefault="00993FD8" w:rsidP="00993FD8">
      <w:pPr>
        <w:spacing w:line="480" w:lineRule="auto"/>
        <w:contextualSpacing/>
        <w:jc w:val="both"/>
        <w:rPr>
          <w:rFonts w:ascii="Times New Roman" w:hAnsi="Times New Roman" w:cs="Times New Roman"/>
          <w:color w:val="000000" w:themeColor="text1"/>
          <w:sz w:val="24"/>
          <w:szCs w:val="24"/>
          <w:lang w:val="en-GB"/>
        </w:rPr>
      </w:pPr>
      <w:r w:rsidRPr="002013B9">
        <w:rPr>
          <w:rFonts w:ascii="Times New Roman" w:hAnsi="Times New Roman" w:cs="Times New Roman"/>
          <w:color w:val="000000" w:themeColor="text1"/>
          <w:sz w:val="24"/>
          <w:szCs w:val="24"/>
          <w:lang w:val="en-GB"/>
        </w:rPr>
        <w:t>At baseline the following assessment parameters will be registered (figure 1): age and gender, aetiology and duration of CP, past history of acute pancreatitis, current alcohol and smoking status, the presence of</w:t>
      </w:r>
      <w:r w:rsidR="0009284F">
        <w:rPr>
          <w:rFonts w:ascii="Times New Roman" w:hAnsi="Times New Roman" w:cs="Times New Roman"/>
          <w:color w:val="000000" w:themeColor="text1"/>
          <w:sz w:val="24"/>
          <w:szCs w:val="24"/>
          <w:lang w:val="en-GB"/>
        </w:rPr>
        <w:t xml:space="preserve"> CP</w:t>
      </w:r>
      <w:r w:rsidRPr="002013B9">
        <w:rPr>
          <w:rFonts w:ascii="Times New Roman" w:hAnsi="Times New Roman" w:cs="Times New Roman"/>
          <w:color w:val="000000" w:themeColor="text1"/>
          <w:sz w:val="24"/>
          <w:szCs w:val="24"/>
          <w:lang w:val="en-GB"/>
        </w:rPr>
        <w:t xml:space="preserve"> complications including exocrine pancreatic insufficiency and diabetes mellitus, </w:t>
      </w:r>
      <w:r w:rsidR="00D34442" w:rsidRPr="002013B9">
        <w:rPr>
          <w:rFonts w:ascii="Times New Roman" w:hAnsi="Times New Roman" w:cs="Times New Roman"/>
          <w:color w:val="000000" w:themeColor="text1"/>
          <w:sz w:val="24"/>
          <w:szCs w:val="24"/>
          <w:lang w:val="en-GB"/>
        </w:rPr>
        <w:t xml:space="preserve">cross-sectional imaging results, </w:t>
      </w:r>
      <w:r w:rsidRPr="002013B9">
        <w:rPr>
          <w:rFonts w:ascii="Times New Roman" w:hAnsi="Times New Roman" w:cs="Times New Roman"/>
          <w:color w:val="000000" w:themeColor="text1"/>
          <w:sz w:val="24"/>
          <w:szCs w:val="24"/>
          <w:lang w:val="en-GB"/>
        </w:rPr>
        <w:t xml:space="preserve">current medications including analgesics as well as past history of endoscopic and surgical treatment. </w:t>
      </w:r>
      <w:r w:rsidR="00336D65" w:rsidRPr="002013B9">
        <w:rPr>
          <w:rFonts w:ascii="Times New Roman" w:hAnsi="Times New Roman" w:cs="Times New Roman"/>
          <w:color w:val="000000" w:themeColor="text1"/>
          <w:sz w:val="24"/>
          <w:szCs w:val="24"/>
          <w:lang w:val="en-GB"/>
        </w:rPr>
        <w:t xml:space="preserve">Data will be </w:t>
      </w:r>
      <w:r w:rsidR="00A6475C" w:rsidRPr="002013B9">
        <w:rPr>
          <w:rFonts w:ascii="Times New Roman" w:hAnsi="Times New Roman" w:cs="Times New Roman"/>
          <w:color w:val="000000" w:themeColor="text1"/>
          <w:sz w:val="24"/>
          <w:szCs w:val="24"/>
          <w:lang w:val="en-GB"/>
        </w:rPr>
        <w:t>collected</w:t>
      </w:r>
      <w:r w:rsidR="007A19F4" w:rsidRPr="002013B9">
        <w:rPr>
          <w:rFonts w:ascii="Times New Roman" w:hAnsi="Times New Roman" w:cs="Times New Roman"/>
          <w:color w:val="000000" w:themeColor="text1"/>
          <w:sz w:val="24"/>
          <w:szCs w:val="24"/>
          <w:lang w:val="en-GB"/>
        </w:rPr>
        <w:t xml:space="preserve"> using a paper case report form and later entered into an electronic database </w:t>
      </w:r>
      <w:r w:rsidR="00A6475C" w:rsidRPr="002013B9">
        <w:rPr>
          <w:rFonts w:ascii="Times New Roman" w:hAnsi="Times New Roman" w:cs="Times New Roman"/>
          <w:color w:val="000000" w:themeColor="text1"/>
          <w:sz w:val="24"/>
          <w:szCs w:val="24"/>
          <w:lang w:val="en-GB"/>
        </w:rPr>
        <w:t>with double data entry check.</w:t>
      </w:r>
      <w:r w:rsidR="00336D65" w:rsidRPr="002013B9">
        <w:rPr>
          <w:rFonts w:ascii="Times New Roman" w:hAnsi="Times New Roman" w:cs="Times New Roman"/>
          <w:color w:val="000000" w:themeColor="text1"/>
          <w:sz w:val="24"/>
          <w:szCs w:val="24"/>
          <w:lang w:val="en-GB"/>
        </w:rPr>
        <w:t xml:space="preserve"> </w:t>
      </w:r>
    </w:p>
    <w:p w14:paraId="71146562" w14:textId="25C01387" w:rsidR="00966D64" w:rsidRPr="002013B9" w:rsidRDefault="000E1AF8" w:rsidP="00CA1F8F">
      <w:pPr>
        <w:spacing w:line="480" w:lineRule="auto"/>
        <w:ind w:firstLine="567"/>
        <w:contextualSpacing/>
        <w:jc w:val="both"/>
        <w:rPr>
          <w:rFonts w:ascii="Times New Roman" w:hAnsi="Times New Roman" w:cs="Times New Roman"/>
          <w:color w:val="000000" w:themeColor="text1"/>
          <w:sz w:val="24"/>
          <w:szCs w:val="24"/>
          <w:lang w:val="en-GB"/>
        </w:rPr>
      </w:pPr>
      <w:r w:rsidRPr="002013B9">
        <w:rPr>
          <w:rFonts w:ascii="Times New Roman" w:hAnsi="Times New Roman" w:cs="Times New Roman"/>
          <w:color w:val="000000" w:themeColor="text1"/>
          <w:sz w:val="24"/>
          <w:szCs w:val="24"/>
          <w:lang w:val="en-GB"/>
        </w:rPr>
        <w:t>The follow up duration is 6 mo</w:t>
      </w:r>
      <w:r w:rsidR="001F10D1" w:rsidRPr="002013B9">
        <w:rPr>
          <w:rFonts w:ascii="Times New Roman" w:hAnsi="Times New Roman" w:cs="Times New Roman"/>
          <w:color w:val="000000" w:themeColor="text1"/>
          <w:sz w:val="24"/>
          <w:szCs w:val="24"/>
          <w:lang w:val="en-GB"/>
        </w:rPr>
        <w:t>n</w:t>
      </w:r>
      <w:r w:rsidRPr="002013B9">
        <w:rPr>
          <w:rFonts w:ascii="Times New Roman" w:hAnsi="Times New Roman" w:cs="Times New Roman"/>
          <w:color w:val="000000" w:themeColor="text1"/>
          <w:sz w:val="24"/>
          <w:szCs w:val="24"/>
          <w:lang w:val="en-GB"/>
        </w:rPr>
        <w:t>ths from randomization with</w:t>
      </w:r>
      <w:r w:rsidR="00016C1F" w:rsidRPr="002013B9">
        <w:rPr>
          <w:rFonts w:ascii="Times New Roman" w:hAnsi="Times New Roman" w:cs="Times New Roman"/>
          <w:color w:val="000000" w:themeColor="text1"/>
          <w:sz w:val="24"/>
          <w:szCs w:val="24"/>
          <w:lang w:val="en-GB"/>
        </w:rPr>
        <w:t xml:space="preserve"> scheduled visits after 3</w:t>
      </w:r>
      <w:r w:rsidR="00D86801" w:rsidRPr="002013B9">
        <w:rPr>
          <w:rFonts w:ascii="Times New Roman" w:hAnsi="Times New Roman" w:cs="Times New Roman"/>
          <w:color w:val="000000" w:themeColor="text1"/>
          <w:sz w:val="24"/>
          <w:szCs w:val="24"/>
          <w:lang w:val="en-GB"/>
        </w:rPr>
        <w:t xml:space="preserve"> months</w:t>
      </w:r>
      <w:r w:rsidR="000D440E" w:rsidRPr="002013B9">
        <w:rPr>
          <w:rFonts w:ascii="Times New Roman" w:hAnsi="Times New Roman" w:cs="Times New Roman"/>
          <w:color w:val="000000" w:themeColor="text1"/>
          <w:sz w:val="24"/>
          <w:szCs w:val="24"/>
          <w:lang w:val="en-GB"/>
        </w:rPr>
        <w:t xml:space="preserve"> (primary study period)</w:t>
      </w:r>
      <w:r w:rsidR="00016C1F" w:rsidRPr="002013B9">
        <w:rPr>
          <w:rFonts w:ascii="Times New Roman" w:hAnsi="Times New Roman" w:cs="Times New Roman"/>
          <w:color w:val="000000" w:themeColor="text1"/>
          <w:sz w:val="24"/>
          <w:szCs w:val="24"/>
          <w:lang w:val="en-GB"/>
        </w:rPr>
        <w:t xml:space="preserve"> and 6 months</w:t>
      </w:r>
      <w:r w:rsidR="00D86801" w:rsidRPr="002013B9">
        <w:rPr>
          <w:rFonts w:ascii="Times New Roman" w:hAnsi="Times New Roman" w:cs="Times New Roman"/>
          <w:color w:val="000000" w:themeColor="text1"/>
          <w:sz w:val="24"/>
          <w:szCs w:val="24"/>
          <w:lang w:val="en-GB"/>
        </w:rPr>
        <w:t xml:space="preserve"> (follow-up)</w:t>
      </w:r>
      <w:r w:rsidR="00016C1F" w:rsidRPr="002013B9">
        <w:rPr>
          <w:rFonts w:ascii="Times New Roman" w:hAnsi="Times New Roman" w:cs="Times New Roman"/>
          <w:color w:val="000000" w:themeColor="text1"/>
          <w:sz w:val="24"/>
          <w:szCs w:val="24"/>
          <w:lang w:val="en-GB"/>
        </w:rPr>
        <w:t xml:space="preserve">. </w:t>
      </w:r>
      <w:r w:rsidR="00966D64" w:rsidRPr="002013B9">
        <w:rPr>
          <w:rFonts w:ascii="Times New Roman" w:hAnsi="Times New Roman" w:cs="Times New Roman"/>
          <w:color w:val="000000" w:themeColor="text1"/>
          <w:sz w:val="24"/>
          <w:szCs w:val="24"/>
          <w:lang w:val="en-GB"/>
        </w:rPr>
        <w:t>The questionnaires and pain diary used for collection of clinical endpoints are described in the previous sections ´primary and secondary endpoints´.</w:t>
      </w:r>
      <w:r w:rsidRPr="002013B9">
        <w:rPr>
          <w:rFonts w:ascii="Times New Roman" w:hAnsi="Times New Roman" w:cs="Times New Roman"/>
          <w:color w:val="000000" w:themeColor="text1"/>
          <w:sz w:val="24"/>
          <w:szCs w:val="24"/>
          <w:lang w:val="en-GB"/>
        </w:rPr>
        <w:t xml:space="preserve"> </w:t>
      </w:r>
      <w:r w:rsidR="004B1FFD" w:rsidRPr="002013B9">
        <w:rPr>
          <w:rFonts w:ascii="Times New Roman" w:hAnsi="Times New Roman" w:cs="Times New Roman"/>
          <w:color w:val="000000" w:themeColor="text1"/>
          <w:sz w:val="24"/>
          <w:szCs w:val="24"/>
          <w:lang w:val="en-GB"/>
        </w:rPr>
        <w:t xml:space="preserve">In addition, QST profiles will be recorded prior to intervention </w:t>
      </w:r>
      <w:r w:rsidR="00EB2760" w:rsidRPr="002013B9">
        <w:rPr>
          <w:rFonts w:ascii="Times New Roman" w:hAnsi="Times New Roman" w:cs="Times New Roman"/>
          <w:color w:val="000000" w:themeColor="text1"/>
          <w:sz w:val="24"/>
          <w:szCs w:val="24"/>
          <w:lang w:val="en-GB"/>
        </w:rPr>
        <w:t>as well as</w:t>
      </w:r>
      <w:r w:rsidR="004B1FFD" w:rsidRPr="002013B9">
        <w:rPr>
          <w:rFonts w:ascii="Times New Roman" w:hAnsi="Times New Roman" w:cs="Times New Roman"/>
          <w:color w:val="000000" w:themeColor="text1"/>
          <w:sz w:val="24"/>
          <w:szCs w:val="24"/>
          <w:lang w:val="en-GB"/>
        </w:rPr>
        <w:t xml:space="preserve"> </w:t>
      </w:r>
      <w:r w:rsidR="00885ADF" w:rsidRPr="002013B9">
        <w:rPr>
          <w:rFonts w:ascii="Times New Roman" w:hAnsi="Times New Roman" w:cs="Times New Roman"/>
          <w:color w:val="000000" w:themeColor="text1"/>
          <w:sz w:val="24"/>
          <w:szCs w:val="24"/>
          <w:lang w:val="en-GB"/>
        </w:rPr>
        <w:t>24-48 hours</w:t>
      </w:r>
      <w:r w:rsidR="00531666" w:rsidRPr="002013B9">
        <w:rPr>
          <w:rFonts w:ascii="Times New Roman" w:hAnsi="Times New Roman" w:cs="Times New Roman"/>
          <w:color w:val="000000" w:themeColor="text1"/>
          <w:sz w:val="24"/>
          <w:szCs w:val="24"/>
          <w:lang w:val="en-GB"/>
        </w:rPr>
        <w:t xml:space="preserve"> </w:t>
      </w:r>
      <w:r w:rsidR="00885ADF" w:rsidRPr="002013B9">
        <w:rPr>
          <w:rFonts w:ascii="Times New Roman" w:hAnsi="Times New Roman" w:cs="Times New Roman"/>
          <w:color w:val="000000" w:themeColor="text1"/>
          <w:sz w:val="24"/>
          <w:szCs w:val="24"/>
          <w:lang w:val="en-GB"/>
        </w:rPr>
        <w:t>and after 3 months</w:t>
      </w:r>
      <w:r w:rsidR="00EB2760" w:rsidRPr="002013B9">
        <w:rPr>
          <w:rFonts w:ascii="Times New Roman" w:hAnsi="Times New Roman" w:cs="Times New Roman"/>
          <w:color w:val="000000" w:themeColor="text1"/>
          <w:sz w:val="24"/>
          <w:szCs w:val="24"/>
          <w:lang w:val="en-GB"/>
        </w:rPr>
        <w:t xml:space="preserve"> after intervention</w:t>
      </w:r>
      <w:r w:rsidR="00531666" w:rsidRPr="002013B9">
        <w:rPr>
          <w:rFonts w:ascii="Times New Roman" w:hAnsi="Times New Roman" w:cs="Times New Roman"/>
          <w:color w:val="000000" w:themeColor="text1"/>
          <w:sz w:val="24"/>
          <w:szCs w:val="24"/>
          <w:lang w:val="en-GB"/>
        </w:rPr>
        <w:t xml:space="preserve">. </w:t>
      </w:r>
      <w:r w:rsidR="00D86801" w:rsidRPr="002013B9">
        <w:rPr>
          <w:rFonts w:ascii="Times New Roman" w:hAnsi="Times New Roman" w:cs="Times New Roman"/>
          <w:color w:val="000000" w:themeColor="text1"/>
          <w:sz w:val="24"/>
          <w:szCs w:val="24"/>
          <w:lang w:val="en-GB"/>
        </w:rPr>
        <w:t>A schedule for the study</w:t>
      </w:r>
      <w:r w:rsidR="001D1156" w:rsidRPr="002013B9">
        <w:rPr>
          <w:rFonts w:ascii="Times New Roman" w:hAnsi="Times New Roman" w:cs="Times New Roman"/>
          <w:color w:val="000000" w:themeColor="text1"/>
          <w:sz w:val="24"/>
          <w:szCs w:val="24"/>
          <w:lang w:val="en-GB"/>
        </w:rPr>
        <w:t xml:space="preserve"> assessment parameters</w:t>
      </w:r>
      <w:r w:rsidR="00D86801" w:rsidRPr="002013B9">
        <w:rPr>
          <w:rFonts w:ascii="Times New Roman" w:hAnsi="Times New Roman" w:cs="Times New Roman"/>
          <w:color w:val="000000" w:themeColor="text1"/>
          <w:sz w:val="24"/>
          <w:szCs w:val="24"/>
          <w:lang w:val="en-GB"/>
        </w:rPr>
        <w:t xml:space="preserve"> is</w:t>
      </w:r>
      <w:r w:rsidR="001D1156" w:rsidRPr="002013B9">
        <w:rPr>
          <w:rFonts w:ascii="Times New Roman" w:hAnsi="Times New Roman" w:cs="Times New Roman"/>
          <w:color w:val="000000" w:themeColor="text1"/>
          <w:sz w:val="24"/>
          <w:szCs w:val="24"/>
          <w:lang w:val="en-GB"/>
        </w:rPr>
        <w:t xml:space="preserve"> provided in figure 1.</w:t>
      </w:r>
    </w:p>
    <w:p w14:paraId="05008642" w14:textId="541A076D" w:rsidR="004E4050" w:rsidRDefault="004E4050" w:rsidP="00164C1D">
      <w:pPr>
        <w:spacing w:line="480" w:lineRule="auto"/>
        <w:contextualSpacing/>
        <w:jc w:val="both"/>
        <w:rPr>
          <w:rFonts w:ascii="Times New Roman" w:hAnsi="Times New Roman" w:cs="Times New Roman"/>
          <w:color w:val="000000" w:themeColor="text1"/>
          <w:sz w:val="24"/>
          <w:szCs w:val="24"/>
          <w:lang w:val="en-GB"/>
        </w:rPr>
      </w:pPr>
    </w:p>
    <w:p w14:paraId="059BCD53" w14:textId="77777777" w:rsidR="00A07C9D" w:rsidRPr="002013B9" w:rsidRDefault="00A07C9D" w:rsidP="00164C1D">
      <w:pPr>
        <w:spacing w:line="480" w:lineRule="auto"/>
        <w:contextualSpacing/>
        <w:jc w:val="both"/>
        <w:rPr>
          <w:rFonts w:ascii="Times New Roman" w:hAnsi="Times New Roman" w:cs="Times New Roman"/>
          <w:color w:val="000000" w:themeColor="text1"/>
          <w:sz w:val="24"/>
          <w:szCs w:val="24"/>
          <w:lang w:val="en-GB"/>
        </w:rPr>
      </w:pPr>
    </w:p>
    <w:p w14:paraId="40E1A1C3" w14:textId="5B8BBD22" w:rsidR="00D810D4" w:rsidRPr="002013B9" w:rsidRDefault="00D810D4" w:rsidP="00164C1D">
      <w:pPr>
        <w:spacing w:line="480" w:lineRule="auto"/>
        <w:contextualSpacing/>
        <w:jc w:val="both"/>
        <w:rPr>
          <w:rFonts w:ascii="Times New Roman" w:hAnsi="Times New Roman" w:cs="Times New Roman"/>
          <w:b/>
          <w:color w:val="000000" w:themeColor="text1"/>
          <w:sz w:val="24"/>
          <w:szCs w:val="24"/>
          <w:lang w:val="en-GB"/>
        </w:rPr>
      </w:pPr>
      <w:r w:rsidRPr="002013B9">
        <w:rPr>
          <w:rFonts w:ascii="Times New Roman" w:hAnsi="Times New Roman" w:cs="Times New Roman"/>
          <w:b/>
          <w:color w:val="000000" w:themeColor="text1"/>
          <w:sz w:val="24"/>
          <w:szCs w:val="24"/>
          <w:lang w:val="en-GB"/>
        </w:rPr>
        <w:lastRenderedPageBreak/>
        <w:t>Quantitative sensory testing</w:t>
      </w:r>
    </w:p>
    <w:p w14:paraId="711B6D77" w14:textId="77777777" w:rsidR="00D34442" w:rsidRPr="002013B9" w:rsidRDefault="00D810D4" w:rsidP="00D34442">
      <w:pPr>
        <w:widowControl w:val="0"/>
        <w:autoSpaceDE w:val="0"/>
        <w:autoSpaceDN w:val="0"/>
        <w:adjustRightInd w:val="0"/>
        <w:spacing w:line="480" w:lineRule="auto"/>
        <w:contextualSpacing/>
        <w:jc w:val="both"/>
        <w:rPr>
          <w:rFonts w:ascii="Times New Roman" w:hAnsi="Times New Roman" w:cs="Times New Roman"/>
          <w:color w:val="000000" w:themeColor="text1"/>
          <w:sz w:val="24"/>
          <w:szCs w:val="24"/>
          <w:lang w:val="en-GB"/>
        </w:rPr>
      </w:pPr>
      <w:r w:rsidRPr="002013B9">
        <w:rPr>
          <w:rFonts w:ascii="Times New Roman" w:hAnsi="Times New Roman" w:cs="Times New Roman"/>
          <w:i/>
          <w:color w:val="000000" w:themeColor="text1"/>
          <w:sz w:val="24"/>
          <w:szCs w:val="24"/>
          <w:lang w:val="en-GB"/>
        </w:rPr>
        <w:t>Repetitive pinprick stimulation (temporal summation):</w:t>
      </w:r>
      <w:r w:rsidRPr="002013B9">
        <w:rPr>
          <w:rFonts w:ascii="Times New Roman" w:hAnsi="Times New Roman" w:cs="Times New Roman"/>
          <w:color w:val="000000" w:themeColor="text1"/>
          <w:sz w:val="24"/>
          <w:szCs w:val="24"/>
          <w:lang w:val="en-GB"/>
        </w:rPr>
        <w:t xml:space="preserve"> Recording of temporal summation to repetitive pinprick stimulations in the pancreatic and control area (midline volar site of dominant forearm) will be employed using a 256 nm Von Frey Hair (Pin-Prick Stimulatoren, MRC Systems GmbH, Heidelberg, Germany). Pain ratings using a 0-10 NRS scale will be obtained after a single application, and after the last application in a series of ten repetitive stimuli with an inter-stimulus interval of 1 second. For accurate timing of the stimuli the procedure is guided by an auditory signal using a metronome. The difference between the last and the first pain rating of the ten stimuli will be recorded as the temporal summation score. </w:t>
      </w:r>
    </w:p>
    <w:p w14:paraId="59BB936E" w14:textId="444372A1" w:rsidR="00D810D4" w:rsidRPr="002013B9" w:rsidRDefault="00D810D4" w:rsidP="00D34442">
      <w:pPr>
        <w:widowControl w:val="0"/>
        <w:autoSpaceDE w:val="0"/>
        <w:autoSpaceDN w:val="0"/>
        <w:adjustRightInd w:val="0"/>
        <w:spacing w:line="480" w:lineRule="auto"/>
        <w:contextualSpacing/>
        <w:jc w:val="both"/>
        <w:rPr>
          <w:rFonts w:ascii="Times New Roman" w:hAnsi="Times New Roman" w:cs="Times New Roman"/>
          <w:color w:val="000000" w:themeColor="text1"/>
          <w:sz w:val="24"/>
          <w:szCs w:val="24"/>
          <w:lang w:val="en-GB"/>
        </w:rPr>
      </w:pPr>
      <w:r w:rsidRPr="002013B9">
        <w:rPr>
          <w:rFonts w:ascii="Times New Roman" w:hAnsi="Times New Roman" w:cs="Times New Roman"/>
          <w:i/>
          <w:color w:val="000000" w:themeColor="text1"/>
          <w:sz w:val="24"/>
          <w:szCs w:val="24"/>
          <w:lang w:val="en-GB"/>
        </w:rPr>
        <w:t>Muscle pressure stimulation:</w:t>
      </w:r>
      <w:r w:rsidRPr="002013B9">
        <w:rPr>
          <w:rFonts w:ascii="Times New Roman" w:hAnsi="Times New Roman" w:cs="Times New Roman"/>
          <w:color w:val="000000" w:themeColor="text1"/>
          <w:sz w:val="24"/>
          <w:szCs w:val="24"/>
          <w:lang w:val="en-GB"/>
        </w:rPr>
        <w:t xml:space="preserve"> The pressure pain detection threshold (PDT) and pain tolerance threshold (PTT) will be determined for the following skin dermatomes: C5 (clavicula), Th10 ventral (upper epigastric area – pancreatic viscerotome), Th10 back (pancreatic viscerotome), L1 (anterior superior iliac crest) and L4 (the quadriceps 15 cm above the patella). All lateralized pressure stimulations </w:t>
      </w:r>
      <w:r w:rsidR="000211B8" w:rsidRPr="002013B9">
        <w:rPr>
          <w:rFonts w:ascii="Times New Roman" w:hAnsi="Times New Roman" w:cs="Times New Roman"/>
          <w:color w:val="000000" w:themeColor="text1"/>
          <w:sz w:val="24"/>
          <w:szCs w:val="24"/>
          <w:lang w:val="en-GB"/>
        </w:rPr>
        <w:t xml:space="preserve">will be </w:t>
      </w:r>
      <w:r w:rsidRPr="002013B9">
        <w:rPr>
          <w:rFonts w:ascii="Times New Roman" w:hAnsi="Times New Roman" w:cs="Times New Roman"/>
          <w:color w:val="000000" w:themeColor="text1"/>
          <w:sz w:val="24"/>
          <w:szCs w:val="24"/>
          <w:lang w:val="en-GB"/>
        </w:rPr>
        <w:t>applied on the patient’s dominant side. An electronic pressure algometer (AlgoMed, Medoc Ltd, Ramat Yishai, Israel) with a probe surface area of 1 cm</w:t>
      </w:r>
      <w:r w:rsidRPr="002013B9">
        <w:rPr>
          <w:rFonts w:ascii="Times New Roman" w:hAnsi="Times New Roman" w:cs="Times New Roman"/>
          <w:color w:val="000000" w:themeColor="text1"/>
          <w:sz w:val="24"/>
          <w:szCs w:val="24"/>
          <w:vertAlign w:val="superscript"/>
          <w:lang w:val="en-GB"/>
        </w:rPr>
        <w:t>2</w:t>
      </w:r>
      <w:r w:rsidR="00C81C38" w:rsidRPr="002013B9">
        <w:rPr>
          <w:rFonts w:ascii="Times New Roman" w:hAnsi="Times New Roman" w:cs="Times New Roman"/>
          <w:color w:val="000000" w:themeColor="text1"/>
          <w:sz w:val="24"/>
          <w:szCs w:val="24"/>
          <w:lang w:val="en-GB"/>
        </w:rPr>
        <w:t xml:space="preserve"> </w:t>
      </w:r>
      <w:r w:rsidR="000211B8" w:rsidRPr="002013B9">
        <w:rPr>
          <w:rFonts w:ascii="Times New Roman" w:hAnsi="Times New Roman" w:cs="Times New Roman"/>
          <w:color w:val="000000" w:themeColor="text1"/>
          <w:sz w:val="24"/>
          <w:szCs w:val="24"/>
          <w:lang w:val="en-GB"/>
        </w:rPr>
        <w:t xml:space="preserve">will be </w:t>
      </w:r>
      <w:r w:rsidRPr="002013B9">
        <w:rPr>
          <w:rFonts w:ascii="Times New Roman" w:hAnsi="Times New Roman" w:cs="Times New Roman"/>
          <w:color w:val="000000" w:themeColor="text1"/>
          <w:sz w:val="24"/>
          <w:szCs w:val="24"/>
          <w:lang w:val="en-GB"/>
        </w:rPr>
        <w:t xml:space="preserve">used for the pressure stimulations. Pressure will be increased in two separate sessions at a rate of 30 kPa per second until the PDT or PTT is reached. The assessment parameter is the pressure at the predefined sensory threshold measured in kPa. </w:t>
      </w:r>
    </w:p>
    <w:p w14:paraId="5A0E162B" w14:textId="60AB8D2F" w:rsidR="00D810D4" w:rsidRPr="002013B9" w:rsidRDefault="00D810D4" w:rsidP="00993FD8">
      <w:pPr>
        <w:spacing w:line="480" w:lineRule="auto"/>
        <w:contextualSpacing/>
        <w:jc w:val="both"/>
        <w:rPr>
          <w:rFonts w:ascii="Times New Roman" w:hAnsi="Times New Roman" w:cs="Times New Roman"/>
          <w:color w:val="000000" w:themeColor="text1"/>
          <w:sz w:val="24"/>
          <w:szCs w:val="24"/>
          <w:lang w:val="en-GB"/>
        </w:rPr>
      </w:pPr>
      <w:bookmarkStart w:id="8" w:name="_Toc372282159"/>
      <w:r w:rsidRPr="002013B9">
        <w:rPr>
          <w:rFonts w:ascii="Times New Roman" w:hAnsi="Times New Roman" w:cs="Times New Roman"/>
          <w:i/>
          <w:color w:val="000000" w:themeColor="text1"/>
          <w:sz w:val="24"/>
          <w:szCs w:val="24"/>
          <w:lang w:val="en-GB"/>
        </w:rPr>
        <w:t>Cold pressor test</w:t>
      </w:r>
      <w:bookmarkEnd w:id="8"/>
      <w:r w:rsidRPr="002013B9">
        <w:rPr>
          <w:rStyle w:val="CommentReference"/>
          <w:rFonts w:ascii="Times New Roman" w:hAnsi="Times New Roman" w:cs="Times New Roman"/>
          <w:color w:val="000000" w:themeColor="text1"/>
          <w:sz w:val="24"/>
          <w:szCs w:val="24"/>
          <w:lang w:val="en-GB"/>
        </w:rPr>
        <w:t>: T</w:t>
      </w:r>
      <w:r w:rsidRPr="002013B9">
        <w:rPr>
          <w:rFonts w:ascii="Times New Roman" w:hAnsi="Times New Roman" w:cs="Times New Roman"/>
          <w:color w:val="000000" w:themeColor="text1"/>
          <w:sz w:val="24"/>
          <w:szCs w:val="24"/>
          <w:lang w:val="en-GB"/>
        </w:rPr>
        <w:t xml:space="preserve">he dominant hand is immersed in an ice-chilled water bucket (2.0°C ± 0.3°C). The patient will be told to remove the hand from the water after 2 minutes of immersion or sooner if the pain is intolerable. The patients rate the pain intensity for every 10 seconds during the cold pressor test using a 0-10 </w:t>
      </w:r>
      <w:r w:rsidR="00D34442" w:rsidRPr="002013B9">
        <w:rPr>
          <w:rFonts w:ascii="Times New Roman" w:hAnsi="Times New Roman" w:cs="Times New Roman"/>
          <w:color w:val="000000" w:themeColor="text1"/>
          <w:sz w:val="24"/>
          <w:szCs w:val="24"/>
          <w:lang w:val="en-GB"/>
        </w:rPr>
        <w:t>VAS</w:t>
      </w:r>
      <w:r w:rsidRPr="002013B9">
        <w:rPr>
          <w:rFonts w:ascii="Times New Roman" w:hAnsi="Times New Roman" w:cs="Times New Roman"/>
          <w:color w:val="000000" w:themeColor="text1"/>
          <w:sz w:val="24"/>
          <w:szCs w:val="24"/>
          <w:lang w:val="en-GB"/>
        </w:rPr>
        <w:t xml:space="preserve"> rating scale. If the patient withdraws their hand sooner than two minutes, due to intolerable pain, the VAS will be considered to be 10 for the remaining period of time and the time for withdrawal of the hand will be noted. </w:t>
      </w:r>
    </w:p>
    <w:p w14:paraId="54679BD7" w14:textId="6CFF2849" w:rsidR="00D810D4" w:rsidRPr="002013B9" w:rsidRDefault="00D810D4" w:rsidP="00164C1D">
      <w:pPr>
        <w:widowControl w:val="0"/>
        <w:autoSpaceDE w:val="0"/>
        <w:autoSpaceDN w:val="0"/>
        <w:adjustRightInd w:val="0"/>
        <w:spacing w:line="480" w:lineRule="auto"/>
        <w:contextualSpacing/>
        <w:jc w:val="both"/>
        <w:rPr>
          <w:rFonts w:ascii="Times New Roman" w:hAnsi="Times New Roman" w:cs="Times New Roman"/>
          <w:color w:val="000000" w:themeColor="text1"/>
          <w:sz w:val="24"/>
          <w:szCs w:val="24"/>
          <w:lang w:val="en-GB"/>
        </w:rPr>
      </w:pPr>
      <w:bookmarkStart w:id="9" w:name="_Toc345938763"/>
      <w:r w:rsidRPr="002013B9">
        <w:rPr>
          <w:rFonts w:ascii="Times New Roman" w:hAnsi="Times New Roman" w:cs="Times New Roman"/>
          <w:i/>
          <w:color w:val="000000" w:themeColor="text1"/>
          <w:sz w:val="24"/>
          <w:szCs w:val="24"/>
          <w:lang w:val="en-GB"/>
        </w:rPr>
        <w:lastRenderedPageBreak/>
        <w:t>Conditioned pain modulation (CPM):</w:t>
      </w:r>
      <w:r w:rsidRPr="002013B9">
        <w:rPr>
          <w:rFonts w:ascii="Times New Roman" w:hAnsi="Times New Roman" w:cs="Times New Roman"/>
          <w:color w:val="000000" w:themeColor="text1"/>
          <w:sz w:val="24"/>
          <w:szCs w:val="24"/>
          <w:lang w:val="en-GB"/>
        </w:rPr>
        <w:t xml:space="preserve"> CPM is a clinically measurable form of descending pain modulation that can be induced experimentally by a conditioning stimulus (the cold pressor test) and quantified by applying a “test-pain” (pressure stimulation on the non-dominant quadriceps musculature 4 cm above the patella) before and after the conditioning stimulus</w:t>
      </w:r>
      <w:r w:rsidR="00D34442" w:rsidRPr="002013B9">
        <w:rPr>
          <w:rFonts w:ascii="Times New Roman" w:hAnsi="Times New Roman" w:cs="Times New Roman"/>
          <w:color w:val="000000" w:themeColor="text1"/>
          <w:sz w:val="24"/>
          <w:szCs w:val="24"/>
          <w:lang w:val="en-GB"/>
        </w:rPr>
        <w:t xml:space="preserve"> </w:t>
      </w:r>
      <w:r w:rsidRPr="002013B9">
        <w:rPr>
          <w:rFonts w:ascii="Times New Roman" w:hAnsi="Times New Roman" w:cs="Times New Roman"/>
          <w:color w:val="000000" w:themeColor="text1"/>
          <w:sz w:val="24"/>
          <w:szCs w:val="24"/>
          <w:lang w:val="en-GB"/>
        </w:rPr>
        <w:fldChar w:fldCharType="begin" w:fldLock="1"/>
      </w:r>
      <w:r w:rsidR="004D0981">
        <w:rPr>
          <w:rFonts w:ascii="Times New Roman" w:hAnsi="Times New Roman" w:cs="Times New Roman"/>
          <w:color w:val="000000" w:themeColor="text1"/>
          <w:sz w:val="24"/>
          <w:szCs w:val="24"/>
          <w:lang w:val="en-GB"/>
        </w:rPr>
        <w:instrText>ADDIN CSL_CITATION {"citationItems":[{"id":"ITEM-1","itemData":{"ISBN":"1872-6623; 0304-3959","author":[{"dropping-particle":"","family":"Pud","given":"D","non-dropping-particle":"","parse-names":false,"suffix":""},{"dropping-particle":"","family":"Granovsky","given":"Y","non-dropping-particle":"","parse-names":false,"suffix":""},{"dropping-particle":"","family":"Yarnitsky","given":"D","non-dropping-particle":"","parse-names":false,"suffix":""}],"container-title":"Pain","id":"ITEM-1","issue":"1-2","issued":{"date-parts":[["2009","7"]]},"note":"JID: 7508686; 0 (Analgesics); RF: 40; 2009/01/07 [received]; 2009/02/15 [revised]; 2009/02/19 [accepted]; 2009/04/08 [aheadofprint]; ppublish","page":"16-19","title":"The methodology of experimentally induced diffuse noxious inhibitory control (DNIC)-like effect in humans","type":"article-journal","volume":"144"},"uris":["http://www.mendeley.com/documents/?uuid=af38a870-65c9-4606-b91d-7cb24dbc1cdd"]}],"mendeley":{"formattedCitation":"[36]","plainTextFormattedCitation":"[36]","previouslyFormattedCitation":"[35]"},"properties":{"noteIndex":0},"schema":"https://github.com/citation-style-language/schema/raw/master/csl-citation.json"}</w:instrText>
      </w:r>
      <w:r w:rsidRPr="002013B9">
        <w:rPr>
          <w:rFonts w:ascii="Times New Roman" w:hAnsi="Times New Roman" w:cs="Times New Roman"/>
          <w:color w:val="000000" w:themeColor="text1"/>
          <w:sz w:val="24"/>
          <w:szCs w:val="24"/>
          <w:lang w:val="en-GB"/>
        </w:rPr>
        <w:fldChar w:fldCharType="separate"/>
      </w:r>
      <w:r w:rsidR="004D0981" w:rsidRPr="004D0981">
        <w:rPr>
          <w:rFonts w:ascii="Times New Roman" w:hAnsi="Times New Roman" w:cs="Times New Roman"/>
          <w:noProof/>
          <w:color w:val="000000" w:themeColor="text1"/>
          <w:sz w:val="24"/>
          <w:szCs w:val="24"/>
          <w:lang w:val="en-GB"/>
        </w:rPr>
        <w:t>[36]</w:t>
      </w:r>
      <w:r w:rsidRPr="002013B9">
        <w:rPr>
          <w:rFonts w:ascii="Times New Roman" w:hAnsi="Times New Roman" w:cs="Times New Roman"/>
          <w:color w:val="000000" w:themeColor="text1"/>
          <w:sz w:val="24"/>
          <w:szCs w:val="24"/>
          <w:lang w:val="en-GB"/>
        </w:rPr>
        <w:fldChar w:fldCharType="end"/>
      </w:r>
      <w:r w:rsidRPr="002013B9">
        <w:rPr>
          <w:rFonts w:ascii="Times New Roman" w:hAnsi="Times New Roman" w:cs="Times New Roman"/>
          <w:color w:val="000000" w:themeColor="text1"/>
          <w:sz w:val="24"/>
          <w:szCs w:val="24"/>
          <w:lang w:val="en-GB"/>
        </w:rPr>
        <w:t>. The difference in pressure stimulus intensity (PTT) before and after the cold pressor test provides a quantitative index of the CPM capacity in the individual patient. The techniques used for pressure stimulation and cold pressor test described above will be combined to measure CPM.</w:t>
      </w:r>
    </w:p>
    <w:bookmarkEnd w:id="9"/>
    <w:p w14:paraId="25D25E53" w14:textId="77777777" w:rsidR="00D810D4" w:rsidRPr="002013B9" w:rsidRDefault="00D810D4" w:rsidP="00164C1D">
      <w:pPr>
        <w:spacing w:line="480" w:lineRule="auto"/>
        <w:contextualSpacing/>
        <w:jc w:val="both"/>
        <w:rPr>
          <w:rFonts w:ascii="Times New Roman" w:hAnsi="Times New Roman" w:cs="Times New Roman"/>
          <w:color w:val="000000" w:themeColor="text1"/>
          <w:sz w:val="24"/>
          <w:szCs w:val="24"/>
          <w:lang w:val="en-GB"/>
        </w:rPr>
      </w:pPr>
    </w:p>
    <w:p w14:paraId="12795A1E" w14:textId="77777777" w:rsidR="00D810D4" w:rsidRPr="002013B9" w:rsidRDefault="00D810D4" w:rsidP="00164C1D">
      <w:pPr>
        <w:pStyle w:val="Heading2"/>
        <w:spacing w:before="0" w:line="480" w:lineRule="auto"/>
        <w:contextualSpacing/>
        <w:jc w:val="both"/>
        <w:rPr>
          <w:rFonts w:cs="Times New Roman"/>
          <w:color w:val="000000" w:themeColor="text1"/>
          <w:sz w:val="24"/>
          <w:szCs w:val="24"/>
          <w:lang w:val="en-GB"/>
        </w:rPr>
      </w:pPr>
      <w:bookmarkStart w:id="10" w:name="_Toc372282169"/>
      <w:r w:rsidRPr="002013B9">
        <w:rPr>
          <w:rFonts w:cs="Times New Roman"/>
          <w:color w:val="000000" w:themeColor="text1"/>
          <w:sz w:val="24"/>
          <w:szCs w:val="24"/>
          <w:lang w:val="en-GB"/>
        </w:rPr>
        <w:t>Pancrea</w:t>
      </w:r>
      <w:bookmarkEnd w:id="10"/>
      <w:r w:rsidRPr="002013B9">
        <w:rPr>
          <w:rFonts w:cs="Times New Roman"/>
          <w:color w:val="000000" w:themeColor="text1"/>
          <w:sz w:val="24"/>
          <w:szCs w:val="24"/>
          <w:lang w:val="en-GB"/>
        </w:rPr>
        <w:t>tic imaging</w:t>
      </w:r>
    </w:p>
    <w:p w14:paraId="5482DAB5" w14:textId="205D31F5" w:rsidR="00D810D4" w:rsidRPr="002013B9" w:rsidRDefault="00316F6D" w:rsidP="00164C1D">
      <w:pPr>
        <w:autoSpaceDE w:val="0"/>
        <w:autoSpaceDN w:val="0"/>
        <w:adjustRightInd w:val="0"/>
        <w:spacing w:line="480" w:lineRule="auto"/>
        <w:contextualSpacing/>
        <w:jc w:val="both"/>
        <w:rPr>
          <w:rFonts w:ascii="Times New Roman" w:hAnsi="Times New Roman" w:cs="Times New Roman"/>
          <w:color w:val="000000" w:themeColor="text1"/>
          <w:sz w:val="24"/>
          <w:szCs w:val="24"/>
          <w:lang w:val="en-GB"/>
        </w:rPr>
      </w:pPr>
      <w:r w:rsidRPr="002013B9">
        <w:rPr>
          <w:rFonts w:ascii="Times New Roman" w:hAnsi="Times New Roman" w:cs="Times New Roman"/>
          <w:color w:val="000000" w:themeColor="text1"/>
          <w:sz w:val="24"/>
          <w:szCs w:val="24"/>
          <w:lang w:val="en-GB"/>
        </w:rPr>
        <w:t xml:space="preserve">Cross-sectional imaging (CT and </w:t>
      </w:r>
      <w:r w:rsidR="00D810D4" w:rsidRPr="002013B9">
        <w:rPr>
          <w:rFonts w:ascii="Times New Roman" w:hAnsi="Times New Roman" w:cs="Times New Roman"/>
          <w:color w:val="000000" w:themeColor="text1"/>
          <w:sz w:val="24"/>
          <w:szCs w:val="24"/>
          <w:lang w:val="en-GB"/>
        </w:rPr>
        <w:t>MRCP</w:t>
      </w:r>
      <w:r w:rsidRPr="002013B9">
        <w:rPr>
          <w:rFonts w:ascii="Times New Roman" w:hAnsi="Times New Roman" w:cs="Times New Roman"/>
          <w:color w:val="000000" w:themeColor="text1"/>
          <w:sz w:val="24"/>
          <w:szCs w:val="24"/>
          <w:lang w:val="en-GB"/>
        </w:rPr>
        <w:t>)</w:t>
      </w:r>
      <w:r w:rsidR="00D810D4" w:rsidRPr="002013B9">
        <w:rPr>
          <w:rFonts w:ascii="Times New Roman" w:hAnsi="Times New Roman" w:cs="Times New Roman"/>
          <w:color w:val="000000" w:themeColor="text1"/>
          <w:sz w:val="24"/>
          <w:szCs w:val="24"/>
          <w:lang w:val="en-GB"/>
        </w:rPr>
        <w:t xml:space="preserve"> will be used to evaluate the pancreatic morphology prior to study </w:t>
      </w:r>
      <w:r w:rsidRPr="002013B9">
        <w:rPr>
          <w:rFonts w:ascii="Times New Roman" w:hAnsi="Times New Roman" w:cs="Times New Roman"/>
          <w:color w:val="000000" w:themeColor="text1"/>
          <w:sz w:val="24"/>
          <w:szCs w:val="24"/>
          <w:lang w:val="en-GB"/>
        </w:rPr>
        <w:t>enrolment</w:t>
      </w:r>
      <w:r w:rsidR="00D810D4" w:rsidRPr="002013B9">
        <w:rPr>
          <w:rFonts w:ascii="Times New Roman" w:hAnsi="Times New Roman" w:cs="Times New Roman"/>
          <w:color w:val="000000" w:themeColor="text1"/>
          <w:sz w:val="24"/>
          <w:szCs w:val="24"/>
          <w:lang w:val="en-GB"/>
        </w:rPr>
        <w:t xml:space="preserve"> based on usual clinical practice. </w:t>
      </w:r>
      <w:r w:rsidR="00D810D4" w:rsidRPr="00456FE0">
        <w:rPr>
          <w:rFonts w:ascii="Times New Roman" w:hAnsi="Times New Roman" w:cs="Times New Roman"/>
          <w:color w:val="000000" w:themeColor="text1"/>
          <w:sz w:val="24"/>
          <w:szCs w:val="24"/>
          <w:lang w:val="en-GB"/>
        </w:rPr>
        <w:t>All patients enrolled in the study will have their imaging parameters reviewed and described by an expert radiologist</w:t>
      </w:r>
      <w:r w:rsidR="00D106E1" w:rsidRPr="00456FE0">
        <w:rPr>
          <w:rFonts w:ascii="Times New Roman" w:hAnsi="Times New Roman" w:cs="Times New Roman"/>
          <w:color w:val="000000" w:themeColor="text1"/>
          <w:sz w:val="24"/>
          <w:szCs w:val="24"/>
          <w:lang w:val="en-GB"/>
        </w:rPr>
        <w:t xml:space="preserve"> </w:t>
      </w:r>
      <w:r w:rsidR="00B5236A" w:rsidRPr="00456FE0">
        <w:rPr>
          <w:rFonts w:ascii="Times New Roman" w:eastAsia="Times New Roman" w:hAnsi="Times New Roman" w:cs="Times New Roman"/>
          <w:color w:val="FF0000"/>
          <w:sz w:val="24"/>
          <w:szCs w:val="24"/>
          <w:lang w:eastAsia="da-DK"/>
        </w:rPr>
        <w:t>(Dr. Ashirwad)</w:t>
      </w:r>
      <w:r w:rsidR="00D810D4" w:rsidRPr="00456FE0">
        <w:rPr>
          <w:rFonts w:ascii="Times New Roman" w:hAnsi="Times New Roman" w:cs="Times New Roman"/>
          <w:color w:val="000000" w:themeColor="text1"/>
          <w:sz w:val="24"/>
          <w:szCs w:val="24"/>
          <w:lang w:val="en-GB"/>
        </w:rPr>
        <w:t>.</w:t>
      </w:r>
    </w:p>
    <w:p w14:paraId="36825E1B" w14:textId="77777777" w:rsidR="00966D64" w:rsidRPr="002013B9" w:rsidRDefault="00966D64" w:rsidP="00164C1D">
      <w:pPr>
        <w:spacing w:line="480" w:lineRule="auto"/>
        <w:contextualSpacing/>
        <w:jc w:val="both"/>
        <w:rPr>
          <w:rFonts w:ascii="Times New Roman" w:hAnsi="Times New Roman" w:cs="Times New Roman"/>
          <w:b/>
          <w:color w:val="000000" w:themeColor="text1"/>
          <w:sz w:val="24"/>
          <w:szCs w:val="24"/>
          <w:lang w:val="en-GB"/>
        </w:rPr>
      </w:pPr>
    </w:p>
    <w:bookmarkEnd w:id="7"/>
    <w:p w14:paraId="14A0B9C1" w14:textId="05C16030" w:rsidR="006B176C" w:rsidRPr="002013B9" w:rsidRDefault="00C62AE0" w:rsidP="00164C1D">
      <w:pPr>
        <w:pStyle w:val="Heading1"/>
        <w:spacing w:before="0" w:line="480" w:lineRule="auto"/>
        <w:contextualSpacing/>
        <w:jc w:val="both"/>
        <w:rPr>
          <w:rFonts w:cs="Times New Roman"/>
          <w:color w:val="000000" w:themeColor="text1"/>
          <w:sz w:val="24"/>
          <w:szCs w:val="24"/>
          <w:lang w:val="en-GB"/>
        </w:rPr>
      </w:pPr>
      <w:r w:rsidRPr="002013B9">
        <w:rPr>
          <w:rFonts w:cs="Times New Roman"/>
          <w:color w:val="000000" w:themeColor="text1"/>
          <w:sz w:val="24"/>
          <w:szCs w:val="24"/>
          <w:lang w:val="en-GB"/>
        </w:rPr>
        <w:t>S</w:t>
      </w:r>
      <w:r w:rsidR="006B176C" w:rsidRPr="002013B9">
        <w:rPr>
          <w:rFonts w:cs="Times New Roman"/>
          <w:color w:val="000000" w:themeColor="text1"/>
          <w:sz w:val="24"/>
          <w:szCs w:val="24"/>
          <w:lang w:val="en-GB"/>
        </w:rPr>
        <w:t xml:space="preserve">tatistical </w:t>
      </w:r>
      <w:r w:rsidR="00B76155" w:rsidRPr="002013B9">
        <w:rPr>
          <w:rFonts w:cs="Times New Roman"/>
          <w:color w:val="000000" w:themeColor="text1"/>
          <w:sz w:val="24"/>
          <w:szCs w:val="24"/>
          <w:lang w:val="en-GB"/>
        </w:rPr>
        <w:t>analysis</w:t>
      </w:r>
    </w:p>
    <w:p w14:paraId="7502E4D8" w14:textId="2EE0CB7F" w:rsidR="006B176C" w:rsidRPr="002013B9" w:rsidRDefault="006B176C" w:rsidP="00920F24">
      <w:pPr>
        <w:widowControl w:val="0"/>
        <w:autoSpaceDE w:val="0"/>
        <w:autoSpaceDN w:val="0"/>
        <w:adjustRightInd w:val="0"/>
        <w:spacing w:line="480" w:lineRule="auto"/>
        <w:contextualSpacing/>
        <w:jc w:val="both"/>
        <w:rPr>
          <w:rFonts w:ascii="Times New Roman" w:hAnsi="Times New Roman" w:cs="Times New Roman"/>
          <w:color w:val="000000" w:themeColor="text1"/>
          <w:sz w:val="24"/>
          <w:szCs w:val="24"/>
          <w:lang w:val="en-GB"/>
        </w:rPr>
      </w:pPr>
      <w:r w:rsidRPr="002013B9">
        <w:rPr>
          <w:rFonts w:ascii="Times New Roman" w:hAnsi="Times New Roman" w:cs="Times New Roman"/>
          <w:color w:val="000000" w:themeColor="text1"/>
          <w:sz w:val="24"/>
          <w:szCs w:val="24"/>
          <w:lang w:val="en-GB"/>
        </w:rPr>
        <w:t>The pri</w:t>
      </w:r>
      <w:r w:rsidR="00A71E47" w:rsidRPr="002013B9">
        <w:rPr>
          <w:rFonts w:ascii="Times New Roman" w:hAnsi="Times New Roman" w:cs="Times New Roman"/>
          <w:color w:val="000000" w:themeColor="text1"/>
          <w:sz w:val="24"/>
          <w:szCs w:val="24"/>
          <w:lang w:val="en-GB"/>
        </w:rPr>
        <w:t xml:space="preserve">mary </w:t>
      </w:r>
      <w:r w:rsidRPr="002013B9">
        <w:rPr>
          <w:rFonts w:ascii="Times New Roman" w:hAnsi="Times New Roman" w:cs="Times New Roman"/>
          <w:color w:val="000000" w:themeColor="text1"/>
          <w:sz w:val="24"/>
          <w:szCs w:val="24"/>
          <w:lang w:val="en-GB"/>
        </w:rPr>
        <w:t>analysis of clinical endpoints will be by intention-to-treat, meaning that all randomized patients are included in their initially assigned study arm, regardless of adherence to</w:t>
      </w:r>
      <w:r w:rsidR="00C6384A" w:rsidRPr="002013B9">
        <w:rPr>
          <w:rFonts w:ascii="Times New Roman" w:hAnsi="Times New Roman" w:cs="Times New Roman"/>
          <w:color w:val="000000" w:themeColor="text1"/>
          <w:sz w:val="24"/>
          <w:szCs w:val="24"/>
          <w:lang w:val="en-GB"/>
        </w:rPr>
        <w:t xml:space="preserve"> the</w:t>
      </w:r>
      <w:r w:rsidRPr="002013B9">
        <w:rPr>
          <w:rFonts w:ascii="Times New Roman" w:hAnsi="Times New Roman" w:cs="Times New Roman"/>
          <w:color w:val="000000" w:themeColor="text1"/>
          <w:sz w:val="24"/>
          <w:szCs w:val="24"/>
          <w:lang w:val="en-GB"/>
        </w:rPr>
        <w:t xml:space="preserve"> study protocol. Experimental endpoints will be by per-protocol, meaning that only patients completing the experimental setup </w:t>
      </w:r>
      <w:r w:rsidR="00642AE8" w:rsidRPr="002013B9">
        <w:rPr>
          <w:rFonts w:ascii="Times New Roman" w:hAnsi="Times New Roman" w:cs="Times New Roman"/>
          <w:color w:val="000000" w:themeColor="text1"/>
          <w:sz w:val="24"/>
          <w:szCs w:val="24"/>
          <w:lang w:val="en-GB"/>
        </w:rPr>
        <w:t xml:space="preserve">will be </w:t>
      </w:r>
      <w:r w:rsidRPr="002013B9">
        <w:rPr>
          <w:rFonts w:ascii="Times New Roman" w:hAnsi="Times New Roman" w:cs="Times New Roman"/>
          <w:color w:val="000000" w:themeColor="text1"/>
          <w:sz w:val="24"/>
          <w:szCs w:val="24"/>
          <w:lang w:val="en-GB"/>
        </w:rPr>
        <w:t xml:space="preserve">included. </w:t>
      </w:r>
      <w:r w:rsidR="00920F24" w:rsidRPr="002013B9">
        <w:rPr>
          <w:rFonts w:ascii="Times New Roman" w:hAnsi="Times New Roman" w:cs="Times New Roman"/>
          <w:color w:val="000000" w:themeColor="text1"/>
          <w:sz w:val="24"/>
          <w:szCs w:val="24"/>
          <w:lang w:val="en-GB"/>
        </w:rPr>
        <w:t xml:space="preserve">A repeated measures linear mixed effects model will be used for the primary analysis and will include terms for treatment group, </w:t>
      </w:r>
      <w:r w:rsidR="00C14159" w:rsidRPr="002013B9">
        <w:rPr>
          <w:rFonts w:ascii="Times New Roman" w:hAnsi="Times New Roman" w:cs="Times New Roman"/>
          <w:color w:val="000000" w:themeColor="text1"/>
          <w:sz w:val="24"/>
          <w:szCs w:val="24"/>
          <w:lang w:val="en-GB"/>
        </w:rPr>
        <w:t>assessment time point (week)</w:t>
      </w:r>
      <w:r w:rsidR="00920F24" w:rsidRPr="002013B9">
        <w:rPr>
          <w:rFonts w:ascii="Times New Roman" w:hAnsi="Times New Roman" w:cs="Times New Roman"/>
          <w:color w:val="000000" w:themeColor="text1"/>
          <w:sz w:val="24"/>
          <w:szCs w:val="24"/>
          <w:lang w:val="en-GB"/>
        </w:rPr>
        <w:t xml:space="preserve"> and the interaction of treatment with </w:t>
      </w:r>
      <w:r w:rsidR="00C14159" w:rsidRPr="002013B9">
        <w:rPr>
          <w:rFonts w:ascii="Times New Roman" w:hAnsi="Times New Roman" w:cs="Times New Roman"/>
          <w:color w:val="000000" w:themeColor="text1"/>
          <w:sz w:val="24"/>
          <w:szCs w:val="24"/>
          <w:lang w:val="en-GB"/>
        </w:rPr>
        <w:t>assessment time point</w:t>
      </w:r>
      <w:r w:rsidR="00920F24" w:rsidRPr="002013B9">
        <w:rPr>
          <w:rFonts w:ascii="Times New Roman" w:hAnsi="Times New Roman" w:cs="Times New Roman"/>
          <w:color w:val="000000" w:themeColor="text1"/>
          <w:sz w:val="24"/>
          <w:szCs w:val="24"/>
          <w:lang w:val="en-GB"/>
        </w:rPr>
        <w:t xml:space="preserve">. Summary statistics of </w:t>
      </w:r>
      <w:r w:rsidR="00CE7E98" w:rsidRPr="002013B9">
        <w:rPr>
          <w:rFonts w:ascii="Times New Roman" w:hAnsi="Times New Roman" w:cs="Times New Roman"/>
          <w:color w:val="000000" w:themeColor="text1"/>
          <w:sz w:val="24"/>
          <w:szCs w:val="24"/>
          <w:lang w:val="en-GB"/>
        </w:rPr>
        <w:t>pain scores</w:t>
      </w:r>
      <w:r w:rsidR="00920F24" w:rsidRPr="002013B9">
        <w:rPr>
          <w:rFonts w:ascii="Times New Roman" w:hAnsi="Times New Roman" w:cs="Times New Roman"/>
          <w:color w:val="000000" w:themeColor="text1"/>
          <w:sz w:val="24"/>
          <w:szCs w:val="24"/>
          <w:lang w:val="en-GB"/>
        </w:rPr>
        <w:t xml:space="preserve"> will be provided</w:t>
      </w:r>
      <w:r w:rsidR="004103CB" w:rsidRPr="002013B9">
        <w:rPr>
          <w:rFonts w:ascii="Times New Roman" w:hAnsi="Times New Roman" w:cs="Times New Roman"/>
          <w:color w:val="000000" w:themeColor="text1"/>
          <w:sz w:val="24"/>
          <w:szCs w:val="24"/>
          <w:lang w:val="en-GB"/>
        </w:rPr>
        <w:t xml:space="preserve"> for the individual time points</w:t>
      </w:r>
      <w:r w:rsidR="00874E9C" w:rsidRPr="002013B9">
        <w:rPr>
          <w:rFonts w:ascii="Times New Roman" w:hAnsi="Times New Roman" w:cs="Times New Roman"/>
          <w:color w:val="000000" w:themeColor="text1"/>
          <w:sz w:val="24"/>
          <w:szCs w:val="24"/>
          <w:lang w:val="en-GB"/>
        </w:rPr>
        <w:t>, the</w:t>
      </w:r>
      <w:r w:rsidR="00613498" w:rsidRPr="002013B9">
        <w:rPr>
          <w:rFonts w:ascii="Times New Roman" w:hAnsi="Times New Roman" w:cs="Times New Roman"/>
          <w:color w:val="000000" w:themeColor="text1"/>
          <w:sz w:val="24"/>
          <w:szCs w:val="24"/>
          <w:lang w:val="en-GB"/>
        </w:rPr>
        <w:t xml:space="preserve"> difference in</w:t>
      </w:r>
      <w:r w:rsidR="00874E9C" w:rsidRPr="002013B9">
        <w:rPr>
          <w:rFonts w:ascii="Times New Roman" w:hAnsi="Times New Roman" w:cs="Times New Roman"/>
          <w:color w:val="000000" w:themeColor="text1"/>
          <w:sz w:val="24"/>
          <w:szCs w:val="24"/>
          <w:lang w:val="en-GB"/>
        </w:rPr>
        <w:t xml:space="preserve"> </w:t>
      </w:r>
      <w:r w:rsidR="00647F39" w:rsidRPr="002013B9">
        <w:rPr>
          <w:rFonts w:ascii="Times New Roman" w:hAnsi="Times New Roman" w:cs="Times New Roman"/>
          <w:color w:val="000000" w:themeColor="text1"/>
          <w:sz w:val="24"/>
          <w:szCs w:val="24"/>
          <w:lang w:val="en-GB"/>
        </w:rPr>
        <w:t xml:space="preserve">pain </w:t>
      </w:r>
      <w:r w:rsidR="00874E9C" w:rsidRPr="002013B9">
        <w:rPr>
          <w:rFonts w:ascii="Times New Roman" w:hAnsi="Times New Roman" w:cs="Times New Roman"/>
          <w:color w:val="000000" w:themeColor="text1"/>
          <w:sz w:val="24"/>
          <w:szCs w:val="24"/>
          <w:lang w:val="en-GB"/>
        </w:rPr>
        <w:t xml:space="preserve">scores </w:t>
      </w:r>
      <w:r w:rsidR="00613498" w:rsidRPr="002013B9">
        <w:rPr>
          <w:rFonts w:ascii="Times New Roman" w:hAnsi="Times New Roman" w:cs="Times New Roman"/>
          <w:color w:val="000000" w:themeColor="text1"/>
          <w:sz w:val="24"/>
          <w:szCs w:val="24"/>
          <w:lang w:val="en-GB"/>
        </w:rPr>
        <w:t xml:space="preserve">between groups </w:t>
      </w:r>
      <w:r w:rsidR="00647F39" w:rsidRPr="002013B9">
        <w:rPr>
          <w:rFonts w:ascii="Times New Roman" w:hAnsi="Times New Roman" w:cs="Times New Roman"/>
          <w:color w:val="000000" w:themeColor="text1"/>
          <w:sz w:val="24"/>
          <w:szCs w:val="24"/>
          <w:lang w:val="en-GB"/>
        </w:rPr>
        <w:t>after</w:t>
      </w:r>
      <w:r w:rsidR="00874E9C" w:rsidRPr="002013B9">
        <w:rPr>
          <w:rFonts w:ascii="Times New Roman" w:hAnsi="Times New Roman" w:cs="Times New Roman"/>
          <w:color w:val="000000" w:themeColor="text1"/>
          <w:sz w:val="24"/>
          <w:szCs w:val="24"/>
          <w:lang w:val="en-GB"/>
        </w:rPr>
        <w:t xml:space="preserve"> 3 months </w:t>
      </w:r>
      <w:r w:rsidR="00647F39" w:rsidRPr="002013B9">
        <w:rPr>
          <w:rFonts w:ascii="Times New Roman" w:hAnsi="Times New Roman" w:cs="Times New Roman"/>
          <w:color w:val="000000" w:themeColor="text1"/>
          <w:sz w:val="24"/>
          <w:szCs w:val="24"/>
          <w:lang w:val="en-GB"/>
        </w:rPr>
        <w:t>is</w:t>
      </w:r>
      <w:r w:rsidR="00874E9C" w:rsidRPr="002013B9">
        <w:rPr>
          <w:rFonts w:ascii="Times New Roman" w:hAnsi="Times New Roman" w:cs="Times New Roman"/>
          <w:color w:val="000000" w:themeColor="text1"/>
          <w:sz w:val="24"/>
          <w:szCs w:val="24"/>
          <w:lang w:val="en-GB"/>
        </w:rPr>
        <w:t xml:space="preserve"> considered </w:t>
      </w:r>
      <w:r w:rsidR="00647F39" w:rsidRPr="002013B9">
        <w:rPr>
          <w:rFonts w:ascii="Times New Roman" w:hAnsi="Times New Roman" w:cs="Times New Roman"/>
          <w:color w:val="000000" w:themeColor="text1"/>
          <w:sz w:val="24"/>
          <w:szCs w:val="24"/>
          <w:lang w:val="en-GB"/>
        </w:rPr>
        <w:t>the primary efficacy parameter</w:t>
      </w:r>
      <w:r w:rsidR="00920F24" w:rsidRPr="002013B9">
        <w:rPr>
          <w:rFonts w:ascii="Times New Roman" w:hAnsi="Times New Roman" w:cs="Times New Roman"/>
          <w:color w:val="000000" w:themeColor="text1"/>
          <w:sz w:val="24"/>
          <w:szCs w:val="24"/>
          <w:lang w:val="en-GB"/>
        </w:rPr>
        <w:t xml:space="preserve">. </w:t>
      </w:r>
      <w:r w:rsidR="00920F24" w:rsidRPr="00EC56A0">
        <w:rPr>
          <w:rFonts w:ascii="Times New Roman" w:hAnsi="Times New Roman" w:cs="Times New Roman"/>
          <w:color w:val="FF0000"/>
          <w:sz w:val="24"/>
          <w:szCs w:val="24"/>
          <w:lang w:val="en-GB"/>
        </w:rPr>
        <w:t>Subgroup and covariate analyses will be performed if applicable</w:t>
      </w:r>
      <w:r w:rsidR="00A9124F" w:rsidRPr="00EC56A0">
        <w:rPr>
          <w:rFonts w:ascii="Times New Roman" w:hAnsi="Times New Roman" w:cs="Times New Roman"/>
          <w:color w:val="FF0000"/>
          <w:sz w:val="24"/>
          <w:szCs w:val="24"/>
          <w:lang w:val="en-GB"/>
        </w:rPr>
        <w:t xml:space="preserve"> and in case </w:t>
      </w:r>
      <w:r w:rsidR="00EC56A0" w:rsidRPr="00EC56A0">
        <w:rPr>
          <w:rFonts w:ascii="Times New Roman" w:hAnsi="Times New Roman" w:cs="Times New Roman"/>
          <w:color w:val="FF0000"/>
          <w:sz w:val="24"/>
          <w:szCs w:val="24"/>
          <w:lang w:val="en-GB"/>
        </w:rPr>
        <w:t>differences in patient subgroups deemed clinically relevant are evident</w:t>
      </w:r>
      <w:r w:rsidR="00920F24" w:rsidRPr="002013B9">
        <w:rPr>
          <w:rFonts w:ascii="Times New Roman" w:hAnsi="Times New Roman" w:cs="Times New Roman"/>
          <w:color w:val="000000" w:themeColor="text1"/>
          <w:sz w:val="24"/>
          <w:szCs w:val="24"/>
          <w:lang w:val="en-GB"/>
        </w:rPr>
        <w:t xml:space="preserve">. </w:t>
      </w:r>
      <w:r w:rsidR="00890153" w:rsidRPr="002013B9">
        <w:rPr>
          <w:rFonts w:ascii="Times New Roman" w:hAnsi="Times New Roman" w:cs="Times New Roman"/>
          <w:color w:val="000000" w:themeColor="text1"/>
          <w:sz w:val="24"/>
          <w:szCs w:val="24"/>
          <w:lang w:val="en-GB"/>
        </w:rPr>
        <w:t>S</w:t>
      </w:r>
      <w:r w:rsidRPr="002013B9">
        <w:rPr>
          <w:rFonts w:ascii="Times New Roman" w:hAnsi="Times New Roman" w:cs="Times New Roman"/>
          <w:color w:val="000000" w:themeColor="text1"/>
          <w:sz w:val="24"/>
          <w:szCs w:val="24"/>
          <w:lang w:val="en-GB"/>
        </w:rPr>
        <w:t xml:space="preserve">ubsequent analyses directed at the secondary, experimental, and safety endpoints are </w:t>
      </w:r>
      <w:r w:rsidR="00F826B8" w:rsidRPr="002013B9">
        <w:rPr>
          <w:rFonts w:ascii="Times New Roman" w:hAnsi="Times New Roman" w:cs="Times New Roman"/>
          <w:color w:val="000000" w:themeColor="text1"/>
          <w:sz w:val="24"/>
          <w:szCs w:val="24"/>
          <w:lang w:val="en-GB"/>
        </w:rPr>
        <w:t>analysed</w:t>
      </w:r>
      <w:r w:rsidRPr="002013B9">
        <w:rPr>
          <w:rFonts w:ascii="Times New Roman" w:hAnsi="Times New Roman" w:cs="Times New Roman"/>
          <w:color w:val="000000" w:themeColor="text1"/>
          <w:sz w:val="24"/>
          <w:szCs w:val="24"/>
          <w:lang w:val="en-GB"/>
        </w:rPr>
        <w:t xml:space="preserve"> using </w:t>
      </w:r>
      <w:r w:rsidRPr="002013B9">
        <w:rPr>
          <w:rFonts w:ascii="Times New Roman" w:hAnsi="Times New Roman" w:cs="Times New Roman"/>
          <w:color w:val="000000" w:themeColor="text1"/>
          <w:sz w:val="24"/>
          <w:szCs w:val="24"/>
          <w:lang w:val="en-GB"/>
        </w:rPr>
        <w:lastRenderedPageBreak/>
        <w:t>appropriate statistics</w:t>
      </w:r>
      <w:r w:rsidR="00890153" w:rsidRPr="002013B9">
        <w:rPr>
          <w:rFonts w:ascii="Times New Roman" w:hAnsi="Times New Roman" w:cs="Times New Roman"/>
          <w:color w:val="000000" w:themeColor="text1"/>
          <w:sz w:val="24"/>
          <w:szCs w:val="24"/>
          <w:lang w:val="en-GB"/>
        </w:rPr>
        <w:t xml:space="preserve"> including mixed </w:t>
      </w:r>
      <w:r w:rsidR="009454EC" w:rsidRPr="002013B9">
        <w:rPr>
          <w:rFonts w:ascii="Times New Roman" w:hAnsi="Times New Roman" w:cs="Times New Roman"/>
          <w:color w:val="000000" w:themeColor="text1"/>
          <w:sz w:val="24"/>
          <w:szCs w:val="24"/>
          <w:lang w:val="en-GB"/>
        </w:rPr>
        <w:t xml:space="preserve">effect </w:t>
      </w:r>
      <w:r w:rsidR="00890153" w:rsidRPr="002013B9">
        <w:rPr>
          <w:rFonts w:ascii="Times New Roman" w:hAnsi="Times New Roman" w:cs="Times New Roman"/>
          <w:color w:val="000000" w:themeColor="text1"/>
          <w:sz w:val="24"/>
          <w:szCs w:val="24"/>
          <w:lang w:val="en-GB"/>
        </w:rPr>
        <w:t xml:space="preserve">models, </w:t>
      </w:r>
      <w:r w:rsidR="00D34442" w:rsidRPr="002013B9">
        <w:rPr>
          <w:rFonts w:ascii="Times New Roman" w:hAnsi="Times New Roman" w:cs="Times New Roman"/>
          <w:color w:val="000000" w:themeColor="text1"/>
          <w:sz w:val="24"/>
          <w:szCs w:val="24"/>
          <w:lang w:val="en-GB"/>
        </w:rPr>
        <w:t>Fisher’s</w:t>
      </w:r>
      <w:r w:rsidR="00844B0A" w:rsidRPr="002013B9">
        <w:rPr>
          <w:rFonts w:ascii="Times New Roman" w:hAnsi="Times New Roman" w:cs="Times New Roman"/>
          <w:color w:val="000000" w:themeColor="text1"/>
          <w:sz w:val="24"/>
          <w:szCs w:val="24"/>
          <w:lang w:val="en-GB"/>
        </w:rPr>
        <w:t xml:space="preserve"> exact</w:t>
      </w:r>
      <w:r w:rsidR="00890153" w:rsidRPr="002013B9">
        <w:rPr>
          <w:rFonts w:ascii="Times New Roman" w:hAnsi="Times New Roman" w:cs="Times New Roman"/>
          <w:color w:val="000000" w:themeColor="text1"/>
          <w:sz w:val="24"/>
          <w:szCs w:val="24"/>
          <w:lang w:val="en-GB"/>
        </w:rPr>
        <w:t xml:space="preserve"> tests</w:t>
      </w:r>
      <w:r w:rsidR="007B4745" w:rsidRPr="002013B9">
        <w:rPr>
          <w:rFonts w:ascii="Times New Roman" w:hAnsi="Times New Roman" w:cs="Times New Roman"/>
          <w:color w:val="000000" w:themeColor="text1"/>
          <w:sz w:val="24"/>
          <w:szCs w:val="24"/>
          <w:lang w:val="en-GB"/>
        </w:rPr>
        <w:t>,</w:t>
      </w:r>
      <w:r w:rsidR="00890153" w:rsidRPr="002013B9">
        <w:rPr>
          <w:rFonts w:ascii="Times New Roman" w:hAnsi="Times New Roman" w:cs="Times New Roman"/>
          <w:color w:val="000000" w:themeColor="text1"/>
          <w:sz w:val="24"/>
          <w:szCs w:val="24"/>
          <w:lang w:val="en-GB"/>
        </w:rPr>
        <w:t xml:space="preserve"> and Student`s t-tests</w:t>
      </w:r>
      <w:r w:rsidR="00844B0A" w:rsidRPr="002013B9">
        <w:rPr>
          <w:rFonts w:ascii="Times New Roman" w:hAnsi="Times New Roman" w:cs="Times New Roman"/>
          <w:color w:val="000000" w:themeColor="text1"/>
          <w:sz w:val="24"/>
          <w:szCs w:val="24"/>
          <w:lang w:val="en-GB"/>
        </w:rPr>
        <w:t xml:space="preserve"> or </w:t>
      </w:r>
      <w:r w:rsidR="0041764B" w:rsidRPr="002013B9">
        <w:rPr>
          <w:rFonts w:ascii="Times New Roman" w:hAnsi="Times New Roman" w:cs="Times New Roman"/>
          <w:color w:val="000000" w:themeColor="text1"/>
          <w:sz w:val="24"/>
          <w:szCs w:val="24"/>
          <w:lang w:val="en-GB"/>
        </w:rPr>
        <w:t>Wilcoxon rank-sum tests</w:t>
      </w:r>
      <w:r w:rsidR="000E1C10" w:rsidRPr="002013B9">
        <w:rPr>
          <w:rFonts w:ascii="Times New Roman" w:hAnsi="Times New Roman" w:cs="Times New Roman"/>
          <w:color w:val="000000" w:themeColor="text1"/>
          <w:sz w:val="24"/>
          <w:szCs w:val="24"/>
          <w:lang w:val="en-GB"/>
        </w:rPr>
        <w:t xml:space="preserve"> as </w:t>
      </w:r>
      <w:r w:rsidR="00CA407C" w:rsidRPr="002013B9">
        <w:rPr>
          <w:rFonts w:ascii="Times New Roman" w:hAnsi="Times New Roman" w:cs="Times New Roman"/>
          <w:color w:val="000000" w:themeColor="text1"/>
          <w:sz w:val="24"/>
          <w:szCs w:val="24"/>
          <w:lang w:val="en-GB"/>
        </w:rPr>
        <w:t>appropriate</w:t>
      </w:r>
      <w:r w:rsidRPr="002013B9">
        <w:rPr>
          <w:rFonts w:ascii="Times New Roman" w:hAnsi="Times New Roman" w:cs="Times New Roman"/>
          <w:color w:val="000000" w:themeColor="text1"/>
          <w:sz w:val="24"/>
          <w:szCs w:val="24"/>
          <w:lang w:val="en-GB"/>
        </w:rPr>
        <w:t xml:space="preserve">. </w:t>
      </w:r>
      <w:r w:rsidR="009F54E3" w:rsidRPr="002013B9">
        <w:rPr>
          <w:rFonts w:ascii="Times New Roman" w:hAnsi="Times New Roman" w:cs="Times New Roman"/>
          <w:color w:val="000000" w:themeColor="text1"/>
          <w:sz w:val="24"/>
          <w:szCs w:val="24"/>
          <w:lang w:val="en-GB"/>
        </w:rPr>
        <w:t xml:space="preserve">The predictive value of the QST profiles will be </w:t>
      </w:r>
      <w:r w:rsidR="003E6FA8" w:rsidRPr="002013B9">
        <w:rPr>
          <w:rFonts w:ascii="Times New Roman" w:hAnsi="Times New Roman" w:cs="Times New Roman"/>
          <w:color w:val="000000" w:themeColor="text1"/>
          <w:sz w:val="24"/>
          <w:szCs w:val="24"/>
          <w:lang w:val="en-GB"/>
        </w:rPr>
        <w:t>analysed</w:t>
      </w:r>
      <w:r w:rsidR="009F54E3" w:rsidRPr="002013B9">
        <w:rPr>
          <w:rFonts w:ascii="Times New Roman" w:hAnsi="Times New Roman" w:cs="Times New Roman"/>
          <w:color w:val="000000" w:themeColor="text1"/>
          <w:sz w:val="24"/>
          <w:szCs w:val="24"/>
          <w:lang w:val="en-GB"/>
        </w:rPr>
        <w:t xml:space="preserve"> using logistic regression</w:t>
      </w:r>
      <w:r w:rsidR="00DC132B" w:rsidRPr="002013B9">
        <w:rPr>
          <w:rFonts w:ascii="Times New Roman" w:hAnsi="Times New Roman" w:cs="Times New Roman"/>
          <w:color w:val="000000" w:themeColor="text1"/>
          <w:sz w:val="24"/>
          <w:szCs w:val="24"/>
          <w:lang w:val="en-GB"/>
        </w:rPr>
        <w:t xml:space="preserve"> models</w:t>
      </w:r>
      <w:r w:rsidR="009F54E3" w:rsidRPr="002013B9">
        <w:rPr>
          <w:rFonts w:ascii="Times New Roman" w:hAnsi="Times New Roman" w:cs="Times New Roman"/>
          <w:color w:val="000000" w:themeColor="text1"/>
          <w:sz w:val="24"/>
          <w:szCs w:val="24"/>
          <w:lang w:val="en-GB"/>
        </w:rPr>
        <w:t>.</w:t>
      </w:r>
    </w:p>
    <w:p w14:paraId="601AD6A6" w14:textId="008B2858" w:rsidR="00F826B8" w:rsidRPr="002013B9" w:rsidRDefault="00F826B8" w:rsidP="00164C1D">
      <w:pPr>
        <w:widowControl w:val="0"/>
        <w:autoSpaceDE w:val="0"/>
        <w:autoSpaceDN w:val="0"/>
        <w:adjustRightInd w:val="0"/>
        <w:spacing w:line="480" w:lineRule="auto"/>
        <w:ind w:firstLine="567"/>
        <w:contextualSpacing/>
        <w:jc w:val="both"/>
        <w:rPr>
          <w:rFonts w:ascii="Times New Roman" w:hAnsi="Times New Roman" w:cs="Times New Roman"/>
          <w:color w:val="000000" w:themeColor="text1"/>
          <w:sz w:val="24"/>
          <w:szCs w:val="24"/>
          <w:lang w:val="en-GB"/>
        </w:rPr>
      </w:pPr>
      <w:r w:rsidRPr="002013B9">
        <w:rPr>
          <w:rFonts w:ascii="Times New Roman" w:hAnsi="Times New Roman" w:cs="Times New Roman"/>
          <w:color w:val="000000" w:themeColor="text1"/>
          <w:sz w:val="24"/>
          <w:szCs w:val="24"/>
          <w:lang w:val="en-GB"/>
        </w:rPr>
        <w:t xml:space="preserve">We plan to conduct </w:t>
      </w:r>
      <w:r w:rsidR="00D34442" w:rsidRPr="002013B9">
        <w:rPr>
          <w:rFonts w:ascii="Times New Roman" w:hAnsi="Times New Roman" w:cs="Times New Roman"/>
          <w:color w:val="000000" w:themeColor="text1"/>
          <w:sz w:val="24"/>
          <w:szCs w:val="24"/>
          <w:lang w:val="en-GB"/>
        </w:rPr>
        <w:t>an</w:t>
      </w:r>
      <w:r w:rsidRPr="002013B9">
        <w:rPr>
          <w:rFonts w:ascii="Times New Roman" w:hAnsi="Times New Roman" w:cs="Times New Roman"/>
          <w:color w:val="000000" w:themeColor="text1"/>
          <w:sz w:val="24"/>
          <w:szCs w:val="24"/>
          <w:lang w:val="en-GB"/>
        </w:rPr>
        <w:t xml:space="preserve"> </w:t>
      </w:r>
      <w:r w:rsidR="00D34442" w:rsidRPr="002013B9">
        <w:rPr>
          <w:rFonts w:ascii="Times New Roman" w:hAnsi="Times New Roman" w:cs="Times New Roman"/>
          <w:color w:val="000000" w:themeColor="text1"/>
          <w:sz w:val="24"/>
          <w:szCs w:val="24"/>
          <w:lang w:val="en-GB"/>
        </w:rPr>
        <w:t>interim analysis</w:t>
      </w:r>
      <w:r w:rsidRPr="002013B9">
        <w:rPr>
          <w:rFonts w:ascii="Times New Roman" w:hAnsi="Times New Roman" w:cs="Times New Roman"/>
          <w:color w:val="000000" w:themeColor="text1"/>
          <w:sz w:val="24"/>
          <w:szCs w:val="24"/>
          <w:lang w:val="en-GB"/>
        </w:rPr>
        <w:t xml:space="preserve"> after </w:t>
      </w:r>
      <w:r w:rsidR="00C00532" w:rsidRPr="002013B9">
        <w:rPr>
          <w:rFonts w:ascii="Times New Roman" w:hAnsi="Times New Roman" w:cs="Times New Roman"/>
          <w:color w:val="000000" w:themeColor="text1"/>
          <w:sz w:val="24"/>
          <w:szCs w:val="24"/>
          <w:lang w:val="en-GB"/>
        </w:rPr>
        <w:t xml:space="preserve">approximately </w:t>
      </w:r>
      <w:r w:rsidR="00D34442" w:rsidRPr="002013B9">
        <w:rPr>
          <w:rFonts w:ascii="Times New Roman" w:hAnsi="Times New Roman" w:cs="Times New Roman"/>
          <w:color w:val="000000" w:themeColor="text1"/>
          <w:sz w:val="24"/>
          <w:szCs w:val="24"/>
          <w:lang w:val="en-GB"/>
        </w:rPr>
        <w:t>one third of patients</w:t>
      </w:r>
      <w:r w:rsidRPr="002013B9">
        <w:rPr>
          <w:rFonts w:ascii="Times New Roman" w:hAnsi="Times New Roman" w:cs="Times New Roman"/>
          <w:color w:val="000000" w:themeColor="text1"/>
          <w:sz w:val="24"/>
          <w:szCs w:val="24"/>
          <w:lang w:val="en-GB"/>
        </w:rPr>
        <w:t xml:space="preserve"> </w:t>
      </w:r>
      <w:r w:rsidR="00D34442" w:rsidRPr="002013B9">
        <w:rPr>
          <w:rFonts w:ascii="Times New Roman" w:hAnsi="Times New Roman" w:cs="Times New Roman"/>
          <w:color w:val="000000" w:themeColor="text1"/>
          <w:sz w:val="24"/>
          <w:szCs w:val="24"/>
          <w:lang w:val="en-GB"/>
        </w:rPr>
        <w:t xml:space="preserve">(n=40) </w:t>
      </w:r>
      <w:r w:rsidRPr="002013B9">
        <w:rPr>
          <w:rFonts w:ascii="Times New Roman" w:hAnsi="Times New Roman" w:cs="Times New Roman"/>
          <w:color w:val="000000" w:themeColor="text1"/>
          <w:sz w:val="24"/>
          <w:szCs w:val="24"/>
          <w:lang w:val="en-GB"/>
        </w:rPr>
        <w:t xml:space="preserve">have been randomized and completed 6 months follow-up, using a two-sided significance test with the O’Brien–Fleming spending function and a type </w:t>
      </w:r>
      <w:r w:rsidR="004569C0" w:rsidRPr="002013B9">
        <w:rPr>
          <w:rFonts w:ascii="Times New Roman" w:hAnsi="Times New Roman" w:cs="Times New Roman"/>
          <w:color w:val="000000" w:themeColor="text1"/>
          <w:sz w:val="24"/>
          <w:szCs w:val="24"/>
          <w:lang w:val="en-GB"/>
        </w:rPr>
        <w:t>1</w:t>
      </w:r>
      <w:r w:rsidRPr="002013B9">
        <w:rPr>
          <w:rFonts w:ascii="Times New Roman" w:hAnsi="Times New Roman" w:cs="Times New Roman"/>
          <w:color w:val="000000" w:themeColor="text1"/>
          <w:sz w:val="24"/>
          <w:szCs w:val="24"/>
          <w:lang w:val="en-GB"/>
        </w:rPr>
        <w:t xml:space="preserve"> error rate of 5 percent. An independent statistician, blinded for the treatment allocation, will perform the </w:t>
      </w:r>
      <w:r w:rsidR="001A72FD" w:rsidRPr="002013B9">
        <w:rPr>
          <w:rFonts w:ascii="Times New Roman" w:hAnsi="Times New Roman" w:cs="Times New Roman"/>
          <w:color w:val="000000" w:themeColor="text1"/>
          <w:sz w:val="24"/>
          <w:szCs w:val="24"/>
          <w:lang w:val="en-GB"/>
        </w:rPr>
        <w:t>interim analysis</w:t>
      </w:r>
      <w:r w:rsidRPr="002013B9">
        <w:rPr>
          <w:rFonts w:ascii="Times New Roman" w:hAnsi="Times New Roman" w:cs="Times New Roman"/>
          <w:color w:val="000000" w:themeColor="text1"/>
          <w:sz w:val="24"/>
          <w:szCs w:val="24"/>
          <w:lang w:val="en-GB"/>
        </w:rPr>
        <w:t xml:space="preserve">. The statistician will report to </w:t>
      </w:r>
      <w:r w:rsidR="003E6FA8" w:rsidRPr="002013B9">
        <w:rPr>
          <w:rFonts w:ascii="Times New Roman" w:hAnsi="Times New Roman" w:cs="Times New Roman"/>
          <w:color w:val="000000" w:themeColor="text1"/>
          <w:sz w:val="24"/>
          <w:szCs w:val="24"/>
          <w:lang w:val="en-GB"/>
        </w:rPr>
        <w:t>an</w:t>
      </w:r>
      <w:r w:rsidRPr="002013B9">
        <w:rPr>
          <w:rFonts w:ascii="Times New Roman" w:hAnsi="Times New Roman" w:cs="Times New Roman"/>
          <w:color w:val="000000" w:themeColor="text1"/>
          <w:sz w:val="24"/>
          <w:szCs w:val="24"/>
          <w:lang w:val="en-GB"/>
        </w:rPr>
        <w:t xml:space="preserve"> independent </w:t>
      </w:r>
      <w:r w:rsidR="003E6FA8" w:rsidRPr="002013B9">
        <w:rPr>
          <w:rFonts w:ascii="Times New Roman" w:hAnsi="Times New Roman" w:cs="Times New Roman"/>
          <w:color w:val="000000" w:themeColor="text1"/>
          <w:sz w:val="24"/>
          <w:szCs w:val="24"/>
          <w:lang w:val="en-GB"/>
        </w:rPr>
        <w:t>Data safety monitoring board (DSMB)</w:t>
      </w:r>
      <w:r w:rsidRPr="002013B9">
        <w:rPr>
          <w:rFonts w:ascii="Times New Roman" w:hAnsi="Times New Roman" w:cs="Times New Roman"/>
          <w:color w:val="000000" w:themeColor="text1"/>
          <w:sz w:val="24"/>
          <w:szCs w:val="24"/>
          <w:lang w:val="en-GB"/>
        </w:rPr>
        <w:t xml:space="preserve">. The DSMB will have unblinded access to all data and decide on the continuation of the trial and will report to the </w:t>
      </w:r>
      <w:r w:rsidR="00037F05" w:rsidRPr="002013B9">
        <w:rPr>
          <w:rFonts w:ascii="Times New Roman" w:eastAsia="Times New Roman" w:hAnsi="Times New Roman" w:cs="Times New Roman"/>
          <w:sz w:val="24"/>
          <w:szCs w:val="24"/>
          <w:lang w:val="en-GB" w:eastAsia="da-DK"/>
        </w:rPr>
        <w:t>internal review board of the Asian Institute of Gastroenterology</w:t>
      </w:r>
      <w:r w:rsidRPr="002013B9">
        <w:rPr>
          <w:rFonts w:ascii="Times New Roman" w:hAnsi="Times New Roman" w:cs="Times New Roman"/>
          <w:color w:val="000000" w:themeColor="text1"/>
          <w:sz w:val="24"/>
          <w:szCs w:val="24"/>
          <w:lang w:val="en-GB"/>
        </w:rPr>
        <w:t xml:space="preserve">. If there is a highly significant difference in improvement in pain in the treatment arm, then all subsequent patients will be subjected to </w:t>
      </w:r>
      <w:r w:rsidR="00EF5E7A" w:rsidRPr="002013B9">
        <w:rPr>
          <w:rFonts w:ascii="Times New Roman" w:hAnsi="Times New Roman" w:cs="Times New Roman"/>
          <w:color w:val="000000" w:themeColor="text1"/>
          <w:sz w:val="24"/>
          <w:szCs w:val="24"/>
          <w:lang w:val="en-GB"/>
        </w:rPr>
        <w:t>this</w:t>
      </w:r>
      <w:r w:rsidRPr="002013B9">
        <w:rPr>
          <w:rFonts w:ascii="Times New Roman" w:hAnsi="Times New Roman" w:cs="Times New Roman"/>
          <w:color w:val="000000" w:themeColor="text1"/>
          <w:sz w:val="24"/>
          <w:szCs w:val="24"/>
          <w:lang w:val="en-GB"/>
        </w:rPr>
        <w:t xml:space="preserve">. The trial will not be stopped in case of futility, unless the DSMB during the course of safety monitoring advice otherwise. </w:t>
      </w:r>
    </w:p>
    <w:p w14:paraId="4A00C84A" w14:textId="77777777" w:rsidR="00C81C38" w:rsidRPr="002013B9" w:rsidRDefault="00C81C38" w:rsidP="00164C1D">
      <w:pPr>
        <w:pStyle w:val="Default"/>
        <w:spacing w:line="480" w:lineRule="auto"/>
        <w:contextualSpacing/>
        <w:jc w:val="both"/>
        <w:rPr>
          <w:b/>
          <w:color w:val="000000" w:themeColor="text1"/>
          <w:lang w:val="en-GB"/>
        </w:rPr>
      </w:pPr>
    </w:p>
    <w:p w14:paraId="1DF0EFCA" w14:textId="3047B53E" w:rsidR="00BC40BE" w:rsidRPr="002013B9" w:rsidRDefault="00993FD8" w:rsidP="00164C1D">
      <w:pPr>
        <w:pStyle w:val="Default"/>
        <w:spacing w:line="480" w:lineRule="auto"/>
        <w:contextualSpacing/>
        <w:jc w:val="both"/>
        <w:rPr>
          <w:b/>
          <w:color w:val="000000" w:themeColor="text1"/>
          <w:lang w:val="en-GB"/>
        </w:rPr>
      </w:pPr>
      <w:r w:rsidRPr="002013B9">
        <w:rPr>
          <w:b/>
          <w:color w:val="000000" w:themeColor="text1"/>
          <w:lang w:val="en-GB"/>
        </w:rPr>
        <w:t>Monitoring and s</w:t>
      </w:r>
      <w:r w:rsidR="003E6FA8" w:rsidRPr="002013B9">
        <w:rPr>
          <w:b/>
          <w:color w:val="000000" w:themeColor="text1"/>
          <w:lang w:val="en-GB"/>
        </w:rPr>
        <w:t>afety</w:t>
      </w:r>
    </w:p>
    <w:p w14:paraId="1E7BE351" w14:textId="4BD3F3AA" w:rsidR="003E6FA8" w:rsidRPr="002013B9" w:rsidRDefault="003E6FA8" w:rsidP="00164C1D">
      <w:pPr>
        <w:spacing w:line="480" w:lineRule="auto"/>
        <w:contextualSpacing/>
        <w:jc w:val="both"/>
        <w:rPr>
          <w:rFonts w:ascii="Times New Roman" w:hAnsi="Times New Roman" w:cs="Times New Roman"/>
          <w:color w:val="000000" w:themeColor="text1"/>
          <w:sz w:val="24"/>
          <w:szCs w:val="24"/>
          <w:lang w:val="en-GB"/>
        </w:rPr>
      </w:pPr>
      <w:r w:rsidRPr="002013B9">
        <w:rPr>
          <w:rFonts w:ascii="Times New Roman" w:hAnsi="Times New Roman" w:cs="Times New Roman"/>
          <w:color w:val="000000" w:themeColor="text1"/>
          <w:sz w:val="24"/>
          <w:szCs w:val="24"/>
          <w:lang w:val="en-GB"/>
        </w:rPr>
        <w:t xml:space="preserve">Prior to the trial initiation, a DSMB comprising of a neurologist, </w:t>
      </w:r>
      <w:r w:rsidR="00442D43" w:rsidRPr="002013B9">
        <w:rPr>
          <w:rFonts w:ascii="Times New Roman" w:hAnsi="Times New Roman" w:cs="Times New Roman"/>
          <w:color w:val="000000" w:themeColor="text1"/>
          <w:sz w:val="24"/>
          <w:szCs w:val="24"/>
          <w:lang w:val="en-GB"/>
        </w:rPr>
        <w:t>an anaesthesiologist</w:t>
      </w:r>
      <w:r w:rsidRPr="002013B9">
        <w:rPr>
          <w:rFonts w:ascii="Times New Roman" w:hAnsi="Times New Roman" w:cs="Times New Roman"/>
          <w:color w:val="000000" w:themeColor="text1"/>
          <w:sz w:val="24"/>
          <w:szCs w:val="24"/>
          <w:lang w:val="en-GB"/>
        </w:rPr>
        <w:t>, and</w:t>
      </w:r>
      <w:r w:rsidR="00442D43" w:rsidRPr="002013B9">
        <w:rPr>
          <w:rFonts w:ascii="Times New Roman" w:hAnsi="Times New Roman" w:cs="Times New Roman"/>
          <w:color w:val="000000" w:themeColor="text1"/>
          <w:sz w:val="24"/>
          <w:szCs w:val="24"/>
          <w:lang w:val="en-GB"/>
        </w:rPr>
        <w:t xml:space="preserve"> a</w:t>
      </w:r>
      <w:r w:rsidRPr="002013B9">
        <w:rPr>
          <w:rFonts w:ascii="Times New Roman" w:hAnsi="Times New Roman" w:cs="Times New Roman"/>
          <w:color w:val="000000" w:themeColor="text1"/>
          <w:sz w:val="24"/>
          <w:szCs w:val="24"/>
          <w:lang w:val="en-GB"/>
        </w:rPr>
        <w:t xml:space="preserve"> statistician </w:t>
      </w:r>
      <w:r w:rsidRPr="002013B9">
        <w:rPr>
          <w:rFonts w:ascii="Times New Roman" w:hAnsi="Times New Roman" w:cs="Times New Roman"/>
          <w:i/>
          <w:color w:val="000000" w:themeColor="text1"/>
          <w:sz w:val="24"/>
          <w:szCs w:val="24"/>
          <w:lang w:val="en-GB"/>
        </w:rPr>
        <w:t xml:space="preserve">(all from outside the study </w:t>
      </w:r>
      <w:r w:rsidR="00442D43" w:rsidRPr="002013B9">
        <w:rPr>
          <w:rFonts w:ascii="Times New Roman" w:hAnsi="Times New Roman" w:cs="Times New Roman"/>
          <w:i/>
          <w:color w:val="000000" w:themeColor="text1"/>
          <w:sz w:val="24"/>
          <w:szCs w:val="24"/>
          <w:lang w:val="en-GB"/>
        </w:rPr>
        <w:t>centre</w:t>
      </w:r>
      <w:r w:rsidRPr="002013B9">
        <w:rPr>
          <w:rFonts w:ascii="Times New Roman" w:hAnsi="Times New Roman" w:cs="Times New Roman"/>
          <w:i/>
          <w:color w:val="000000" w:themeColor="text1"/>
          <w:sz w:val="24"/>
          <w:szCs w:val="24"/>
          <w:lang w:val="en-GB"/>
        </w:rPr>
        <w:t>)</w:t>
      </w:r>
      <w:r w:rsidRPr="002013B9">
        <w:rPr>
          <w:rFonts w:ascii="Times New Roman" w:hAnsi="Times New Roman" w:cs="Times New Roman"/>
          <w:color w:val="000000" w:themeColor="text1"/>
          <w:sz w:val="24"/>
          <w:szCs w:val="24"/>
          <w:lang w:val="en-GB"/>
        </w:rPr>
        <w:t xml:space="preserve"> will be constituted. The DSMB will conduct periodic monitoring to ensure that the protocol and </w:t>
      </w:r>
      <w:r w:rsidR="0052572B" w:rsidRPr="002013B9">
        <w:rPr>
          <w:rFonts w:ascii="Times New Roman" w:hAnsi="Times New Roman" w:cs="Times New Roman"/>
          <w:color w:val="000000" w:themeColor="text1"/>
          <w:sz w:val="24"/>
          <w:szCs w:val="24"/>
          <w:lang w:val="en-GB"/>
        </w:rPr>
        <w:t xml:space="preserve">good clinical practice </w:t>
      </w:r>
      <w:r w:rsidRPr="002013B9">
        <w:rPr>
          <w:rFonts w:ascii="Times New Roman" w:hAnsi="Times New Roman" w:cs="Times New Roman"/>
          <w:color w:val="000000" w:themeColor="text1"/>
          <w:sz w:val="24"/>
          <w:szCs w:val="24"/>
          <w:lang w:val="en-GB"/>
        </w:rPr>
        <w:t xml:space="preserve">standards are followed. The monitors may review source documents to confirm that data recorded on </w:t>
      </w:r>
      <w:r w:rsidR="00611543" w:rsidRPr="002013B9">
        <w:rPr>
          <w:rFonts w:ascii="Times New Roman" w:hAnsi="Times New Roman" w:cs="Times New Roman"/>
          <w:color w:val="000000" w:themeColor="text1"/>
          <w:sz w:val="24"/>
          <w:szCs w:val="24"/>
          <w:lang w:val="en-GB"/>
        </w:rPr>
        <w:t>case report forms</w:t>
      </w:r>
      <w:r w:rsidRPr="002013B9">
        <w:rPr>
          <w:rFonts w:ascii="Times New Roman" w:hAnsi="Times New Roman" w:cs="Times New Roman"/>
          <w:color w:val="000000" w:themeColor="text1"/>
          <w:sz w:val="24"/>
          <w:szCs w:val="24"/>
          <w:lang w:val="en-GB"/>
        </w:rPr>
        <w:t xml:space="preserve"> </w:t>
      </w:r>
      <w:r w:rsidR="00642AE8" w:rsidRPr="002013B9">
        <w:rPr>
          <w:rFonts w:ascii="Times New Roman" w:hAnsi="Times New Roman" w:cs="Times New Roman"/>
          <w:color w:val="000000" w:themeColor="text1"/>
          <w:sz w:val="24"/>
          <w:szCs w:val="24"/>
          <w:lang w:val="en-GB"/>
        </w:rPr>
        <w:t xml:space="preserve">are </w:t>
      </w:r>
      <w:r w:rsidRPr="002013B9">
        <w:rPr>
          <w:rFonts w:ascii="Times New Roman" w:hAnsi="Times New Roman" w:cs="Times New Roman"/>
          <w:color w:val="000000" w:themeColor="text1"/>
          <w:sz w:val="24"/>
          <w:szCs w:val="24"/>
          <w:lang w:val="en-GB"/>
        </w:rPr>
        <w:t>accurate. The investigator and institution will allow the DSMB and appropriate regulatory authorities direct access to source documents to perform this verification. The trial site may be subject to review by the institutional review board</w:t>
      </w:r>
      <w:r w:rsidRPr="002013B9">
        <w:rPr>
          <w:rFonts w:ascii="Times New Roman" w:hAnsi="Times New Roman" w:cs="Times New Roman"/>
          <w:color w:val="000000" w:themeColor="text1"/>
          <w:sz w:val="24"/>
          <w:szCs w:val="24"/>
          <w:shd w:val="clear" w:color="auto" w:fill="FFFFFF"/>
          <w:lang w:val="en-GB"/>
        </w:rPr>
        <w:t>s</w:t>
      </w:r>
      <w:r w:rsidRPr="002013B9">
        <w:rPr>
          <w:rFonts w:ascii="Times New Roman" w:hAnsi="Times New Roman" w:cs="Times New Roman"/>
          <w:color w:val="000000" w:themeColor="text1"/>
          <w:sz w:val="24"/>
          <w:szCs w:val="24"/>
          <w:lang w:val="en-GB"/>
        </w:rPr>
        <w:t xml:space="preserve"> and/or to quality assurance audits performed by the DSMB, and/or to inspection by appropriate regulatory authorities. The DSMB will also </w:t>
      </w:r>
      <w:r w:rsidR="00C00532" w:rsidRPr="002013B9">
        <w:rPr>
          <w:rFonts w:ascii="Times New Roman" w:hAnsi="Times New Roman" w:cs="Times New Roman"/>
          <w:color w:val="000000" w:themeColor="text1"/>
          <w:sz w:val="24"/>
          <w:szCs w:val="24"/>
          <w:lang w:val="en-GB"/>
        </w:rPr>
        <w:t>conclude on</w:t>
      </w:r>
      <w:r w:rsidRPr="002013B9">
        <w:rPr>
          <w:rFonts w:ascii="Times New Roman" w:hAnsi="Times New Roman" w:cs="Times New Roman"/>
          <w:color w:val="000000" w:themeColor="text1"/>
          <w:sz w:val="24"/>
          <w:szCs w:val="24"/>
          <w:lang w:val="en-GB"/>
        </w:rPr>
        <w:t xml:space="preserve"> </w:t>
      </w:r>
      <w:r w:rsidR="009F1BC8" w:rsidRPr="002013B9">
        <w:rPr>
          <w:rFonts w:ascii="Times New Roman" w:hAnsi="Times New Roman" w:cs="Times New Roman"/>
          <w:color w:val="000000" w:themeColor="text1"/>
          <w:sz w:val="24"/>
          <w:szCs w:val="24"/>
          <w:lang w:val="en-GB"/>
        </w:rPr>
        <w:t xml:space="preserve">the planned </w:t>
      </w:r>
      <w:r w:rsidRPr="002013B9">
        <w:rPr>
          <w:rFonts w:ascii="Times New Roman" w:hAnsi="Times New Roman" w:cs="Times New Roman"/>
          <w:color w:val="000000" w:themeColor="text1"/>
          <w:sz w:val="24"/>
          <w:szCs w:val="24"/>
          <w:lang w:val="en-GB"/>
        </w:rPr>
        <w:t>interim analys</w:t>
      </w:r>
      <w:r w:rsidR="001A72FD" w:rsidRPr="002013B9">
        <w:rPr>
          <w:rFonts w:ascii="Times New Roman" w:hAnsi="Times New Roman" w:cs="Times New Roman"/>
          <w:color w:val="000000" w:themeColor="text1"/>
          <w:sz w:val="24"/>
          <w:szCs w:val="24"/>
          <w:lang w:val="en-GB"/>
        </w:rPr>
        <w:t>i</w:t>
      </w:r>
      <w:r w:rsidRPr="002013B9">
        <w:rPr>
          <w:rFonts w:ascii="Times New Roman" w:hAnsi="Times New Roman" w:cs="Times New Roman"/>
          <w:color w:val="000000" w:themeColor="text1"/>
          <w:sz w:val="24"/>
          <w:szCs w:val="24"/>
          <w:lang w:val="en-GB"/>
        </w:rPr>
        <w:t>s.</w:t>
      </w:r>
    </w:p>
    <w:p w14:paraId="078213C1" w14:textId="6B65A68C" w:rsidR="006B176C" w:rsidRPr="002013B9" w:rsidRDefault="008F2A12" w:rsidP="00164C1D">
      <w:pPr>
        <w:widowControl w:val="0"/>
        <w:autoSpaceDE w:val="0"/>
        <w:autoSpaceDN w:val="0"/>
        <w:adjustRightInd w:val="0"/>
        <w:spacing w:line="480" w:lineRule="auto"/>
        <w:ind w:firstLine="567"/>
        <w:contextualSpacing/>
        <w:jc w:val="both"/>
        <w:rPr>
          <w:rFonts w:ascii="Times New Roman" w:hAnsi="Times New Roman" w:cs="Times New Roman"/>
          <w:color w:val="000000" w:themeColor="text1"/>
          <w:sz w:val="24"/>
          <w:szCs w:val="24"/>
          <w:lang w:val="en-GB"/>
        </w:rPr>
      </w:pPr>
      <w:r w:rsidRPr="008F2A12">
        <w:rPr>
          <w:rFonts w:ascii="Times New Roman" w:hAnsi="Times New Roman" w:cs="Times New Roman"/>
          <w:color w:val="FF0000"/>
          <w:sz w:val="24"/>
          <w:szCs w:val="24"/>
        </w:rPr>
        <w:t>There is no anticipated harm and compensation for trial participation.</w:t>
      </w:r>
      <w:r w:rsidRPr="008F2A12">
        <w:rPr>
          <w:rFonts w:ascii="Times New Roman" w:hAnsi="Times New Roman" w:cs="Times New Roman"/>
          <w:color w:val="FF0000"/>
          <w:sz w:val="24"/>
          <w:szCs w:val="24"/>
          <w:lang w:val="en-GB"/>
        </w:rPr>
        <w:t xml:space="preserve"> </w:t>
      </w:r>
      <w:r w:rsidR="00802B24" w:rsidRPr="002013B9">
        <w:rPr>
          <w:rFonts w:ascii="Times New Roman" w:hAnsi="Times New Roman" w:cs="Times New Roman"/>
          <w:color w:val="000000" w:themeColor="text1"/>
          <w:sz w:val="24"/>
          <w:szCs w:val="24"/>
          <w:lang w:val="en-GB"/>
        </w:rPr>
        <w:t xml:space="preserve">The ESWL and ERCP </w:t>
      </w:r>
      <w:r w:rsidR="00802B24" w:rsidRPr="002013B9">
        <w:rPr>
          <w:rFonts w:ascii="Times New Roman" w:hAnsi="Times New Roman" w:cs="Times New Roman"/>
          <w:color w:val="000000" w:themeColor="text1"/>
          <w:sz w:val="24"/>
          <w:szCs w:val="24"/>
          <w:lang w:val="en-GB"/>
        </w:rPr>
        <w:lastRenderedPageBreak/>
        <w:t>procedures on patients with CP are</w:t>
      </w:r>
      <w:r w:rsidR="00A043C0" w:rsidRPr="002013B9">
        <w:rPr>
          <w:rFonts w:ascii="Times New Roman" w:hAnsi="Times New Roman" w:cs="Times New Roman"/>
          <w:color w:val="000000" w:themeColor="text1"/>
          <w:sz w:val="24"/>
          <w:szCs w:val="24"/>
          <w:lang w:val="en-GB"/>
        </w:rPr>
        <w:t xml:space="preserve"> currently</w:t>
      </w:r>
      <w:r w:rsidR="00802B24" w:rsidRPr="002013B9">
        <w:rPr>
          <w:rFonts w:ascii="Times New Roman" w:hAnsi="Times New Roman" w:cs="Times New Roman"/>
          <w:color w:val="000000" w:themeColor="text1"/>
          <w:sz w:val="24"/>
          <w:szCs w:val="24"/>
          <w:lang w:val="en-GB"/>
        </w:rPr>
        <w:t xml:space="preserve"> </w:t>
      </w:r>
      <w:r w:rsidR="00A043C0" w:rsidRPr="002013B9">
        <w:rPr>
          <w:rFonts w:ascii="Times New Roman" w:hAnsi="Times New Roman" w:cs="Times New Roman"/>
          <w:color w:val="000000" w:themeColor="text1"/>
          <w:sz w:val="24"/>
          <w:szCs w:val="24"/>
          <w:lang w:val="en-GB"/>
        </w:rPr>
        <w:t xml:space="preserve">used in daily clinical practice and </w:t>
      </w:r>
      <w:r w:rsidR="00C62AE0" w:rsidRPr="002013B9">
        <w:rPr>
          <w:rFonts w:ascii="Times New Roman" w:hAnsi="Times New Roman" w:cs="Times New Roman"/>
          <w:color w:val="000000" w:themeColor="text1"/>
          <w:sz w:val="24"/>
          <w:szCs w:val="24"/>
          <w:lang w:val="en-GB"/>
        </w:rPr>
        <w:t xml:space="preserve">participation in the study is not </w:t>
      </w:r>
      <w:r w:rsidR="00B75317" w:rsidRPr="002013B9">
        <w:rPr>
          <w:rFonts w:ascii="Times New Roman" w:hAnsi="Times New Roman" w:cs="Times New Roman"/>
          <w:color w:val="000000" w:themeColor="text1"/>
          <w:sz w:val="24"/>
          <w:szCs w:val="24"/>
          <w:lang w:val="en-GB"/>
        </w:rPr>
        <w:t>expected</w:t>
      </w:r>
      <w:r w:rsidR="00C62AE0" w:rsidRPr="002013B9">
        <w:rPr>
          <w:rFonts w:ascii="Times New Roman" w:hAnsi="Times New Roman" w:cs="Times New Roman"/>
          <w:color w:val="000000" w:themeColor="text1"/>
          <w:sz w:val="24"/>
          <w:szCs w:val="24"/>
          <w:lang w:val="en-GB"/>
        </w:rPr>
        <w:t xml:space="preserve"> </w:t>
      </w:r>
      <w:r w:rsidR="002D2FAB" w:rsidRPr="002013B9">
        <w:rPr>
          <w:rFonts w:ascii="Times New Roman" w:hAnsi="Times New Roman" w:cs="Times New Roman"/>
          <w:color w:val="000000" w:themeColor="text1"/>
          <w:sz w:val="24"/>
          <w:szCs w:val="24"/>
          <w:lang w:val="en-GB"/>
        </w:rPr>
        <w:t>to be associated with an increased risk of adverse events compare</w:t>
      </w:r>
      <w:r w:rsidR="00642AE8" w:rsidRPr="002013B9">
        <w:rPr>
          <w:rFonts w:ascii="Times New Roman" w:hAnsi="Times New Roman" w:cs="Times New Roman"/>
          <w:color w:val="000000" w:themeColor="text1"/>
          <w:sz w:val="24"/>
          <w:szCs w:val="24"/>
          <w:lang w:val="en-GB"/>
        </w:rPr>
        <w:t>d</w:t>
      </w:r>
      <w:r w:rsidR="002D2FAB" w:rsidRPr="002013B9">
        <w:rPr>
          <w:rFonts w:ascii="Times New Roman" w:hAnsi="Times New Roman" w:cs="Times New Roman"/>
          <w:color w:val="000000" w:themeColor="text1"/>
          <w:sz w:val="24"/>
          <w:szCs w:val="24"/>
          <w:lang w:val="en-GB"/>
        </w:rPr>
        <w:t xml:space="preserve"> to </w:t>
      </w:r>
      <w:r w:rsidR="00847BB3" w:rsidRPr="002013B9">
        <w:rPr>
          <w:rFonts w:ascii="Times New Roman" w:hAnsi="Times New Roman" w:cs="Times New Roman"/>
          <w:color w:val="000000" w:themeColor="text1"/>
          <w:sz w:val="24"/>
          <w:szCs w:val="24"/>
          <w:lang w:val="en-GB"/>
        </w:rPr>
        <w:t>standard</w:t>
      </w:r>
      <w:r w:rsidR="002D2FAB" w:rsidRPr="002013B9">
        <w:rPr>
          <w:rFonts w:ascii="Times New Roman" w:hAnsi="Times New Roman" w:cs="Times New Roman"/>
          <w:color w:val="000000" w:themeColor="text1"/>
          <w:sz w:val="24"/>
          <w:szCs w:val="24"/>
          <w:lang w:val="en-GB"/>
        </w:rPr>
        <w:t xml:space="preserve"> clinical care.</w:t>
      </w:r>
      <w:r w:rsidR="00802B24" w:rsidRPr="002013B9">
        <w:rPr>
          <w:rFonts w:ascii="Times New Roman" w:hAnsi="Times New Roman" w:cs="Times New Roman"/>
          <w:color w:val="000000" w:themeColor="text1"/>
          <w:sz w:val="24"/>
          <w:szCs w:val="24"/>
          <w:lang w:val="en-GB"/>
        </w:rPr>
        <w:t xml:space="preserve"> </w:t>
      </w:r>
      <w:r w:rsidR="00026805" w:rsidRPr="002013B9">
        <w:rPr>
          <w:rFonts w:ascii="Times New Roman" w:hAnsi="Times New Roman" w:cs="Times New Roman"/>
          <w:color w:val="000000" w:themeColor="text1"/>
          <w:sz w:val="24"/>
          <w:szCs w:val="24"/>
          <w:lang w:val="en-GB"/>
        </w:rPr>
        <w:t>Following ESWL</w:t>
      </w:r>
      <w:r w:rsidR="00802B24" w:rsidRPr="002013B9">
        <w:rPr>
          <w:rFonts w:ascii="Times New Roman" w:hAnsi="Times New Roman" w:cs="Times New Roman"/>
          <w:color w:val="000000" w:themeColor="text1"/>
          <w:sz w:val="24"/>
          <w:szCs w:val="24"/>
          <w:lang w:val="en-GB"/>
        </w:rPr>
        <w:t xml:space="preserve"> we have observed mild erythema at the site of </w:t>
      </w:r>
      <w:r w:rsidR="00AB3E7B" w:rsidRPr="002013B9">
        <w:rPr>
          <w:rFonts w:ascii="Times New Roman" w:hAnsi="Times New Roman" w:cs="Times New Roman"/>
          <w:color w:val="000000" w:themeColor="text1"/>
          <w:sz w:val="24"/>
          <w:szCs w:val="24"/>
          <w:lang w:val="en-GB"/>
        </w:rPr>
        <w:t>stimulation</w:t>
      </w:r>
      <w:r w:rsidR="00802B24" w:rsidRPr="002013B9">
        <w:rPr>
          <w:rFonts w:ascii="Times New Roman" w:hAnsi="Times New Roman" w:cs="Times New Roman"/>
          <w:color w:val="000000" w:themeColor="text1"/>
          <w:sz w:val="24"/>
          <w:szCs w:val="24"/>
          <w:lang w:val="en-GB"/>
        </w:rPr>
        <w:t xml:space="preserve">. There </w:t>
      </w:r>
      <w:r w:rsidR="00A043C0" w:rsidRPr="002013B9">
        <w:rPr>
          <w:rFonts w:ascii="Times New Roman" w:hAnsi="Times New Roman" w:cs="Times New Roman"/>
          <w:color w:val="000000" w:themeColor="text1"/>
          <w:sz w:val="24"/>
          <w:szCs w:val="24"/>
          <w:lang w:val="en-GB"/>
        </w:rPr>
        <w:t>has</w:t>
      </w:r>
      <w:r w:rsidR="00802B24" w:rsidRPr="002013B9">
        <w:rPr>
          <w:rFonts w:ascii="Times New Roman" w:hAnsi="Times New Roman" w:cs="Times New Roman"/>
          <w:color w:val="000000" w:themeColor="text1"/>
          <w:sz w:val="24"/>
          <w:szCs w:val="24"/>
          <w:lang w:val="en-GB"/>
        </w:rPr>
        <w:t xml:space="preserve"> been very infrequent incidence of acute pancreatitis after the procedure.</w:t>
      </w:r>
      <w:r w:rsidR="00A043C0" w:rsidRPr="002013B9">
        <w:rPr>
          <w:rFonts w:ascii="Times New Roman" w:hAnsi="Times New Roman" w:cs="Times New Roman"/>
          <w:color w:val="000000" w:themeColor="text1"/>
          <w:sz w:val="24"/>
          <w:szCs w:val="24"/>
          <w:lang w:val="en-GB"/>
        </w:rPr>
        <w:t xml:space="preserve"> </w:t>
      </w:r>
      <w:r w:rsidR="001C3922" w:rsidRPr="002013B9">
        <w:rPr>
          <w:rFonts w:ascii="Times New Roman" w:hAnsi="Times New Roman" w:cs="Times New Roman"/>
          <w:color w:val="000000" w:themeColor="text1"/>
          <w:sz w:val="24"/>
          <w:szCs w:val="24"/>
          <w:lang w:val="en-GB"/>
        </w:rPr>
        <w:t xml:space="preserve">Since </w:t>
      </w:r>
      <w:r w:rsidR="00A043C0" w:rsidRPr="002013B9">
        <w:rPr>
          <w:rFonts w:ascii="Times New Roman" w:hAnsi="Times New Roman" w:cs="Times New Roman"/>
          <w:color w:val="000000" w:themeColor="text1"/>
          <w:sz w:val="24"/>
          <w:szCs w:val="24"/>
          <w:lang w:val="en-GB"/>
        </w:rPr>
        <w:t xml:space="preserve">ERCP is </w:t>
      </w:r>
      <w:r w:rsidR="00AB3E7B" w:rsidRPr="002013B9">
        <w:rPr>
          <w:rFonts w:ascii="Times New Roman" w:hAnsi="Times New Roman" w:cs="Times New Roman"/>
          <w:color w:val="000000" w:themeColor="text1"/>
          <w:sz w:val="24"/>
          <w:szCs w:val="24"/>
          <w:lang w:val="en-GB"/>
        </w:rPr>
        <w:t xml:space="preserve">associated with </w:t>
      </w:r>
      <w:r w:rsidR="00E513D9" w:rsidRPr="002013B9">
        <w:rPr>
          <w:rFonts w:ascii="Times New Roman" w:hAnsi="Times New Roman" w:cs="Times New Roman"/>
          <w:color w:val="000000" w:themeColor="text1"/>
          <w:sz w:val="24"/>
          <w:szCs w:val="24"/>
          <w:lang w:val="en-GB"/>
        </w:rPr>
        <w:t>an increased risk of post-procedure acute pancreatitis</w:t>
      </w:r>
      <w:r w:rsidR="001C3922" w:rsidRPr="002013B9">
        <w:rPr>
          <w:rFonts w:ascii="Times New Roman" w:hAnsi="Times New Roman" w:cs="Times New Roman"/>
          <w:color w:val="000000" w:themeColor="text1"/>
          <w:sz w:val="24"/>
          <w:szCs w:val="24"/>
          <w:lang w:val="en-GB"/>
        </w:rPr>
        <w:t>,</w:t>
      </w:r>
      <w:r w:rsidR="00E513D9" w:rsidRPr="002013B9">
        <w:rPr>
          <w:rFonts w:ascii="Times New Roman" w:hAnsi="Times New Roman" w:cs="Times New Roman"/>
          <w:color w:val="000000" w:themeColor="text1"/>
          <w:sz w:val="24"/>
          <w:szCs w:val="24"/>
          <w:lang w:val="en-GB"/>
        </w:rPr>
        <w:t xml:space="preserve"> </w:t>
      </w:r>
      <w:r w:rsidR="002771A5" w:rsidRPr="002013B9">
        <w:rPr>
          <w:rFonts w:ascii="Times New Roman" w:hAnsi="Times New Roman" w:cs="Times New Roman"/>
          <w:color w:val="000000" w:themeColor="text1"/>
          <w:sz w:val="24"/>
          <w:szCs w:val="24"/>
          <w:lang w:val="en-GB"/>
        </w:rPr>
        <w:t>means</w:t>
      </w:r>
      <w:r w:rsidR="004C6C4B" w:rsidRPr="002013B9">
        <w:rPr>
          <w:rFonts w:ascii="Times New Roman" w:hAnsi="Times New Roman" w:cs="Times New Roman"/>
          <w:color w:val="000000" w:themeColor="text1"/>
          <w:sz w:val="24"/>
          <w:szCs w:val="24"/>
          <w:lang w:val="en-GB"/>
        </w:rPr>
        <w:t xml:space="preserve"> to decrease this risk (</w:t>
      </w:r>
      <w:r w:rsidR="001C3922" w:rsidRPr="002013B9">
        <w:rPr>
          <w:rFonts w:ascii="Times New Roman" w:hAnsi="Times New Roman" w:cs="Times New Roman"/>
          <w:color w:val="000000" w:themeColor="text1"/>
          <w:sz w:val="24"/>
          <w:szCs w:val="24"/>
          <w:lang w:val="en-GB"/>
        </w:rPr>
        <w:t>rectal indomethacin and pre-procedural IV fluids</w:t>
      </w:r>
      <w:r w:rsidR="002771A5" w:rsidRPr="002013B9">
        <w:rPr>
          <w:rFonts w:ascii="Times New Roman" w:hAnsi="Times New Roman" w:cs="Times New Roman"/>
          <w:color w:val="000000" w:themeColor="text1"/>
          <w:sz w:val="24"/>
          <w:szCs w:val="24"/>
          <w:lang w:val="en-GB"/>
        </w:rPr>
        <w:t>) will be used in high risk patients</w:t>
      </w:r>
      <w:r w:rsidR="00774983" w:rsidRPr="002013B9">
        <w:rPr>
          <w:rFonts w:ascii="Times New Roman" w:hAnsi="Times New Roman" w:cs="Times New Roman"/>
          <w:color w:val="000000" w:themeColor="text1"/>
          <w:sz w:val="24"/>
          <w:szCs w:val="24"/>
          <w:lang w:val="en-GB"/>
        </w:rPr>
        <w:t>.</w:t>
      </w:r>
      <w:r w:rsidR="0094291D" w:rsidRPr="002013B9">
        <w:rPr>
          <w:rFonts w:ascii="Times New Roman" w:hAnsi="Times New Roman" w:cs="Times New Roman"/>
          <w:color w:val="000000" w:themeColor="text1"/>
          <w:sz w:val="24"/>
          <w:szCs w:val="24"/>
          <w:lang w:val="en-GB"/>
        </w:rPr>
        <w:t xml:space="preserve"> </w:t>
      </w:r>
    </w:p>
    <w:p w14:paraId="0D1BAEF9" w14:textId="77777777" w:rsidR="009F0B30" w:rsidRDefault="009F0B30" w:rsidP="00BA04DB">
      <w:pPr>
        <w:spacing w:line="480" w:lineRule="auto"/>
        <w:contextualSpacing/>
        <w:jc w:val="both"/>
        <w:rPr>
          <w:rFonts w:ascii="Times New Roman" w:eastAsia="Times New Roman" w:hAnsi="Times New Roman" w:cs="Times New Roman"/>
          <w:b/>
          <w:bCs/>
          <w:sz w:val="24"/>
          <w:szCs w:val="24"/>
          <w:lang w:val="en-GB" w:eastAsia="da-DK"/>
        </w:rPr>
      </w:pPr>
    </w:p>
    <w:p w14:paraId="7B481122" w14:textId="4155A159" w:rsidR="009D1BE5" w:rsidRPr="002013B9" w:rsidRDefault="009D1BE5" w:rsidP="00BA04DB">
      <w:pPr>
        <w:spacing w:line="480" w:lineRule="auto"/>
        <w:contextualSpacing/>
        <w:jc w:val="both"/>
        <w:rPr>
          <w:rFonts w:ascii="Times New Roman" w:eastAsia="Times New Roman" w:hAnsi="Times New Roman" w:cs="Times New Roman"/>
          <w:b/>
          <w:bCs/>
          <w:sz w:val="24"/>
          <w:szCs w:val="24"/>
          <w:lang w:val="en-GB" w:eastAsia="da-DK"/>
        </w:rPr>
      </w:pPr>
      <w:r w:rsidRPr="002013B9">
        <w:rPr>
          <w:rFonts w:ascii="Times New Roman" w:eastAsia="Times New Roman" w:hAnsi="Times New Roman" w:cs="Times New Roman"/>
          <w:b/>
          <w:bCs/>
          <w:sz w:val="24"/>
          <w:szCs w:val="24"/>
          <w:lang w:val="en-GB" w:eastAsia="da-DK"/>
        </w:rPr>
        <w:t>Discussion</w:t>
      </w:r>
    </w:p>
    <w:p w14:paraId="35158982" w14:textId="078AAF15" w:rsidR="00F16B20" w:rsidRPr="002013B9" w:rsidRDefault="001C28DB" w:rsidP="00BA04DB">
      <w:pPr>
        <w:spacing w:line="480" w:lineRule="auto"/>
        <w:contextualSpacing/>
        <w:jc w:val="both"/>
        <w:rPr>
          <w:rFonts w:ascii="Times New Roman" w:eastAsia="Times New Roman" w:hAnsi="Times New Roman" w:cs="Times New Roman"/>
          <w:sz w:val="24"/>
          <w:szCs w:val="24"/>
          <w:lang w:val="en-GB" w:eastAsia="da-DK"/>
        </w:rPr>
      </w:pPr>
      <w:r w:rsidRPr="002013B9">
        <w:rPr>
          <w:rFonts w:ascii="Times New Roman" w:eastAsia="Times New Roman" w:hAnsi="Times New Roman" w:cs="Times New Roman"/>
          <w:sz w:val="24"/>
          <w:szCs w:val="24"/>
          <w:lang w:val="en-GB" w:eastAsia="da-DK"/>
        </w:rPr>
        <w:t xml:space="preserve">Pain is the primary </w:t>
      </w:r>
      <w:r w:rsidR="008B2CF3" w:rsidRPr="002013B9">
        <w:rPr>
          <w:rFonts w:ascii="Times New Roman" w:eastAsia="Times New Roman" w:hAnsi="Times New Roman" w:cs="Times New Roman"/>
          <w:sz w:val="24"/>
          <w:szCs w:val="24"/>
          <w:lang w:val="en-GB" w:eastAsia="da-DK"/>
        </w:rPr>
        <w:t>symptom</w:t>
      </w:r>
      <w:r w:rsidRPr="002013B9">
        <w:rPr>
          <w:rFonts w:ascii="Times New Roman" w:eastAsia="Times New Roman" w:hAnsi="Times New Roman" w:cs="Times New Roman"/>
          <w:sz w:val="24"/>
          <w:szCs w:val="24"/>
          <w:lang w:val="en-GB" w:eastAsia="da-DK"/>
        </w:rPr>
        <w:t xml:space="preserve"> of CP and associated with a poor health related outcome including reduced life quality, disability and increased </w:t>
      </w:r>
      <w:r w:rsidR="008B2CF3" w:rsidRPr="002013B9">
        <w:rPr>
          <w:rFonts w:ascii="Times New Roman" w:eastAsia="Times New Roman" w:hAnsi="Times New Roman" w:cs="Times New Roman"/>
          <w:sz w:val="24"/>
          <w:szCs w:val="24"/>
          <w:lang w:val="en-GB" w:eastAsia="da-DK"/>
        </w:rPr>
        <w:t>health resource utilization</w:t>
      </w:r>
      <w:r w:rsidR="000E5F7B" w:rsidRPr="002013B9">
        <w:rPr>
          <w:rFonts w:ascii="Times New Roman" w:eastAsia="Times New Roman" w:hAnsi="Times New Roman" w:cs="Times New Roman"/>
          <w:sz w:val="24"/>
          <w:szCs w:val="24"/>
          <w:lang w:val="en-GB" w:eastAsia="da-DK"/>
        </w:rPr>
        <w:t xml:space="preserve"> </w:t>
      </w:r>
      <w:r w:rsidR="000E5F7B" w:rsidRPr="002013B9">
        <w:rPr>
          <w:rFonts w:ascii="Times New Roman" w:eastAsia="Times New Roman" w:hAnsi="Times New Roman" w:cs="Times New Roman"/>
          <w:sz w:val="24"/>
          <w:szCs w:val="24"/>
          <w:lang w:val="en-GB" w:eastAsia="da-DK"/>
        </w:rPr>
        <w:fldChar w:fldCharType="begin" w:fldLock="1"/>
      </w:r>
      <w:r w:rsidR="004D0981">
        <w:rPr>
          <w:rFonts w:ascii="Times New Roman" w:eastAsia="Times New Roman" w:hAnsi="Times New Roman" w:cs="Times New Roman"/>
          <w:sz w:val="24"/>
          <w:szCs w:val="24"/>
          <w:lang w:val="en-GB" w:eastAsia="da-DK"/>
        </w:rPr>
        <w:instrText>ADDIN CSL_CITATION {"citationItems":[{"id":"ITEM-1","itemData":{"DOI":"10.1136/gut.2010.213835","ISSN":"1468-3288","PMID":"21148579","abstract":"OBJECTIVE: To compare patients with chronic pancreatitis (CP) with constant pain patterns to patients with CP with intermittent pain patterns.\n\nMETHODS: This was a prospective cohort study conducted at 20 tertiary medical centers in the USA comprising 540 subjects with CP. Patients with CP were asked to identify their pain from five pain patterns (A-E) defined by the temporal nature (intermittent or constant) and the severity of the pain (mild, moderate or severe). Pain pattern types were compared with respect to a variety of demographic, quality of life (QOL) and clinical parameters. Rates of disability were the primary outcome. Secondary outcomes included: use of pain medications, days lost from school or work, hospitalisations (preceding year and lifetime) and QOL as measured using the Short Form-12 (SF-12) questionnaire.\n\nRESULTS: Of the 540 CP patients, 414 patients (77%) self-identified with a particular pain pattern and were analysed. Patients with constant pain, regardless of severity, had higher rates of disability, hospitalisation and pain medication use than patients with intermittent pain. Patients with constant pain had lower QOL (by SF-12) compared with patients who had intermittent pain. Additionally, patients with constant pain were more likely to have alcohol as the aetiology for their pancreatitis. There was no association between the duration of the disease and the quality or severity of the pain.\n\nCONCLUSIONS: This is the largest study ever conducted of pain in CP. These findings suggest that the temporal nature of pain is a more important determinant of health-related QOL and healthcare utilisation than pain severity. In contrast to previous studies, the pain associated with CP was not found to change in quality over time. These results have important implications for improving our understanding of the mechanisms underlying pain in CP and for the goals of future treatments and interventions.","author":[{"dropping-particle":"","family":"Mullady","given":"Daniel K","non-dropping-particle":"","parse-names":false,"suffix":""},{"dropping-particle":"","family":"Yadav","given":"Dhiraj","non-dropping-particle":"","parse-names":false,"suffix":""},{"dropping-particle":"","family":"Amann","given":"Stephen T","non-dropping-particle":"","parse-names":false,"suffix":""},{"dropping-particle":"","family":"O'Connell","given":"Michael R","non-dropping-particle":"","parse-names":false,"suffix":""},{"dropping-particle":"","family":"Barmada","given":"Michael M","non-dropping-particle":"","parse-names":false,"suffix":""},{"dropping-particle":"","family":"Elta","given":"Grace H","non-dropping-particle":"","parse-names":false,"suffix":""},{"dropping-particle":"","family":"Scheiman","given":"James M","non-dropping-particle":"","parse-names":false,"suffix":""},{"dropping-particle":"","family":"Wamsteker","given":"Erik-Jan","non-dropping-particle":"","parse-names":false,"suffix":""},{"dropping-particle":"","family":"Chey","given":"William D","non-dropping-particle":"","parse-names":false,"suffix":""},{"dropping-particle":"","family":"Korneffel","given":"Meredith L","non-dropping-particle":"","parse-names":false,"suffix":""},{"dropping-particle":"","family":"Weinman","given":"Beth M","non-dropping-particle":"","parse-names":false,"suffix":""},{"dropping-particle":"","family":"Slivka","given":"Adam","non-dropping-particle":"","parse-names":false,"suffix":""},{"dropping-particle":"","family":"Sherman","given":"Stuart","non-dropping-particle":"","parse-names":false,"suffix":""},{"dropping-particle":"","family":"Hawes","given":"Robert H","non-dropping-particle":"","parse-names":false,"suffix":""},{"dropping-particle":"","family":"Brand","given":"Randall E","non-dropping-particle":"","parse-names":false,"suffix":""},{"dropping-particle":"","family":"Burton","given":"Frank R","non-dropping-particle":"","parse-names":false,"suffix":""},{"dropping-particle":"","family":"Lewis","given":"Michele D","non-dropping-particle":"","parse-names":false,"suffix":""},{"dropping-particle":"","family":"Gardner","given":"Timothy B","non-dropping-particle":"","parse-names":false,"suffix":""},{"dropping-particle":"","family":"Gelrud","given":"Andres","non-dropping-particle":"","parse-names":false,"suffix":""},{"dropping-particle":"","family":"DiSario","given":"James","non-dropping-particle":"","parse-names":false,"suffix":""},{"dropping-particle":"","family":"Baillie","given":"John","non-dropping-particle":"","parse-names":false,"suffix":""},{"dropping-particle":"","family":"Banks","given":"Peter a","non-dropping-particle":"","parse-names":false,"suffix":""},{"dropping-particle":"","family":"Whitcomb","given":"David C","non-dropping-particle":"","parse-names":false,"suffix":""},{"dropping-particle":"","family":"Anderson","given":"Michelle a","non-dropping-particle":"","parse-names":false,"suffix":""}],"container-title":"Gut","id":"ITEM-1","issue":"1","issued":{"date-parts":[["2011","1"]]},"page":"77-84","title":"Type of pain, pain-associated complications, quality of life, disability and resource utilisation in chronic pancreatitis: a prospective cohort study.","type":"article-journal","volume":"60"},"uris":["http://www.mendeley.com/documents/?uuid=50fb8cbe-db11-435d-92ed-5dc33418b3f2"]},{"id":"ITEM-2","itemData":{"DOI":"10.1016/j.pan.2014.09.009","ISSN":"1424-3911","PMID":"25455540","abstract":"BACKGROUND/OBJECTIVES Chronic pancreatitis (CP) is a disabling disease characterised by abdominal pain, and various pancreatic and extra-pancreatic complications. We investigated the interactions between pain characteristics (i.e. pain severity and its pattern in time), complications, and quality of life (QOL) in patients with CP. METHODS This was a cross-sectional study of 106 patients with CP conducted at two North European tertiary medical centres. Detailed information on clinical patient characteristics was obtained from interviews and through review of the individual patient records. Pain severity scores and pain pattern time profiles were extracted from the modified brief pain inventory short form and correlated to QOL as assessed by the EORTC QLQ-C30 questionnaire. Interactions with exocrine and endocrine pancreatic insufficiency, as well as pancreatic and extra-pancreatic complications were analysed using regression models. RESULTS Pain was the most prominent symptom in our cohort and its severity was significantly correlated with EORTC global health status (r = -0.46; P &lt; 0.001) and most functional and symptom subscales. In contrast the patterns of pain in time were not associated with any of the life quality subscales. When controlling for interactions from exocrine and endocrine pancreatic insufficiency no effect modifications were evident (P = 0.72 and P = 0.85 respectively), while the presence of pancreatic and extra-pancreatic complications was associated with an almost 15% decrease in life quality (P = 0.004). CONCLUSIONS Pain severity and disease related complications significantly reduce life quality in patients with CP. This information is important in order to design more accurate and clinical meaningful endpoints in future outcome trials.","author":[{"dropping-particle":"","family":"Olesen","given":"Søren Schou","non-dropping-particle":"","parse-names":false,"suffix":""},{"dropping-particle":"","family":"Juel","given":"Jacob","non-dropping-particle":"","parse-names":false,"suffix":""},{"dropping-particle":"","family":"Nielsen","given":"Anders Klitgaard","non-dropping-particle":"","parse-names":false,"suffix":""},{"dropping-particle":"","family":"Frøkjær","given":"Jens Brøndum","non-dropping-particle":"","parse-names":false,"suffix":""},{"dropping-particle":"","family":"Wilder-Smith","given":"Oliver H G","non-dropping-particle":"","parse-names":false,"suffix":""},{"dropping-particle":"","family":"Drewes","given":"Asbjørn Mohr","non-dropping-particle":"","parse-names":false,"suffix":""}],"container-title":"Pancreatology : official journal of the International Association of Pancreatology (IAP) ... [et al.]","id":"ITEM-2","issue":"6","issued":{"date-parts":[["2014"]]},"language":"eng","page":"497-502","publisher-place":"Switzerland","title":"Pain severity reduces life quality in chronic pancreatitis: Implications for design of future outcome trials.","type":"article-journal","volume":"14"},"uris":["http://www.mendeley.com/documents/?uuid=631f8354-dab7-431c-8e9b-ab93e5c1b4e4"]},{"id":"ITEM-3","itemData":{"DOI":"10.1038/ajg.2017.42","ISSN":"1572-0241","PMID":"28244497","abstract":"OBJECTIVES Chronic pancreatitis (CP) has a profound independent effect on quality of life (QOL). Our aim was to identify factors that impact the QOL in CP patients. METHODS We used data on 1,024 CP patients enrolled in the three NAPS2 studies. Information on demographics, risk factors, co-morbidities, disease phenotype, and treatments was obtained from responses to structured questionnaires. Physical and mental component summary (PCS and MCS, respectively) scores generated using responses to the Short Form-12 (SF-12) survey were used to assess QOL at enrollment. Multivariable linear regression models determined independent predictors of QOL. RESULTS Mean PCS and MCS scores were 36.7±11.7 and 42.4±12.2, respectively. Significant (P&lt;0.05) negative impact on PCS scores in multivariable analyses was noted owing to constant mild-moderate pain with episodes of severe pain or constant severe pain (10 points), constant mild-moderate pain (5.2), pain-related disability/unemployment (5.1), current smoking (2.9 points), and medical co-morbidities. Significant (P&lt;0.05) negative impact on MCS scores was related to constant pain irrespective of severity (6.8-6.9 points), current smoking (3.9 points), and pain-related disability/unemployment (2.4 points). In women, disability/unemployment resulted in an additional 3.7 point reduction in MCS score. Final multivariable models explained 27% and 18% of the variance in PCS and MCS scores, respectively. Etiology, disease duration, pancreatic morphology, diabetes, exocrine insufficiency, and prior endotherapy/pancreatic surgery had no significant independent effect on QOL. CONCLUSIONS Constant pain, pain-related disability/unemployment, current smoking, and concurrent co-morbidities significantly affect the QOL in CP. Further research is needed to identify factors impacting QOL not explained by our analyses.","author":[{"dropping-particle":"","family":"Machicado","given":"Jorge D","non-dropping-particle":"","parse-names":false,"suffix":""},{"dropping-particle":"","family":"Amann","given":"Stephen T","non-dropping-particle":"","parse-names":false,"suffix":""},{"dropping-particle":"","family":"Anderson","given":"Michelle A","non-dropping-particle":"","parse-names":false,"suffix":""},{"dropping-particle":"","family":"Abberbock","given":"Judah","non-dropping-particle":"","parse-names":false,"suffix":""},{"dropping-particle":"","family":"Sherman","given":"Stuart","non-dropping-particle":"","parse-names":false,"suffix":""},{"dropping-particle":"","family":"Conwell","given":"Darwin L","non-dropping-particle":"","parse-names":false,"suffix":""},{"dropping-particle":"","family":"Cote","given":"Gregory A","non-dropping-particle":"","parse-names":false,"suffix":""},{"dropping-particle":"","family":"Singh","given":"Vikesh K","non-dropping-particle":"","parse-names":false,"suffix":""},{"dropping-particle":"","family":"Lewis","given":"Michele D","non-dropping-particle":"","parse-names":false,"suffix":""},{"dropping-particle":"","family":"Alkaade","given":"Samer","non-dropping-particle":"","parse-names":false,"suffix":""},{"dropping-particle":"","family":"Sandhu","given":"Bimaljit S","non-dropping-particle":"","parse-names":false,"suffix":""},{"dropping-particle":"","family":"Guda","given":"Nalini M","non-dropping-particle":"","parse-names":false,"suffix":""},{"dropping-particle":"","family":"Muniraj","given":"Thiruvengadam","non-dropping-particle":"","parse-names":false,"suffix":""},{"dropping-particle":"","family":"Tang","given":"Gong","non-dropping-particle":"","parse-names":false,"suffix":""},{"dropping-particle":"","family":"Baillie","given":"John","non-dropping-particle":"","parse-names":false,"suffix":""},{"dropping-particle":"","family":"Brand","given":"Randall E","non-dropping-particle":"","parse-names":false,"suffix":""},{"dropping-particle":"","family":"Gardner","given":"Timothy B","non-dropping-particle":"","parse-names":false,"suffix":""},{"dropping-particle":"","family":"Gelrud","given":"Andres","non-dropping-particle":"","parse-names":false,"suffix":""},{"dropping-particle":"","family":"Forsmark","given":"Christopher E","non-dropping-particle":"","parse-names":false,"suffix":""},{"dropping-particle":"","family":"Banks","given":"Peter A","non-dropping-particle":"","parse-names":false,"suffix":""},{"dropping-particle":"","family":"Slivka","given":"Adam","non-dropping-particle":"","parse-names":false,"suffix":""},{"dropping-particle":"","family":"Wilcox","given":"C Mel","non-dropping-particle":"","parse-names":false,"suffix":""},{"dropping-particle":"","family":"Whitcomb","given":"David C","non-dropping-particle":"","parse-names":false,"suffix":""},{"dropping-particle":"","family":"Yadav","given":"Dhiraj","non-dropping-particle":"","parse-names":false,"suffix":""}],"container-title":"The American journal of gastroenterology","id":"ITEM-3","issue":"4","issued":{"date-parts":[["2017"]]},"page":"633-642","title":"Quality of Life in Chronic Pancreatitis is Determined by Constant Pain, Disability/Unemployment, Current Smoking, and Associated Co-Morbidities.","type":"article-journal","volume":"112"},"uris":["http://www.mendeley.com/documents/?uuid=f7453cb6-898d-4769-b66b-ba6e84299880"]}],"mendeley":{"formattedCitation":"[37–39]","plainTextFormattedCitation":"[37–39]","previouslyFormattedCitation":"[36–38]"},"properties":{"noteIndex":0},"schema":"https://github.com/citation-style-language/schema/raw/master/csl-citation.json"}</w:instrText>
      </w:r>
      <w:r w:rsidR="000E5F7B" w:rsidRPr="002013B9">
        <w:rPr>
          <w:rFonts w:ascii="Times New Roman" w:eastAsia="Times New Roman" w:hAnsi="Times New Roman" w:cs="Times New Roman"/>
          <w:sz w:val="24"/>
          <w:szCs w:val="24"/>
          <w:lang w:val="en-GB" w:eastAsia="da-DK"/>
        </w:rPr>
        <w:fldChar w:fldCharType="separate"/>
      </w:r>
      <w:r w:rsidR="004D0981" w:rsidRPr="004D0981">
        <w:rPr>
          <w:rFonts w:ascii="Times New Roman" w:eastAsia="Times New Roman" w:hAnsi="Times New Roman" w:cs="Times New Roman"/>
          <w:noProof/>
          <w:sz w:val="24"/>
          <w:szCs w:val="24"/>
          <w:lang w:val="en-GB" w:eastAsia="da-DK"/>
        </w:rPr>
        <w:t>[37–39]</w:t>
      </w:r>
      <w:r w:rsidR="000E5F7B" w:rsidRPr="002013B9">
        <w:rPr>
          <w:rFonts w:ascii="Times New Roman" w:eastAsia="Times New Roman" w:hAnsi="Times New Roman" w:cs="Times New Roman"/>
          <w:sz w:val="24"/>
          <w:szCs w:val="24"/>
          <w:lang w:val="en-GB" w:eastAsia="da-DK"/>
        </w:rPr>
        <w:fldChar w:fldCharType="end"/>
      </w:r>
      <w:r w:rsidR="008B2CF3" w:rsidRPr="002013B9">
        <w:rPr>
          <w:rFonts w:ascii="Times New Roman" w:eastAsia="Times New Roman" w:hAnsi="Times New Roman" w:cs="Times New Roman"/>
          <w:sz w:val="24"/>
          <w:szCs w:val="24"/>
          <w:lang w:val="en-GB" w:eastAsia="da-DK"/>
        </w:rPr>
        <w:t xml:space="preserve">. </w:t>
      </w:r>
      <w:r w:rsidR="00476D6D" w:rsidRPr="002013B9">
        <w:rPr>
          <w:rFonts w:ascii="Times New Roman" w:eastAsia="Times New Roman" w:hAnsi="Times New Roman" w:cs="Times New Roman"/>
          <w:sz w:val="24"/>
          <w:szCs w:val="24"/>
          <w:lang w:val="en-GB" w:eastAsia="da-DK"/>
        </w:rPr>
        <w:t xml:space="preserve"> Unfortunately pain treatment is unsatisfactory in a large proportion of patients </w:t>
      </w:r>
      <w:r w:rsidR="000E5F7B" w:rsidRPr="002013B9">
        <w:rPr>
          <w:rFonts w:ascii="Times New Roman" w:eastAsia="Times New Roman" w:hAnsi="Times New Roman" w:cs="Times New Roman"/>
          <w:sz w:val="24"/>
          <w:szCs w:val="24"/>
          <w:lang w:val="en-GB" w:eastAsia="da-DK"/>
        </w:rPr>
        <w:t>and generally</w:t>
      </w:r>
      <w:r w:rsidR="00735397" w:rsidRPr="002013B9">
        <w:rPr>
          <w:rFonts w:ascii="Times New Roman" w:eastAsia="Times New Roman" w:hAnsi="Times New Roman" w:cs="Times New Roman"/>
          <w:sz w:val="24"/>
          <w:szCs w:val="24"/>
          <w:lang w:val="en-GB" w:eastAsia="da-DK"/>
        </w:rPr>
        <w:t xml:space="preserve"> based on low quality evidence in particular for invasive treatment</w:t>
      </w:r>
      <w:r w:rsidR="000E5F7B" w:rsidRPr="002013B9">
        <w:rPr>
          <w:rFonts w:ascii="Times New Roman" w:eastAsia="Times New Roman" w:hAnsi="Times New Roman" w:cs="Times New Roman"/>
          <w:sz w:val="24"/>
          <w:szCs w:val="24"/>
          <w:lang w:val="en-GB" w:eastAsia="da-DK"/>
        </w:rPr>
        <w:t xml:space="preserve">s (endoscopy and surgery) </w:t>
      </w:r>
      <w:r w:rsidR="000E5F7B" w:rsidRPr="002013B9">
        <w:rPr>
          <w:rFonts w:ascii="Times New Roman" w:eastAsia="Times New Roman" w:hAnsi="Times New Roman" w:cs="Times New Roman"/>
          <w:sz w:val="24"/>
          <w:szCs w:val="24"/>
          <w:lang w:val="en-GB" w:eastAsia="da-DK"/>
        </w:rPr>
        <w:fldChar w:fldCharType="begin" w:fldLock="1"/>
      </w:r>
      <w:r w:rsidR="009A3A25" w:rsidRPr="002013B9">
        <w:rPr>
          <w:rFonts w:ascii="Times New Roman" w:eastAsia="Times New Roman" w:hAnsi="Times New Roman" w:cs="Times New Roman"/>
          <w:sz w:val="24"/>
          <w:szCs w:val="24"/>
          <w:lang w:val="en-GB" w:eastAsia="da-DK"/>
        </w:rPr>
        <w:instrText>ADDIN CSL_CITATION {"citationItems":[{"id":"ITEM-1","itemData":{"DOI":"10.1136/gutjnl-2019-318742","ISSN":"1468-3288","PMID":"31129569","author":[{"dropping-particle":"","family":"Drewes","given":"Asbjørn Mohr","non-dropping-particle":"","parse-names":false,"suffix":""},{"dropping-particle":"","family":"Kempeneers","given":"Marinus A","non-dropping-particle":"","parse-names":false,"suffix":""},{"dropping-particle":"","family":"Andersen","given":"Dana K","non-dropping-particle":"","parse-names":false,"suffix":""},{"dropping-particle":"","family":"Arendt-Nielsen","given":"Lars","non-dropping-particle":"","parse-names":false,"suffix":""},{"dropping-particle":"","family":"Besselink","given":"Marc G","non-dropping-particle":"","parse-names":false,"suffix":""},{"dropping-particle":"","family":"Boermeester","given":"Marja A","non-dropping-particle":"","parse-names":false,"suffix":""},{"dropping-particle":"","family":"Bouwense","given":"Stefan","non-dropping-particle":"","parse-names":false,"suffix":""},{"dropping-particle":"","family":"Bruno","given":"Marco","non-dropping-particle":"","parse-names":false,"suffix":""},{"dropping-particle":"","family":"Freeman","given":"Martin","non-dropping-particle":"","parse-names":false,"suffix":""},{"dropping-particle":"","family":"Gress","given":"Thomas M","non-dropping-particle":"","parse-names":false,"suffix":""},{"dropping-particle":"","family":"Hooft","given":"Jeanin E","non-dropping-particle":"van","parse-names":false,"suffix":""},{"dropping-particle":"","family":"Morlion","given":"Bart","non-dropping-particle":"","parse-names":false,"suffix":""},{"dropping-particle":"","family":"Olesen","given":"Søren Schou","non-dropping-particle":"","parse-names":false,"suffix":""},{"dropping-particle":"","family":"Santvoort","given":"Hjalmar","non-dropping-particle":"van","parse-names":false,"suffix":""},{"dropping-particle":"","family":"Singh","given":"Vikesh","non-dropping-particle":"","parse-names":false,"suffix":""},{"dropping-particle":"","family":"Windsor","given":"John","non-dropping-particle":"","parse-names":false,"suffix":""}],"container-title":"Gut","id":"ITEM-1","issue":"8","issued":{"date-parts":[["2019","8","25"]]},"page":"1343-1351","title":"Controversies on the endoscopic and surgical management of pain in patients with chronic pancreatitis: pros and cons!","type":"article-journal","volume":"68"},"uris":["http://www.mendeley.com/documents/?uuid=a33ed883-97ff-45f0-881a-b95fb0a58ddc"]}],"mendeley":{"formattedCitation":"[14]","plainTextFormattedCitation":"[14]","previouslyFormattedCitation":"[14]"},"properties":{"noteIndex":0},"schema":"https://github.com/citation-style-language/schema/raw/master/csl-citation.json"}</w:instrText>
      </w:r>
      <w:r w:rsidR="000E5F7B" w:rsidRPr="002013B9">
        <w:rPr>
          <w:rFonts w:ascii="Times New Roman" w:eastAsia="Times New Roman" w:hAnsi="Times New Roman" w:cs="Times New Roman"/>
          <w:sz w:val="24"/>
          <w:szCs w:val="24"/>
          <w:lang w:val="en-GB" w:eastAsia="da-DK"/>
        </w:rPr>
        <w:fldChar w:fldCharType="separate"/>
      </w:r>
      <w:r w:rsidR="000E5F7B" w:rsidRPr="002013B9">
        <w:rPr>
          <w:rFonts w:ascii="Times New Roman" w:eastAsia="Times New Roman" w:hAnsi="Times New Roman" w:cs="Times New Roman"/>
          <w:noProof/>
          <w:sz w:val="24"/>
          <w:szCs w:val="24"/>
          <w:lang w:val="en-GB" w:eastAsia="da-DK"/>
        </w:rPr>
        <w:t>[14]</w:t>
      </w:r>
      <w:r w:rsidR="000E5F7B" w:rsidRPr="002013B9">
        <w:rPr>
          <w:rFonts w:ascii="Times New Roman" w:eastAsia="Times New Roman" w:hAnsi="Times New Roman" w:cs="Times New Roman"/>
          <w:sz w:val="24"/>
          <w:szCs w:val="24"/>
          <w:lang w:val="en-GB" w:eastAsia="da-DK"/>
        </w:rPr>
        <w:fldChar w:fldCharType="end"/>
      </w:r>
      <w:r w:rsidR="000E5F7B" w:rsidRPr="002013B9">
        <w:rPr>
          <w:rFonts w:ascii="Times New Roman" w:eastAsia="Times New Roman" w:hAnsi="Times New Roman" w:cs="Times New Roman"/>
          <w:sz w:val="24"/>
          <w:szCs w:val="24"/>
          <w:lang w:val="en-GB" w:eastAsia="da-DK"/>
        </w:rPr>
        <w:t>.</w:t>
      </w:r>
      <w:r w:rsidR="000E63D8" w:rsidRPr="002013B9">
        <w:rPr>
          <w:rFonts w:ascii="Times New Roman" w:eastAsia="Times New Roman" w:hAnsi="Times New Roman" w:cs="Times New Roman"/>
          <w:sz w:val="24"/>
          <w:szCs w:val="24"/>
          <w:lang w:val="en-GB" w:eastAsia="da-DK"/>
        </w:rPr>
        <w:t xml:space="preserve"> </w:t>
      </w:r>
      <w:r w:rsidR="00B95AB9" w:rsidRPr="002013B9">
        <w:rPr>
          <w:rFonts w:ascii="Times New Roman" w:eastAsia="Times New Roman" w:hAnsi="Times New Roman" w:cs="Times New Roman"/>
          <w:sz w:val="24"/>
          <w:szCs w:val="24"/>
          <w:lang w:val="en-GB" w:eastAsia="da-DK"/>
        </w:rPr>
        <w:t xml:space="preserve">The SCHOKE trial is the </w:t>
      </w:r>
      <w:r w:rsidR="00C00532" w:rsidRPr="002013B9">
        <w:rPr>
          <w:rFonts w:ascii="Times New Roman" w:hAnsi="Times New Roman" w:cs="Times New Roman"/>
          <w:sz w:val="24"/>
          <w:szCs w:val="24"/>
          <w:lang w:val="en-GB"/>
        </w:rPr>
        <w:t>a</w:t>
      </w:r>
      <w:r w:rsidR="00050E39" w:rsidRPr="002013B9">
        <w:rPr>
          <w:rFonts w:ascii="Times New Roman" w:hAnsi="Times New Roman" w:cs="Times New Roman"/>
          <w:sz w:val="24"/>
          <w:szCs w:val="24"/>
          <w:lang w:val="en-GB"/>
        </w:rPr>
        <w:t xml:space="preserve"> randomized </w:t>
      </w:r>
      <w:r w:rsidR="00646ABF" w:rsidRPr="002013B9">
        <w:rPr>
          <w:rFonts w:ascii="Times New Roman" w:hAnsi="Times New Roman" w:cs="Times New Roman"/>
          <w:sz w:val="24"/>
          <w:szCs w:val="24"/>
          <w:lang w:val="en-GB"/>
        </w:rPr>
        <w:t>sham-</w:t>
      </w:r>
      <w:r w:rsidR="00050E39" w:rsidRPr="002013B9">
        <w:rPr>
          <w:rFonts w:ascii="Times New Roman" w:hAnsi="Times New Roman" w:cs="Times New Roman"/>
          <w:sz w:val="24"/>
          <w:szCs w:val="24"/>
          <w:lang w:val="en-GB"/>
        </w:rPr>
        <w:t xml:space="preserve">controlled trial designed to determine </w:t>
      </w:r>
      <w:r w:rsidR="000E5F7B" w:rsidRPr="002013B9">
        <w:rPr>
          <w:rFonts w:ascii="Times New Roman" w:hAnsi="Times New Roman" w:cs="Times New Roman"/>
          <w:sz w:val="24"/>
          <w:szCs w:val="24"/>
          <w:lang w:val="en-GB"/>
        </w:rPr>
        <w:t>if pancreatic duct decompression is an effective approach for obtaining pain relief in patients with CP.</w:t>
      </w:r>
      <w:r w:rsidR="006F516E" w:rsidRPr="002013B9">
        <w:rPr>
          <w:rFonts w:ascii="Times New Roman" w:hAnsi="Times New Roman" w:cs="Times New Roman"/>
          <w:sz w:val="24"/>
          <w:szCs w:val="24"/>
          <w:lang w:val="en-GB"/>
        </w:rPr>
        <w:t xml:space="preserve"> According to current </w:t>
      </w:r>
      <w:r w:rsidR="00773810" w:rsidRPr="002013B9">
        <w:rPr>
          <w:rFonts w:ascii="Times New Roman" w:hAnsi="Times New Roman" w:cs="Times New Roman"/>
          <w:sz w:val="24"/>
          <w:szCs w:val="24"/>
          <w:lang w:val="en-GB"/>
        </w:rPr>
        <w:t>guidelines</w:t>
      </w:r>
      <w:r w:rsidR="00624F41" w:rsidRPr="002013B9">
        <w:rPr>
          <w:rFonts w:ascii="Times New Roman" w:hAnsi="Times New Roman" w:cs="Times New Roman"/>
          <w:sz w:val="24"/>
          <w:szCs w:val="24"/>
          <w:lang w:val="en-GB"/>
        </w:rPr>
        <w:t>,</w:t>
      </w:r>
      <w:r w:rsidR="006F516E" w:rsidRPr="002013B9">
        <w:rPr>
          <w:rFonts w:ascii="Times New Roman" w:hAnsi="Times New Roman" w:cs="Times New Roman"/>
          <w:sz w:val="24"/>
          <w:szCs w:val="24"/>
          <w:lang w:val="en-GB"/>
        </w:rPr>
        <w:t xml:space="preserve"> </w:t>
      </w:r>
      <w:r w:rsidR="00773810" w:rsidRPr="002013B9">
        <w:rPr>
          <w:rFonts w:ascii="Times New Roman" w:hAnsi="Times New Roman" w:cs="Times New Roman"/>
          <w:sz w:val="24"/>
          <w:szCs w:val="24"/>
          <w:lang w:val="en-GB"/>
        </w:rPr>
        <w:t xml:space="preserve">invasive </w:t>
      </w:r>
      <w:r w:rsidR="000168F2" w:rsidRPr="002013B9">
        <w:rPr>
          <w:rFonts w:ascii="Times New Roman" w:hAnsi="Times New Roman" w:cs="Times New Roman"/>
          <w:sz w:val="24"/>
          <w:szCs w:val="24"/>
          <w:lang w:val="en-GB"/>
        </w:rPr>
        <w:t xml:space="preserve">procedures </w:t>
      </w:r>
      <w:r w:rsidR="00D907D6" w:rsidRPr="002013B9">
        <w:rPr>
          <w:rFonts w:ascii="Times New Roman" w:hAnsi="Times New Roman" w:cs="Times New Roman"/>
          <w:sz w:val="24"/>
          <w:szCs w:val="24"/>
          <w:lang w:val="en-GB"/>
        </w:rPr>
        <w:t>are recommended for pain treatment</w:t>
      </w:r>
      <w:r w:rsidR="00775931" w:rsidRPr="002013B9">
        <w:rPr>
          <w:rFonts w:ascii="Times New Roman" w:hAnsi="Times New Roman" w:cs="Times New Roman"/>
          <w:sz w:val="24"/>
          <w:szCs w:val="24"/>
          <w:lang w:val="en-GB"/>
        </w:rPr>
        <w:t xml:space="preserve"> in the context of CP and some practi</w:t>
      </w:r>
      <w:r w:rsidR="00014C82" w:rsidRPr="002013B9">
        <w:rPr>
          <w:rFonts w:ascii="Times New Roman" w:hAnsi="Times New Roman" w:cs="Times New Roman"/>
          <w:sz w:val="24"/>
          <w:szCs w:val="24"/>
          <w:lang w:val="en-GB"/>
        </w:rPr>
        <w:t>ti</w:t>
      </w:r>
      <w:r w:rsidR="00775931" w:rsidRPr="002013B9">
        <w:rPr>
          <w:rFonts w:ascii="Times New Roman" w:hAnsi="Times New Roman" w:cs="Times New Roman"/>
          <w:sz w:val="24"/>
          <w:szCs w:val="24"/>
          <w:lang w:val="en-GB"/>
        </w:rPr>
        <w:t>oners even advocate for surgical treatment</w:t>
      </w:r>
      <w:r w:rsidR="00D77152" w:rsidRPr="002013B9">
        <w:rPr>
          <w:rFonts w:ascii="Times New Roman" w:hAnsi="Times New Roman" w:cs="Times New Roman"/>
          <w:sz w:val="24"/>
          <w:szCs w:val="24"/>
          <w:lang w:val="en-GB"/>
        </w:rPr>
        <w:t xml:space="preserve"> </w:t>
      </w:r>
      <w:r w:rsidR="000B31FE" w:rsidRPr="002013B9">
        <w:rPr>
          <w:rFonts w:ascii="Times New Roman" w:hAnsi="Times New Roman" w:cs="Times New Roman"/>
          <w:sz w:val="24"/>
          <w:szCs w:val="24"/>
          <w:lang w:val="en-GB"/>
        </w:rPr>
        <w:t>in the early phase of CP</w:t>
      </w:r>
      <w:r w:rsidR="00D77152" w:rsidRPr="002013B9">
        <w:rPr>
          <w:rFonts w:ascii="Times New Roman" w:hAnsi="Times New Roman" w:cs="Times New Roman"/>
          <w:sz w:val="24"/>
          <w:szCs w:val="24"/>
          <w:lang w:val="en-GB"/>
        </w:rPr>
        <w:t xml:space="preserve">  </w:t>
      </w:r>
      <w:r w:rsidR="00C44A84" w:rsidRPr="002013B9">
        <w:rPr>
          <w:rFonts w:ascii="Times New Roman" w:hAnsi="Times New Roman" w:cs="Times New Roman"/>
          <w:sz w:val="24"/>
          <w:szCs w:val="24"/>
          <w:lang w:val="en-GB"/>
        </w:rPr>
        <w:fldChar w:fldCharType="begin" w:fldLock="1"/>
      </w:r>
      <w:r w:rsidR="004D0981">
        <w:rPr>
          <w:rFonts w:ascii="Times New Roman" w:hAnsi="Times New Roman" w:cs="Times New Roman"/>
          <w:sz w:val="24"/>
          <w:szCs w:val="24"/>
          <w:lang w:val="en-GB"/>
        </w:rPr>
        <w:instrText>ADDIN CSL_CITATION {"citationItems":[{"id":"ITEM-1","itemData":{"DOI":"10.1055/a-0822-0832","ISSN":"1438-8812","PMID":"30654394","abstract":"ESGE suggests endoscopic therapy and/or extracorporeal shockwave lithotripsy (ESWL) as the first-line therapy for painful uncomplicated chronic pancreatitis (CP) with an obstructed main pancreatic duct (MPD) in the head/body of the pancreas. The clinical response should be evaluated at 6 - 8 weeks; if it appears unsatisfactory, the patient's case should be discussed again in a multidisciplinary team and surgical options should be considered.Weak recommendation, low quality evidence.ESGE suggests, for the selection of patients for initial or continued endoscopic therapy and/or ESWL, taking into consideration predictive factors associated with a good long-term outcome. These include, at initial work-up, absence of MPD stricture, a short disease duration, non-severe pain, absence or cessation of cigarette smoking and of alcohol intake, and, after initial treatment, complete removal of obstructive pancreatic stones and resolution of pancreatic duct stricture with stenting.Weak recommendation, low quality evidence.ESGE recommends ESWL for the clearance of radiopaque obstructive MPD stones larger than 5 mm located in the head/body of the pancreas and endoscopic retrograde cholangiopancreatography (ERCP) for MPD stones that are radiolucent or smaller than 5 mm. Strong recommendation, moderate quality evidence.ESGE suggests restricting the use of endoscopic therapy after ESWL to patients with no spontaneous clearance of pancreatic stones after adequate fragmentation by ESWL.Weak recommendation, moderate quality evidence.ESGE suggests treating painful dominant MPD strictures with a single 10-Fr plastic stent for one uninterrupted year if symptoms improve after initial successful MPD drainage. The stent should be exchanged if necessary, based on symptoms or signs of stent dysfunction at regular pancreas imaging at least every 6 months. ESGE suggests consideration of surgery or multiple side-by-side plastic stents for symptomatic MPD strictures persisting beyond 1 year after the initial single plastic stenting, following multidisciplinary discussion. Weak recommendation, low quality evidence.ESGE recommends endoscopic drainage over percutaneous or surgical treatment for uncomplicated chronic pancreatitis (CP)-related pseudocysts that are within endoscopic reach.Strong recommendation, moderate quality evidence.ESGE recommends retrieval of transmural plastic stents at least 6 weeks after pancreatic pseudocyst regression if MPD disruption has been excluded, and long-…","author":[{"dropping-particle":"","family":"Dumonceau","given":"Jean-Marc","non-dropping-particle":"","parse-names":false,"suffix":""},{"dropping-particle":"","family":"Delhaye","given":"Myriam","non-dropping-particle":"","parse-names":false,"suffix":""},{"dropping-particle":"","family":"Tringali","given":"Andrea","non-dropping-particle":"","parse-names":false,"suffix":""},{"dropping-particle":"","family":"Arvanitakis","given":"Marianna","non-dropping-particle":"","parse-names":false,"suffix":""},{"dropping-particle":"","family":"Sanchez-Yague","given":"Andres","non-dropping-particle":"","parse-names":false,"suffix":""},{"dropping-particle":"","family":"Vaysse","given":"Thierry","non-dropping-particle":"","parse-names":false,"suffix":""},{"dropping-particle":"","family":"Aithal","given":"Guruprasad P","non-dropping-particle":"","parse-names":false,"suffix":""},{"dropping-particle":"","family":"Anderloni","given":"Andrea","non-dropping-particle":"","parse-names":false,"suffix":""},{"dropping-particle":"","family":"Bruno","given":"Marco","non-dropping-particle":"","parse-names":false,"suffix":""},{"dropping-particle":"","family":"Cantú","given":"Paolo","non-dropping-particle":"","parse-names":false,"suffix":""},{"dropping-particle":"","family":"Devière","given":"Jacques","non-dropping-particle":"","parse-names":false,"suffix":""},{"dropping-particle":"","family":"Domínguez-Muñoz","given":"Juan Enrique","non-dropping-particle":"","parse-names":false,"suffix":""},{"dropping-particle":"","family":"Lekkerkerker","given":"Selma","non-dropping-particle":"","parse-names":false,"suffix":""},{"dropping-particle":"","family":"Poley","given":"Jan-Werner","non-dropping-particle":"","parse-names":false,"suffix":""},{"dropping-particle":"","family":"Ramchandani","given":"Mohan","non-dropping-particle":"","parse-names":false,"suffix":""},{"dropping-particle":"","family":"Reddy","given":"Nageshwar","non-dropping-particle":"","parse-names":false,"suffix":""},{"dropping-particle":"","family":"Hooft","given":"Jeanin E","non-dropping-particle":"van","parse-names":false,"suffix":""}],"container-title":"Endoscopy","id":"ITEM-1","issue":"2","issued":{"date-parts":[["2019","2"]]},"page":"179-193","title":"Endoscopic treatment of chronic pancreatitis: European Society of Gastrointestinal Endoscopy (ESGE) Guideline - Updated August 2018.","type":"article-journal","volume":"51"},"uris":["http://www.mendeley.com/documents/?uuid=abc34306-5e85-4d07-8188-030ddf33030d"]},{"id":"ITEM-2","itemData":{"DOI":"10.1016/j.pan.2017.07.006","ISSN":"14243903","abstract":"© 2017 IAP and EPC Abdominal pain is the foremost complication of chronic pancreatitis (CP). Pain can be related to recurrent or chronic inflammation, local complications or neurogenic mechanisms with corresponding changes in the nervous systems. Both pain intensity and the frequency of pain attacks have been shown to reduce quality of life in patients with CP. Assessment of pain follows the guidelines for other types of chronic pain, where the multidimensional nature of symptom presentation is taken into consideration. Quantitative sensory testing may be used to characterize pain, but is currently used in a research setting in advanced laboratories. For pain relief, current guidelines recommend a simple stepwise escalation of analgesic drugs with increasing potency until pain relief is obtained. Abstinence from alcohol and smoking should be strongly advised. Pancreatic enzyme therapy and antioxidants may be helpful as initial treatment. Endoscopic treatment can be used in patients with evidence of ductal obstruction and may be combined with extracorporeal shock wave lithothripsy. The best candidates are those with distal obstruction of the main pancreatic duct and in early stage of disease. Behavioral interventions should be part of the multidisciplinary approach to chronic pain management particularly when psychological impact is experienced. Surgery should be considered ea rly and after a maximum of five endoscopic interventions. The type of surgery depends on morphological changes of the pancreas. Long-term effects are variable, but high success rates have been reported in open studies and when compared with endoscopic treatment. Finally, neurolytical interventions and neuromodulation can be considered in difficult patients.","author":[{"dropping-particle":"","family":"Drewes","given":"Asbjørn M.","non-dropping-particle":"","parse-names":false,"suffix":""},{"dropping-particle":"","family":"Bouwense","given":"Stefan A.W.","non-dropping-particle":"","parse-names":false,"suffix":""},{"dropping-particle":"","family":"Campbell","given":"Claudia M.","non-dropping-particle":"","parse-names":false,"suffix":""},{"dropping-particle":"","family":"Ceyhan","given":"Güralp O.","non-dropping-particle":"","parse-names":false,"suffix":""},{"dropping-particle":"","family":"Delhaye","given":"Myriam","non-dropping-particle":"","parse-names":false,"suffix":""},{"dropping-particle":"","family":"Demir","given":"Ihsan Ekin","non-dropping-particle":"","parse-names":false,"suffix":""},{"dropping-particle":"","family":"Garg","given":"Pramod K.","non-dropping-particle":"","parse-names":false,"suffix":""},{"dropping-particle":"","family":"Goor","given":"Harry","non-dropping-particle":"van","parse-names":false,"suffix":""},{"dropping-particle":"","family":"Halloran","given":"Christopher","non-dropping-particle":"","parse-names":false,"suffix":""},{"dropping-particle":"","family":"Isaji","given":"Shuiji","non-dropping-particle":"","parse-names":false,"suffix":""},{"dropping-particle":"","family":"Neoptolemos","given":"John P.","non-dropping-particle":"","parse-names":false,"suffix":""},{"dropping-particle":"","family":"Olesen","given":"Søren S.","non-dropping-particle":"","parse-names":false,"suffix":""},{"dropping-particle":"","family":"Palermo","given":"Tonya","non-dropping-particle":"","parse-names":false,"suffix":""},{"dropping-particle":"","family":"Pasricha","given":"Pankaj Jay","non-dropping-particle":"","parse-names":false,"suffix":""},{"dropping-particle":"","family":"Sheel","given":"Andrea","non-dropping-particle":"","parse-names":false,"suffix":""},{"dropping-particle":"","family":"Shimosegawa","given":"Tooru","non-dropping-particle":"","parse-names":false,"suffix":""},{"dropping-particle":"","family":"Szigethy","given":"Eva","non-dropping-particle":"","parse-names":false,"suffix":""},{"dropping-particle":"","family":"Whitcomb","given":"David C.","non-dropping-particle":"","parse-names":false,"suffix":""},{"dropping-particle":"","family":"Yadav","given":"Dhiraj","non-dropping-particle":"","parse-names":false,"suffix":""}],"container-title":"Pancreatology","id":"ITEM-2","issue":"5","issued":{"date-parts":[["2017","9"]]},"page":"720-731","title":"Guidelines for the understanding and management of pain in chronic pancreatitis","type":"article-journal","volume":"17"},"uris":["http://www.mendeley.com/documents/?uuid=2d60a414-0a31-3969-8857-3246e9fc708a"]},{"id":"ITEM-3","itemData":{"DOI":"10.1186/1471-230X-13-49","ISSN":"1471-230X","PMID":"23506415","abstract":"BACKGROUND: In current practice, patients with chronic pancreatitis undergo surgical intervention in a late stage of the disease, when conservative treatment and endoscopic interventions have failed. Recent evidence suggests that surgical intervention early on in the disease benefits patients in terms of better pain control and preservation of pancreatic function. Therefore, we designed a randomized controlled trial to evaluate the benefits, risks and costs of early surgical intervention compared to the current stepwise practice for chronic pancreatitis.\n\nMETHODS/DESIGN: The ESCAPE trial is a randomized controlled, parallel, superiority multicenter trial. Patients with chronic pancreatitis, a dilated pancreatic duct (≥5 mm) and moderate pain and/or frequent flare-ups will be registered and followed monthly as potential candidates for the trial. When a registered patient meets the randomization criteria (i.e. need for opioid analgesics) the patient will be randomized to either early surgical intervention (group A) or optimal current step-up practice (group B). An expert panel of chronic pancreatitis specialists will oversee the assessment of eligibility and ensure that allocation to either treatment arm is possible. Patients in group A will undergo pancreaticojejunostomy or a Frey-procedure in case of an enlarged pancreatic head (≥4 cm). Patients in group B will undergo a step-up practice of optimal medical treatment, if needed followed by endoscopic interventions, and if needed followed by surgery, according to predefined criteria. Primary outcome is pain assessed with the Izbicki pain score during a follow-up of 18 months. Secondary outcomes include complications, mortality, total direct and indirect costs, quality of life, pancreatic insufficiency, alternative pain scales, length of hospital admission, number of interventions and pancreatitis flare-ups. For the sample size calculation we defined a minimal clinically relevant difference in the primary endpoint as a difference of at least 15 points on the Izbicki pain score during follow-up. To detect this difference a total of 88 patients will be randomized (alpha 0.05, power 90%, drop-out 10%).\n\nDISCUSSION: The ESCAPE trial will investigate whether early surgery in chronic pancreatitis is beneficial in terms of pain relief, pancreatic function and quality of life, compared with current step-up practice.\n\nTRIAL REGISTRATION: ISRCTN: ISRCTN45877994.","author":[{"dropping-particle":"","family":"Ahmed Ali","given":"Usama","non-dropping-particle":"","parse-names":false,"suffix":""},{"dropping-particle":"","family":"Issa","given":"Yama","non-dropping-particle":"","parse-names":false,"suffix":""},{"dropping-particle":"","family":"Bruno","given":"Marco J","non-dropping-particle":"","parse-names":false,"suffix":""},{"dropping-particle":"","family":"Goor","given":"Harry","non-dropping-particle":"van","parse-names":false,"suffix":""},{"dropping-particle":"","family":"Santvoort","given":"Hjalmar","non-dropping-particle":"van","parse-names":false,"suffix":""},{"dropping-particle":"","family":"Busch","given":"Olivier R C","non-dropping-particle":"","parse-names":false,"suffix":""},{"dropping-particle":"","family":"Dejong","given":"Cornelis H C","non-dropping-particle":"","parse-names":false,"suffix":""},{"dropping-particle":"","family":"Nieuwenhuijs","given":"Vincent B","non-dropping-particle":"","parse-names":false,"suffix":""},{"dropping-particle":"","family":"Eijck","given":"Casper H","non-dropping-particle":"van","parse-names":false,"suffix":""},{"dropping-particle":"","family":"Dullemen","given":"Hendrik M","non-dropping-particle":"van","parse-names":false,"suffix":""},{"dropping-particle":"","family":"Fockens","given":"Paul","non-dropping-particle":"","parse-names":false,"suffix":""},{"dropping-particle":"","family":"Siersema","given":"Peter D","non-dropping-particle":"","parse-names":false,"suffix":""},{"dropping-particle":"","family":"Gouma","given":"Dirk J","non-dropping-particle":"","parse-names":false,"suffix":""},{"dropping-particle":"","family":"Hooft","given":"Jeanin E","non-dropping-particle":"van","parse-names":false,"suffix":""},{"dropping-particle":"","family":"Keulemans","given":"Yolande","non-dropping-particle":"","parse-names":false,"suffix":""},{"dropping-particle":"","family":"Poley","given":"Jan W","non-dropping-particle":"","parse-names":false,"suffix":""},{"dropping-particle":"","family":"Timmer","given":"Robin","non-dropping-particle":"","parse-names":false,"suffix":""},{"dropping-particle":"","family":"Besselink","given":"Marc G","non-dropping-particle":"","parse-names":false,"suffix":""},{"dropping-particle":"","family":"Vleggaar","given":"Frank P","non-dropping-particle":"","parse-names":false,"suffix":""},{"dropping-particle":"","family":"Wilder-Smith","given":"Oliver H","non-dropping-particle":"","parse-names":false,"suffix":""},{"dropping-particle":"","family":"Gooszen","given":"Hein G","non-dropping-particle":"","parse-names":false,"suffix":""},{"dropping-particle":"","family":"Dijkgraaf","given":"Marcel G W","non-dropping-particle":"","parse-names":false,"suffix":""},{"dropping-particle":"","family":"Boermeester","given":"Marja a","non-dropping-particle":"","parse-names":false,"suffix":""}],"container-title":"BMC gastroenterology","id":"ITEM-3","issue":"February","issued":{"date-parts":[["2013","1"]]},"page":"49","title":"Early surgery versus optimal current step-up practice for chronic pancreatitis (ESCAPE): design and rationale of a randomized trial.","type":"article-journal","volume":"13"},"uris":["http://www.mendeley.com/documents/?uuid=e7ca1942-e7c6-42b5-95b1-9084610f3927"]}],"mendeley":{"formattedCitation":"[40–42]","plainTextFormattedCitation":"[40–42]","previouslyFormattedCitation":"[39–41]"},"properties":{"noteIndex":0},"schema":"https://github.com/citation-style-language/schema/raw/master/csl-citation.json"}</w:instrText>
      </w:r>
      <w:r w:rsidR="00C44A84" w:rsidRPr="002013B9">
        <w:rPr>
          <w:rFonts w:ascii="Times New Roman" w:hAnsi="Times New Roman" w:cs="Times New Roman"/>
          <w:sz w:val="24"/>
          <w:szCs w:val="24"/>
          <w:lang w:val="en-GB"/>
        </w:rPr>
        <w:fldChar w:fldCharType="separate"/>
      </w:r>
      <w:r w:rsidR="004D0981" w:rsidRPr="004D0981">
        <w:rPr>
          <w:rFonts w:ascii="Times New Roman" w:hAnsi="Times New Roman" w:cs="Times New Roman"/>
          <w:noProof/>
          <w:sz w:val="24"/>
          <w:szCs w:val="24"/>
          <w:lang w:val="en-GB"/>
        </w:rPr>
        <w:t>[40–42]</w:t>
      </w:r>
      <w:r w:rsidR="00C44A84" w:rsidRPr="002013B9">
        <w:rPr>
          <w:rFonts w:ascii="Times New Roman" w:hAnsi="Times New Roman" w:cs="Times New Roman"/>
          <w:sz w:val="24"/>
          <w:szCs w:val="24"/>
          <w:lang w:val="en-GB"/>
        </w:rPr>
        <w:fldChar w:fldCharType="end"/>
      </w:r>
      <w:r w:rsidR="00014C82" w:rsidRPr="002013B9">
        <w:rPr>
          <w:rFonts w:ascii="Times New Roman" w:hAnsi="Times New Roman" w:cs="Times New Roman"/>
          <w:sz w:val="24"/>
          <w:szCs w:val="24"/>
          <w:lang w:val="en-GB"/>
        </w:rPr>
        <w:t>. However, neither surgery or endoscopic therapy have been</w:t>
      </w:r>
      <w:r w:rsidR="00775931" w:rsidRPr="002013B9">
        <w:rPr>
          <w:rFonts w:ascii="Times New Roman" w:hAnsi="Times New Roman" w:cs="Times New Roman"/>
          <w:sz w:val="24"/>
          <w:szCs w:val="24"/>
          <w:lang w:val="en-GB"/>
        </w:rPr>
        <w:t xml:space="preserve"> </w:t>
      </w:r>
      <w:r w:rsidR="00014C82" w:rsidRPr="002013B9">
        <w:rPr>
          <w:rFonts w:ascii="Times New Roman" w:hAnsi="Times New Roman" w:cs="Times New Roman"/>
          <w:sz w:val="24"/>
          <w:szCs w:val="24"/>
          <w:lang w:val="en-GB"/>
        </w:rPr>
        <w:t>thoroughly evaluated</w:t>
      </w:r>
      <w:r w:rsidR="00775931" w:rsidRPr="002013B9">
        <w:rPr>
          <w:rFonts w:ascii="Times New Roman" w:hAnsi="Times New Roman" w:cs="Times New Roman"/>
          <w:sz w:val="24"/>
          <w:szCs w:val="24"/>
          <w:lang w:val="en-GB"/>
        </w:rPr>
        <w:t xml:space="preserve"> in </w:t>
      </w:r>
      <w:r w:rsidR="00014C82" w:rsidRPr="002013B9">
        <w:rPr>
          <w:rFonts w:ascii="Times New Roman" w:hAnsi="Times New Roman" w:cs="Times New Roman"/>
          <w:sz w:val="24"/>
          <w:szCs w:val="24"/>
          <w:lang w:val="en-GB"/>
        </w:rPr>
        <w:t xml:space="preserve">sham </w:t>
      </w:r>
      <w:r w:rsidR="00775931" w:rsidRPr="002013B9">
        <w:rPr>
          <w:rFonts w:ascii="Times New Roman" w:hAnsi="Times New Roman" w:cs="Times New Roman"/>
          <w:sz w:val="24"/>
          <w:szCs w:val="24"/>
          <w:lang w:val="en-GB"/>
        </w:rPr>
        <w:t>controlled trials</w:t>
      </w:r>
      <w:r w:rsidR="00C44A84" w:rsidRPr="002013B9">
        <w:rPr>
          <w:rFonts w:ascii="Times New Roman" w:hAnsi="Times New Roman" w:cs="Times New Roman"/>
          <w:sz w:val="24"/>
          <w:szCs w:val="24"/>
          <w:lang w:val="en-GB"/>
        </w:rPr>
        <w:t xml:space="preserve"> </w:t>
      </w:r>
      <w:r w:rsidR="00C44A84" w:rsidRPr="002013B9">
        <w:rPr>
          <w:rFonts w:ascii="Times New Roman" w:hAnsi="Times New Roman" w:cs="Times New Roman"/>
          <w:sz w:val="24"/>
          <w:szCs w:val="24"/>
          <w:lang w:val="en-GB"/>
        </w:rPr>
        <w:fldChar w:fldCharType="begin" w:fldLock="1"/>
      </w:r>
      <w:r w:rsidR="009A3A25" w:rsidRPr="002013B9">
        <w:rPr>
          <w:rFonts w:ascii="Times New Roman" w:hAnsi="Times New Roman" w:cs="Times New Roman"/>
          <w:sz w:val="24"/>
          <w:szCs w:val="24"/>
          <w:lang w:val="en-GB"/>
        </w:rPr>
        <w:instrText>ADDIN CSL_CITATION {"citationItems":[{"id":"ITEM-1","itemData":{"DOI":"10.1136/gutjnl-2019-318742","ISSN":"1468-3288","PMID":"31129569","author":[{"dropping-particle":"","family":"Drewes","given":"Asbjørn Mohr","non-dropping-particle":"","parse-names":false,"suffix":""},{"dropping-particle":"","family":"Kempeneers","given":"Marinus A","non-dropping-particle":"","parse-names":false,"suffix":""},{"dropping-particle":"","family":"Andersen","given":"Dana K","non-dropping-particle":"","parse-names":false,"suffix":""},{"dropping-particle":"","family":"Arendt-Nielsen","given":"Lars","non-dropping-particle":"","parse-names":false,"suffix":""},{"dropping-particle":"","family":"Besselink","given":"Marc G","non-dropping-particle":"","parse-names":false,"suffix":""},{"dropping-particle":"","family":"Boermeester","given":"Marja A","non-dropping-particle":"","parse-names":false,"suffix":""},{"dropping-particle":"","family":"Bouwense","given":"Stefan","non-dropping-particle":"","parse-names":false,"suffix":""},{"dropping-particle":"","family":"Bruno","given":"Marco","non-dropping-particle":"","parse-names":false,"suffix":""},{"dropping-particle":"","family":"Freeman","given":"Martin","non-dropping-particle":"","parse-names":false,"suffix":""},{"dropping-particle":"","family":"Gress","given":"Thomas M","non-dropping-particle":"","parse-names":false,"suffix":""},{"dropping-particle":"","family":"Hooft","given":"Jeanin E","non-dropping-particle":"van","parse-names":false,"suffix":""},{"dropping-particle":"","family":"Morlion","given":"Bart","non-dropping-particle":"","parse-names":false,"suffix":""},{"dropping-particle":"","family":"Olesen","given":"Søren Schou","non-dropping-particle":"","parse-names":false,"suffix":""},{"dropping-particle":"","family":"Santvoort","given":"Hjalmar","non-dropping-particle":"van","parse-names":false,"suffix":""},{"dropping-particle":"","family":"Singh","given":"Vikesh","non-dropping-particle":"","parse-names":false,"suffix":""},{"dropping-particle":"","family":"Windsor","given":"John","non-dropping-particle":"","parse-names":false,"suffix":""}],"container-title":"Gut","id":"ITEM-1","issue":"8","issued":{"date-parts":[["2019","8","25"]]},"page":"1343-1351","title":"Controversies on the endoscopic and surgical management of pain in patients with chronic pancreatitis: pros and cons!","type":"article-journal","volume":"68"},"uris":["http://www.mendeley.com/documents/?uuid=a33ed883-97ff-45f0-881a-b95fb0a58ddc"]}],"mendeley":{"formattedCitation":"[14]","plainTextFormattedCitation":"[14]","previouslyFormattedCitation":"[14]"},"properties":{"noteIndex":0},"schema":"https://github.com/citation-style-language/schema/raw/master/csl-citation.json"}</w:instrText>
      </w:r>
      <w:r w:rsidR="00C44A84" w:rsidRPr="002013B9">
        <w:rPr>
          <w:rFonts w:ascii="Times New Roman" w:hAnsi="Times New Roman" w:cs="Times New Roman"/>
          <w:sz w:val="24"/>
          <w:szCs w:val="24"/>
          <w:lang w:val="en-GB"/>
        </w:rPr>
        <w:fldChar w:fldCharType="separate"/>
      </w:r>
      <w:r w:rsidR="00C44A84" w:rsidRPr="002013B9">
        <w:rPr>
          <w:rFonts w:ascii="Times New Roman" w:hAnsi="Times New Roman" w:cs="Times New Roman"/>
          <w:noProof/>
          <w:sz w:val="24"/>
          <w:szCs w:val="24"/>
          <w:lang w:val="en-GB"/>
        </w:rPr>
        <w:t>[14]</w:t>
      </w:r>
      <w:r w:rsidR="00C44A84" w:rsidRPr="002013B9">
        <w:rPr>
          <w:rFonts w:ascii="Times New Roman" w:hAnsi="Times New Roman" w:cs="Times New Roman"/>
          <w:sz w:val="24"/>
          <w:szCs w:val="24"/>
          <w:lang w:val="en-GB"/>
        </w:rPr>
        <w:fldChar w:fldCharType="end"/>
      </w:r>
      <w:r w:rsidR="00775931" w:rsidRPr="002013B9">
        <w:rPr>
          <w:rFonts w:ascii="Times New Roman" w:hAnsi="Times New Roman" w:cs="Times New Roman"/>
          <w:sz w:val="24"/>
          <w:szCs w:val="24"/>
          <w:lang w:val="en-GB"/>
        </w:rPr>
        <w:t xml:space="preserve">. The </w:t>
      </w:r>
      <w:r w:rsidR="00014C82" w:rsidRPr="002013B9">
        <w:rPr>
          <w:rFonts w:ascii="Times New Roman" w:hAnsi="Times New Roman" w:cs="Times New Roman"/>
          <w:sz w:val="24"/>
          <w:szCs w:val="24"/>
          <w:lang w:val="en-GB"/>
        </w:rPr>
        <w:t>present</w:t>
      </w:r>
      <w:r w:rsidR="00775931" w:rsidRPr="002013B9">
        <w:rPr>
          <w:rFonts w:ascii="Times New Roman" w:hAnsi="Times New Roman" w:cs="Times New Roman"/>
          <w:sz w:val="24"/>
          <w:szCs w:val="24"/>
          <w:lang w:val="en-GB"/>
        </w:rPr>
        <w:t xml:space="preserve"> study will</w:t>
      </w:r>
      <w:r w:rsidR="00014C82" w:rsidRPr="002013B9">
        <w:rPr>
          <w:rFonts w:ascii="Times New Roman" w:hAnsi="Times New Roman" w:cs="Times New Roman"/>
          <w:sz w:val="24"/>
          <w:szCs w:val="24"/>
          <w:lang w:val="en-GB"/>
        </w:rPr>
        <w:t>, for the first time,</w:t>
      </w:r>
      <w:r w:rsidR="00775931" w:rsidRPr="002013B9">
        <w:rPr>
          <w:rFonts w:ascii="Times New Roman" w:hAnsi="Times New Roman" w:cs="Times New Roman"/>
          <w:sz w:val="24"/>
          <w:szCs w:val="24"/>
          <w:lang w:val="en-GB"/>
        </w:rPr>
        <w:t xml:space="preserve"> provide</w:t>
      </w:r>
      <w:r w:rsidR="00014C82" w:rsidRPr="002013B9">
        <w:rPr>
          <w:rFonts w:ascii="Times New Roman" w:hAnsi="Times New Roman" w:cs="Times New Roman"/>
          <w:sz w:val="24"/>
          <w:szCs w:val="24"/>
          <w:lang w:val="en-GB"/>
        </w:rPr>
        <w:t xml:space="preserve"> sham controlled</w:t>
      </w:r>
      <w:r w:rsidR="00775931" w:rsidRPr="002013B9">
        <w:rPr>
          <w:rFonts w:ascii="Times New Roman" w:hAnsi="Times New Roman" w:cs="Times New Roman"/>
          <w:sz w:val="24"/>
          <w:szCs w:val="24"/>
          <w:lang w:val="en-GB"/>
        </w:rPr>
        <w:t xml:space="preserve"> </w:t>
      </w:r>
      <w:r w:rsidR="00014C82" w:rsidRPr="002013B9">
        <w:rPr>
          <w:rFonts w:ascii="Times New Roman" w:hAnsi="Times New Roman" w:cs="Times New Roman"/>
          <w:sz w:val="24"/>
          <w:szCs w:val="24"/>
          <w:lang w:val="en-GB"/>
        </w:rPr>
        <w:t>evidence for the effectiveness of pancreatic duct decompression as a remedy to relieve pain in CP.</w:t>
      </w:r>
    </w:p>
    <w:p w14:paraId="0F042F79" w14:textId="453347B8" w:rsidR="00F16B20" w:rsidRPr="002013B9" w:rsidRDefault="00AE7FAE" w:rsidP="00684061">
      <w:pPr>
        <w:spacing w:line="480" w:lineRule="auto"/>
        <w:ind w:firstLine="567"/>
        <w:contextualSpacing/>
        <w:jc w:val="both"/>
        <w:rPr>
          <w:rFonts w:ascii="Times New Roman" w:hAnsi="Times New Roman" w:cs="Times New Roman"/>
          <w:sz w:val="24"/>
          <w:szCs w:val="24"/>
          <w:lang w:val="en-GB"/>
        </w:rPr>
      </w:pPr>
      <w:r w:rsidRPr="002013B9">
        <w:rPr>
          <w:rFonts w:ascii="Times New Roman" w:hAnsi="Times New Roman" w:cs="Times New Roman"/>
          <w:sz w:val="24"/>
          <w:szCs w:val="24"/>
          <w:lang w:val="en-GB"/>
        </w:rPr>
        <w:t xml:space="preserve">The mechanisms </w:t>
      </w:r>
      <w:r w:rsidR="00775931" w:rsidRPr="002013B9">
        <w:rPr>
          <w:rFonts w:ascii="Times New Roman" w:hAnsi="Times New Roman" w:cs="Times New Roman"/>
          <w:sz w:val="24"/>
          <w:szCs w:val="24"/>
          <w:lang w:val="en-GB"/>
        </w:rPr>
        <w:t>responsible</w:t>
      </w:r>
      <w:r w:rsidRPr="002013B9">
        <w:rPr>
          <w:rFonts w:ascii="Times New Roman" w:hAnsi="Times New Roman" w:cs="Times New Roman"/>
          <w:sz w:val="24"/>
          <w:szCs w:val="24"/>
          <w:lang w:val="en-GB"/>
        </w:rPr>
        <w:t xml:space="preserve"> for pain in patients with CP are multifactorial and thus it is to be expected that no treatment can effectively relieve pain in all patients</w:t>
      </w:r>
      <w:r w:rsidR="00064683" w:rsidRPr="002013B9">
        <w:rPr>
          <w:rFonts w:ascii="Times New Roman" w:hAnsi="Times New Roman" w:cs="Times New Roman"/>
          <w:sz w:val="24"/>
          <w:szCs w:val="24"/>
          <w:lang w:val="en-GB"/>
        </w:rPr>
        <w:t xml:space="preserve"> </w:t>
      </w:r>
      <w:r w:rsidR="00064683" w:rsidRPr="002013B9">
        <w:rPr>
          <w:rFonts w:ascii="Times New Roman" w:hAnsi="Times New Roman" w:cs="Times New Roman"/>
          <w:sz w:val="24"/>
          <w:szCs w:val="24"/>
          <w:lang w:val="en-GB"/>
        </w:rPr>
        <w:fldChar w:fldCharType="begin" w:fldLock="1"/>
      </w:r>
      <w:r w:rsidR="004D0981">
        <w:rPr>
          <w:rFonts w:ascii="Times New Roman" w:hAnsi="Times New Roman" w:cs="Times New Roman"/>
          <w:sz w:val="24"/>
          <w:szCs w:val="24"/>
          <w:lang w:val="en-GB"/>
        </w:rPr>
        <w:instrText>ADDIN CSL_CITATION {"citationItems":[{"id":"ITEM-1","itemData":{"DOI":"10.1097/PR9.0000000000000625","ISSN":"2471-2531","PMID":"29392239","abstract":"Introduction Chronic pancreatitis (CP) is a disease characterized by inflammation of the pancreas resulting in replacement of the normal functioning parenchyma by fibrotic connective tissue. This process leads to progressively impairment of exocrine and endocrine function and many patients develop a chronic pain syndrome. Objectives We aimed to characterize the neurobiological signature of pain associated with CP and to discuss its implications for treatment strategies. Methods Relevant basic and clinical articles were selected for review following an extensive search of the literature. Results Pathophysiological changes in the peripheral (pancreatic gland) and central nervous system characterize the pain syndrome associated with CP; involved mechanisms can be broken down to 3 main branches: (1) peripheral sensitization, (2) pancreatic neuropathy, and (3) neuroplastic changes in the central pain pathways. Disease flares (recurrent pancreatitis) may accelerate the pathophysiological process and further sensitize the pain system, which ultimately results in an autonomous and self-perpetuating pain state that may become independent of the peripheral nociceptive drive. These findings share many similarities with those observed in neuropathic pain disorders and have important implications for treatment; adjuvant analgesics are effective in a subset of patients, and neuromodulation and neuropsychological interventions may prove useful in the future. Conclusion Chronic pancreatitis is associated with abnormal processing of pain at the peripheral and central level of the pain system. This neurobiological understanding of pain has important clinical implications for treatment and prevention of pain chronification.","author":[{"dropping-particle":"","family":"Olesen","given":"Søren S","non-dropping-particle":"","parse-names":false,"suffix":""},{"dropping-particle":"","family":"Krauss","given":"Theresa","non-dropping-particle":"","parse-names":false,"suffix":""},{"dropping-particle":"","family":"Demir","given":"Ihsan Ekin","non-dropping-particle":"","parse-names":false,"suffix":""},{"dropping-particle":"","family":"Wilder-Smith","given":"Oliver H","non-dropping-particle":"","parse-names":false,"suffix":""},{"dropping-particle":"","family":"Ceyhan","given":"Güralp O","non-dropping-particle":"","parse-names":false,"suffix":""},{"dropping-particle":"","family":"Pasricha","given":"Pankaj J","non-dropping-particle":"","parse-names":false,"suffix":""},{"dropping-particle":"","family":"Drewes","given":"Asbjørn M","non-dropping-particle":"","parse-names":false,"suffix":""}],"container-title":"Pain reports","id":"ITEM-1","issue":"6","issued":{"date-parts":[["2017","11"]]},"page":"e625","title":"Towards a neurobiological understanding of pain in chronic pancreatitis: mechanisms and implications for treatment.","type":"article-journal","volume":"2"},"uris":["http://www.mendeley.com/documents/?uuid=10c05eaa-5654-4fe0-8d92-821e23522b5e"]}],"mendeley":{"formattedCitation":"[43]","plainTextFormattedCitation":"[43]","previouslyFormattedCitation":"[42]"},"properties":{"noteIndex":0},"schema":"https://github.com/citation-style-language/schema/raw/master/csl-citation.json"}</w:instrText>
      </w:r>
      <w:r w:rsidR="00064683" w:rsidRPr="002013B9">
        <w:rPr>
          <w:rFonts w:ascii="Times New Roman" w:hAnsi="Times New Roman" w:cs="Times New Roman"/>
          <w:sz w:val="24"/>
          <w:szCs w:val="24"/>
          <w:lang w:val="en-GB"/>
        </w:rPr>
        <w:fldChar w:fldCharType="separate"/>
      </w:r>
      <w:r w:rsidR="004D0981" w:rsidRPr="004D0981">
        <w:rPr>
          <w:rFonts w:ascii="Times New Roman" w:hAnsi="Times New Roman" w:cs="Times New Roman"/>
          <w:noProof/>
          <w:sz w:val="24"/>
          <w:szCs w:val="24"/>
          <w:lang w:val="en-GB"/>
        </w:rPr>
        <w:t>[43]</w:t>
      </w:r>
      <w:r w:rsidR="00064683" w:rsidRPr="002013B9">
        <w:rPr>
          <w:rFonts w:ascii="Times New Roman" w:hAnsi="Times New Roman" w:cs="Times New Roman"/>
          <w:sz w:val="24"/>
          <w:szCs w:val="24"/>
          <w:lang w:val="en-GB"/>
        </w:rPr>
        <w:fldChar w:fldCharType="end"/>
      </w:r>
      <w:r w:rsidRPr="002013B9">
        <w:rPr>
          <w:rFonts w:ascii="Times New Roman" w:hAnsi="Times New Roman" w:cs="Times New Roman"/>
          <w:sz w:val="24"/>
          <w:szCs w:val="24"/>
          <w:lang w:val="en-GB"/>
        </w:rPr>
        <w:t xml:space="preserve">. </w:t>
      </w:r>
      <w:r w:rsidR="00490ACD" w:rsidRPr="002013B9">
        <w:rPr>
          <w:rFonts w:ascii="Times New Roman" w:hAnsi="Times New Roman" w:cs="Times New Roman"/>
          <w:sz w:val="24"/>
          <w:szCs w:val="24"/>
          <w:lang w:val="en-GB"/>
        </w:rPr>
        <w:t xml:space="preserve">Identification of </w:t>
      </w:r>
      <w:r w:rsidR="00AB2367" w:rsidRPr="002013B9">
        <w:rPr>
          <w:rFonts w:ascii="Times New Roman" w:hAnsi="Times New Roman" w:cs="Times New Roman"/>
          <w:sz w:val="24"/>
          <w:szCs w:val="24"/>
          <w:lang w:val="en-GB"/>
        </w:rPr>
        <w:t xml:space="preserve">biomarkers </w:t>
      </w:r>
      <w:r w:rsidR="00187F33" w:rsidRPr="002013B9">
        <w:rPr>
          <w:rFonts w:ascii="Times New Roman" w:hAnsi="Times New Roman" w:cs="Times New Roman"/>
          <w:sz w:val="24"/>
          <w:szCs w:val="24"/>
          <w:lang w:val="en-GB"/>
        </w:rPr>
        <w:t>that link</w:t>
      </w:r>
      <w:r w:rsidR="00AB2367" w:rsidRPr="002013B9">
        <w:rPr>
          <w:rFonts w:ascii="Times New Roman" w:hAnsi="Times New Roman" w:cs="Times New Roman"/>
          <w:sz w:val="24"/>
          <w:szCs w:val="24"/>
          <w:lang w:val="en-GB"/>
        </w:rPr>
        <w:t xml:space="preserve"> pain mechanisms with</w:t>
      </w:r>
      <w:r w:rsidR="00490ACD" w:rsidRPr="002013B9">
        <w:rPr>
          <w:rFonts w:ascii="Times New Roman" w:hAnsi="Times New Roman" w:cs="Times New Roman"/>
          <w:sz w:val="24"/>
          <w:szCs w:val="24"/>
          <w:lang w:val="en-GB"/>
        </w:rPr>
        <w:t xml:space="preserve"> </w:t>
      </w:r>
      <w:r w:rsidR="003802D5" w:rsidRPr="002013B9">
        <w:rPr>
          <w:rFonts w:ascii="Times New Roman" w:hAnsi="Times New Roman" w:cs="Times New Roman"/>
          <w:sz w:val="24"/>
          <w:szCs w:val="24"/>
          <w:lang w:val="en-GB"/>
        </w:rPr>
        <w:t>specific</w:t>
      </w:r>
      <w:r w:rsidR="00AB2367" w:rsidRPr="002013B9">
        <w:rPr>
          <w:rFonts w:ascii="Times New Roman" w:hAnsi="Times New Roman" w:cs="Times New Roman"/>
          <w:sz w:val="24"/>
          <w:szCs w:val="24"/>
          <w:lang w:val="en-GB"/>
        </w:rPr>
        <w:t xml:space="preserve"> </w:t>
      </w:r>
      <w:r w:rsidR="00490ACD" w:rsidRPr="002013B9">
        <w:rPr>
          <w:rFonts w:ascii="Times New Roman" w:hAnsi="Times New Roman" w:cs="Times New Roman"/>
          <w:sz w:val="24"/>
          <w:szCs w:val="24"/>
          <w:lang w:val="en-GB"/>
        </w:rPr>
        <w:t>treatment</w:t>
      </w:r>
      <w:r w:rsidR="003802D5" w:rsidRPr="002013B9">
        <w:rPr>
          <w:rFonts w:ascii="Times New Roman" w:hAnsi="Times New Roman" w:cs="Times New Roman"/>
          <w:sz w:val="24"/>
          <w:szCs w:val="24"/>
          <w:lang w:val="en-GB"/>
        </w:rPr>
        <w:t xml:space="preserve"> modalitie</w:t>
      </w:r>
      <w:r w:rsidR="00187F33" w:rsidRPr="002013B9">
        <w:rPr>
          <w:rFonts w:ascii="Times New Roman" w:hAnsi="Times New Roman" w:cs="Times New Roman"/>
          <w:sz w:val="24"/>
          <w:szCs w:val="24"/>
          <w:lang w:val="en-GB"/>
        </w:rPr>
        <w:t>s</w:t>
      </w:r>
      <w:r w:rsidR="003802D5" w:rsidRPr="002013B9">
        <w:rPr>
          <w:rFonts w:ascii="Times New Roman" w:hAnsi="Times New Roman" w:cs="Times New Roman"/>
          <w:sz w:val="24"/>
          <w:szCs w:val="24"/>
          <w:lang w:val="en-GB"/>
        </w:rPr>
        <w:t xml:space="preserve"> </w:t>
      </w:r>
      <w:r w:rsidR="00490ACD" w:rsidRPr="002013B9">
        <w:rPr>
          <w:rFonts w:ascii="Times New Roman" w:hAnsi="Times New Roman" w:cs="Times New Roman"/>
          <w:sz w:val="24"/>
          <w:szCs w:val="24"/>
          <w:lang w:val="en-GB"/>
        </w:rPr>
        <w:t>is</w:t>
      </w:r>
      <w:r w:rsidR="000109A5" w:rsidRPr="002013B9">
        <w:rPr>
          <w:rFonts w:ascii="Times New Roman" w:hAnsi="Times New Roman" w:cs="Times New Roman"/>
          <w:sz w:val="24"/>
          <w:szCs w:val="24"/>
          <w:lang w:val="en-GB"/>
        </w:rPr>
        <w:t xml:space="preserve"> therefore a</w:t>
      </w:r>
      <w:r w:rsidR="00BD1DDA" w:rsidRPr="002013B9">
        <w:rPr>
          <w:rFonts w:ascii="Times New Roman" w:hAnsi="Times New Roman" w:cs="Times New Roman"/>
          <w:sz w:val="24"/>
          <w:szCs w:val="24"/>
          <w:lang w:val="en-GB"/>
        </w:rPr>
        <w:t>n unmet</w:t>
      </w:r>
      <w:r w:rsidR="000109A5" w:rsidRPr="002013B9">
        <w:rPr>
          <w:rFonts w:ascii="Times New Roman" w:hAnsi="Times New Roman" w:cs="Times New Roman"/>
          <w:sz w:val="24"/>
          <w:szCs w:val="24"/>
          <w:lang w:val="en-GB"/>
        </w:rPr>
        <w:t xml:space="preserve"> need in the field</w:t>
      </w:r>
      <w:r w:rsidR="00527180" w:rsidRPr="002013B9">
        <w:rPr>
          <w:rFonts w:ascii="Times New Roman" w:hAnsi="Times New Roman" w:cs="Times New Roman"/>
          <w:sz w:val="24"/>
          <w:szCs w:val="24"/>
          <w:lang w:val="en-GB"/>
        </w:rPr>
        <w:t>,</w:t>
      </w:r>
      <w:r w:rsidR="000109A5" w:rsidRPr="002013B9">
        <w:rPr>
          <w:rFonts w:ascii="Times New Roman" w:hAnsi="Times New Roman" w:cs="Times New Roman"/>
          <w:sz w:val="24"/>
          <w:szCs w:val="24"/>
          <w:lang w:val="en-GB"/>
        </w:rPr>
        <w:t xml:space="preserve"> but unfortunately </w:t>
      </w:r>
      <w:r w:rsidRPr="002013B9">
        <w:rPr>
          <w:rFonts w:ascii="Times New Roman" w:hAnsi="Times New Roman" w:cs="Times New Roman"/>
          <w:sz w:val="24"/>
          <w:szCs w:val="24"/>
          <w:lang w:val="en-GB"/>
        </w:rPr>
        <w:t>t</w:t>
      </w:r>
      <w:r w:rsidR="00D907D6" w:rsidRPr="002013B9">
        <w:rPr>
          <w:rFonts w:ascii="Times New Roman" w:hAnsi="Times New Roman" w:cs="Times New Roman"/>
          <w:sz w:val="24"/>
          <w:szCs w:val="24"/>
          <w:lang w:val="en-GB"/>
        </w:rPr>
        <w:t xml:space="preserve">here are </w:t>
      </w:r>
      <w:r w:rsidR="00064683" w:rsidRPr="002013B9">
        <w:rPr>
          <w:rFonts w:ascii="Times New Roman" w:hAnsi="Times New Roman" w:cs="Times New Roman"/>
          <w:sz w:val="24"/>
          <w:szCs w:val="24"/>
          <w:lang w:val="en-GB"/>
        </w:rPr>
        <w:t>few</w:t>
      </w:r>
      <w:r w:rsidRPr="002013B9">
        <w:rPr>
          <w:rFonts w:ascii="Times New Roman" w:hAnsi="Times New Roman" w:cs="Times New Roman"/>
          <w:sz w:val="24"/>
          <w:szCs w:val="24"/>
          <w:lang w:val="en-GB"/>
        </w:rPr>
        <w:t xml:space="preserve"> </w:t>
      </w:r>
      <w:r w:rsidR="00D907D6" w:rsidRPr="002013B9">
        <w:rPr>
          <w:rFonts w:ascii="Times New Roman" w:hAnsi="Times New Roman" w:cs="Times New Roman"/>
          <w:sz w:val="24"/>
          <w:szCs w:val="24"/>
          <w:lang w:val="en-GB"/>
        </w:rPr>
        <w:t xml:space="preserve">personalized approaches to pain </w:t>
      </w:r>
      <w:r w:rsidR="00DC1A3C" w:rsidRPr="002013B9">
        <w:rPr>
          <w:rFonts w:ascii="Times New Roman" w:hAnsi="Times New Roman" w:cs="Times New Roman"/>
          <w:sz w:val="24"/>
          <w:szCs w:val="24"/>
          <w:lang w:val="en-GB"/>
        </w:rPr>
        <w:t xml:space="preserve">treatment in CP </w:t>
      </w:r>
      <w:r w:rsidR="00D907D6" w:rsidRPr="002013B9">
        <w:rPr>
          <w:rFonts w:ascii="Times New Roman" w:hAnsi="Times New Roman" w:cs="Times New Roman"/>
          <w:sz w:val="24"/>
          <w:szCs w:val="24"/>
          <w:lang w:val="en-GB"/>
        </w:rPr>
        <w:t>at this time</w:t>
      </w:r>
      <w:r w:rsidR="00687E77" w:rsidRPr="002013B9">
        <w:rPr>
          <w:rFonts w:ascii="Times New Roman" w:hAnsi="Times New Roman" w:cs="Times New Roman"/>
          <w:sz w:val="24"/>
          <w:szCs w:val="24"/>
          <w:lang w:val="en-GB"/>
        </w:rPr>
        <w:t xml:space="preserve"> </w:t>
      </w:r>
      <w:r w:rsidR="00687E77" w:rsidRPr="002013B9">
        <w:rPr>
          <w:rFonts w:ascii="Times New Roman" w:hAnsi="Times New Roman" w:cs="Times New Roman"/>
          <w:sz w:val="24"/>
          <w:szCs w:val="24"/>
          <w:lang w:val="en-GB"/>
        </w:rPr>
        <w:fldChar w:fldCharType="begin" w:fldLock="1"/>
      </w:r>
      <w:r w:rsidR="009A3A25" w:rsidRPr="002013B9">
        <w:rPr>
          <w:rFonts w:ascii="Times New Roman" w:hAnsi="Times New Roman" w:cs="Times New Roman"/>
          <w:sz w:val="24"/>
          <w:szCs w:val="24"/>
          <w:lang w:val="en-GB"/>
        </w:rPr>
        <w:instrText>ADDIN CSL_CITATION {"citationItems":[{"id":"ITEM-1","itemData":{"DOI":"10.1080/17512433.2019.1571409","ISSN":"1751-2441","PMID":"30664364","abstract":"INTRODUCTION Pain is the most common symptom in chronic pancreatitis and treatment remains a challenge. Management of visceral pain, in general, is only sparsely documented, and treatment in the clinic is typically based on empirical knowledge from somatic pain conditions. This may be problematic, as many aspects of the neurobiology differ significantly from somatic pain, and organs such as the gut and liver play a major role in tolerability to analgesics. On the other hand, clinical awareness and new methods for quantitative assessment of pain mechanisms, will likely increase our understanding of the visceral pain system and guide more individualized pain management. Areas covered: This review includes an overview of known pain mechanisms in chronic pancreatitis and how to characterize them using quantitative sensory testing. The aim is to provide a mechanism-oriented approach to analgesic treatment, including treatment of psychological factors affecting pain perception and consideration of side effects in the management plan. Expert opinion: A mechanism-based examination and profiling of pain in chronic pancreatitis will enable investigators to provide a well-substantiated approach to effective management. This mechanism-based, individualized regime will pave the road to better pain relief and spare the patient from unnecessary trial-and-error approaches and unwanted side effects.","author":[{"dropping-particle":"","family":"Kuhlmann","given":"Louise","non-dropping-particle":"","parse-names":false,"suffix":""},{"dropping-particle":"","family":"Olesen","given":"Søren S","non-dropping-particle":"","parse-names":false,"suffix":""},{"dropping-particle":"","family":"Olesen","given":"Anne E","non-dropping-particle":"","parse-names":false,"suffix":""},{"dropping-particle":"","family":"Arendt-Nielsen","given":"Lars","non-dropping-particle":"","parse-names":false,"suffix":""},{"dropping-particle":"","family":"Drewes","given":"Asbjørn M","non-dropping-particle":"","parse-names":false,"suffix":""}],"container-title":"Expert review of clinical pharmacology","id":"ITEM-1","issue":"3","issued":{"date-parts":[["2019","3"]]},"page":"249-258","title":"Mechanism-based pain management in chronic pancreatitis - is it time for a paradigm shift?","type":"article-journal","volume":"12"},"uris":["http://www.mendeley.com/documents/?uuid=bebb678c-3740-45af-a870-5c4d13c57ff7"]}],"mendeley":{"formattedCitation":"[29]","plainTextFormattedCitation":"[29]","previouslyFormattedCitation":"[29]"},"properties":{"noteIndex":0},"schema":"https://github.com/citation-style-language/schema/raw/master/csl-citation.json"}</w:instrText>
      </w:r>
      <w:r w:rsidR="00687E77" w:rsidRPr="002013B9">
        <w:rPr>
          <w:rFonts w:ascii="Times New Roman" w:hAnsi="Times New Roman" w:cs="Times New Roman"/>
          <w:sz w:val="24"/>
          <w:szCs w:val="24"/>
          <w:lang w:val="en-GB"/>
        </w:rPr>
        <w:fldChar w:fldCharType="separate"/>
      </w:r>
      <w:r w:rsidR="00CA1FAE" w:rsidRPr="002013B9">
        <w:rPr>
          <w:rFonts w:ascii="Times New Roman" w:hAnsi="Times New Roman" w:cs="Times New Roman"/>
          <w:noProof/>
          <w:sz w:val="24"/>
          <w:szCs w:val="24"/>
          <w:lang w:val="en-GB"/>
        </w:rPr>
        <w:t>[29]</w:t>
      </w:r>
      <w:r w:rsidR="00687E77" w:rsidRPr="002013B9">
        <w:rPr>
          <w:rFonts w:ascii="Times New Roman" w:hAnsi="Times New Roman" w:cs="Times New Roman"/>
          <w:sz w:val="24"/>
          <w:szCs w:val="24"/>
          <w:lang w:val="en-GB"/>
        </w:rPr>
        <w:fldChar w:fldCharType="end"/>
      </w:r>
      <w:r w:rsidR="000109A5" w:rsidRPr="002013B9">
        <w:rPr>
          <w:rFonts w:ascii="Times New Roman" w:hAnsi="Times New Roman" w:cs="Times New Roman"/>
          <w:sz w:val="24"/>
          <w:szCs w:val="24"/>
          <w:lang w:val="en-GB"/>
        </w:rPr>
        <w:t xml:space="preserve">. For example, </w:t>
      </w:r>
      <w:r w:rsidR="005B7A1D" w:rsidRPr="002013B9">
        <w:rPr>
          <w:rFonts w:ascii="Times New Roman" w:eastAsia="Times New Roman" w:hAnsi="Times New Roman" w:cs="Times New Roman"/>
          <w:sz w:val="24"/>
          <w:szCs w:val="24"/>
          <w:lang w:val="en-GB"/>
        </w:rPr>
        <w:t>the presence, severity and temporal nature of pain correlate poorly with</w:t>
      </w:r>
      <w:r w:rsidR="00527180" w:rsidRPr="002013B9">
        <w:rPr>
          <w:rFonts w:ascii="Times New Roman" w:eastAsia="Times New Roman" w:hAnsi="Times New Roman" w:cs="Times New Roman"/>
          <w:sz w:val="24"/>
          <w:szCs w:val="24"/>
          <w:lang w:val="en-GB"/>
        </w:rPr>
        <w:t xml:space="preserve"> imaging findings </w:t>
      </w:r>
      <w:r w:rsidR="00527180" w:rsidRPr="002013B9">
        <w:rPr>
          <w:rFonts w:ascii="Times New Roman" w:hAnsi="Times New Roman" w:cs="Times New Roman"/>
          <w:sz w:val="24"/>
          <w:szCs w:val="24"/>
          <w:lang w:val="en-GB"/>
        </w:rPr>
        <w:lastRenderedPageBreak/>
        <w:t>and</w:t>
      </w:r>
      <w:r w:rsidR="00687BB6" w:rsidRPr="002013B9">
        <w:rPr>
          <w:rFonts w:ascii="Times New Roman" w:hAnsi="Times New Roman" w:cs="Times New Roman"/>
          <w:sz w:val="24"/>
          <w:szCs w:val="24"/>
          <w:lang w:val="en-GB"/>
        </w:rPr>
        <w:t>, as such, imaging</w:t>
      </w:r>
      <w:r w:rsidR="00527180" w:rsidRPr="002013B9">
        <w:rPr>
          <w:rFonts w:ascii="Times New Roman" w:hAnsi="Times New Roman" w:cs="Times New Roman"/>
          <w:sz w:val="24"/>
          <w:szCs w:val="24"/>
          <w:lang w:val="en-GB"/>
        </w:rPr>
        <w:t xml:space="preserve"> can only be used to identify cases where </w:t>
      </w:r>
      <w:r w:rsidR="00C17888" w:rsidRPr="002013B9">
        <w:rPr>
          <w:rFonts w:ascii="Times New Roman" w:hAnsi="Times New Roman" w:cs="Times New Roman"/>
          <w:sz w:val="24"/>
          <w:szCs w:val="24"/>
          <w:lang w:val="en-GB"/>
        </w:rPr>
        <w:t xml:space="preserve">an invasive based </w:t>
      </w:r>
      <w:r w:rsidR="00527180" w:rsidRPr="002013B9">
        <w:rPr>
          <w:rFonts w:ascii="Times New Roman" w:hAnsi="Times New Roman" w:cs="Times New Roman"/>
          <w:sz w:val="24"/>
          <w:szCs w:val="24"/>
          <w:lang w:val="en-GB"/>
        </w:rPr>
        <w:t>treatment is technically feasible</w:t>
      </w:r>
      <w:r w:rsidR="00C17888" w:rsidRPr="002013B9">
        <w:rPr>
          <w:rFonts w:ascii="Times New Roman" w:hAnsi="Times New Roman" w:cs="Times New Roman"/>
          <w:sz w:val="24"/>
          <w:szCs w:val="24"/>
          <w:lang w:val="en-GB"/>
        </w:rPr>
        <w:t>,</w:t>
      </w:r>
      <w:r w:rsidR="00527180" w:rsidRPr="002013B9">
        <w:rPr>
          <w:rFonts w:ascii="Times New Roman" w:hAnsi="Times New Roman" w:cs="Times New Roman"/>
          <w:sz w:val="24"/>
          <w:szCs w:val="24"/>
          <w:lang w:val="en-GB"/>
        </w:rPr>
        <w:t xml:space="preserve"> but </w:t>
      </w:r>
      <w:r w:rsidR="00647A57" w:rsidRPr="002013B9">
        <w:rPr>
          <w:rFonts w:ascii="Times New Roman" w:hAnsi="Times New Roman" w:cs="Times New Roman"/>
          <w:sz w:val="24"/>
          <w:szCs w:val="24"/>
          <w:lang w:val="en-GB"/>
        </w:rPr>
        <w:t>it</w:t>
      </w:r>
      <w:r w:rsidR="00C17888" w:rsidRPr="002013B9">
        <w:rPr>
          <w:rFonts w:ascii="Times New Roman" w:hAnsi="Times New Roman" w:cs="Times New Roman"/>
          <w:sz w:val="24"/>
          <w:szCs w:val="24"/>
          <w:lang w:val="en-GB"/>
        </w:rPr>
        <w:t xml:space="preserve"> cannot be used</w:t>
      </w:r>
      <w:r w:rsidR="00527180" w:rsidRPr="002013B9">
        <w:rPr>
          <w:rFonts w:ascii="Times New Roman" w:hAnsi="Times New Roman" w:cs="Times New Roman"/>
          <w:sz w:val="24"/>
          <w:szCs w:val="24"/>
          <w:lang w:val="en-GB"/>
        </w:rPr>
        <w:t xml:space="preserve"> </w:t>
      </w:r>
      <w:r w:rsidR="00C17888" w:rsidRPr="002013B9">
        <w:rPr>
          <w:rFonts w:ascii="Times New Roman" w:hAnsi="Times New Roman" w:cs="Times New Roman"/>
          <w:sz w:val="24"/>
          <w:szCs w:val="24"/>
          <w:lang w:val="en-GB"/>
        </w:rPr>
        <w:t xml:space="preserve">to </w:t>
      </w:r>
      <w:r w:rsidR="00527180" w:rsidRPr="002013B9">
        <w:rPr>
          <w:rFonts w:ascii="Times New Roman" w:hAnsi="Times New Roman" w:cs="Times New Roman"/>
          <w:sz w:val="24"/>
          <w:szCs w:val="24"/>
          <w:lang w:val="en-GB"/>
        </w:rPr>
        <w:t xml:space="preserve">determine </w:t>
      </w:r>
      <w:r w:rsidR="00F15930" w:rsidRPr="002013B9">
        <w:rPr>
          <w:rFonts w:ascii="Times New Roman" w:hAnsi="Times New Roman" w:cs="Times New Roman"/>
          <w:sz w:val="24"/>
          <w:szCs w:val="24"/>
          <w:lang w:val="en-GB"/>
        </w:rPr>
        <w:t>if patients</w:t>
      </w:r>
      <w:r w:rsidR="00527180" w:rsidRPr="002013B9">
        <w:rPr>
          <w:rFonts w:ascii="Times New Roman" w:hAnsi="Times New Roman" w:cs="Times New Roman"/>
          <w:sz w:val="24"/>
          <w:szCs w:val="24"/>
          <w:lang w:val="en-GB"/>
        </w:rPr>
        <w:t xml:space="preserve"> will benefit </w:t>
      </w:r>
      <w:r w:rsidR="00F15930" w:rsidRPr="002013B9">
        <w:rPr>
          <w:rFonts w:ascii="Times New Roman" w:hAnsi="Times New Roman" w:cs="Times New Roman"/>
          <w:sz w:val="24"/>
          <w:szCs w:val="24"/>
          <w:lang w:val="en-GB"/>
        </w:rPr>
        <w:t xml:space="preserve">from the planned treatment </w:t>
      </w:r>
      <w:r w:rsidR="00BE7388" w:rsidRPr="002013B9">
        <w:rPr>
          <w:rFonts w:ascii="Times New Roman" w:hAnsi="Times New Roman" w:cs="Times New Roman"/>
          <w:sz w:val="24"/>
          <w:szCs w:val="24"/>
          <w:lang w:val="en-GB"/>
        </w:rPr>
        <w:fldChar w:fldCharType="begin" w:fldLock="1"/>
      </w:r>
      <w:r w:rsidR="004D0981">
        <w:rPr>
          <w:rFonts w:ascii="Times New Roman" w:hAnsi="Times New Roman" w:cs="Times New Roman"/>
          <w:sz w:val="24"/>
          <w:szCs w:val="24"/>
          <w:lang w:val="en-GB"/>
        </w:rPr>
        <w:instrText>ADDIN CSL_CITATION {"citationItems":[{"id":"ITEM-1","itemData":{"DOI":"10.1016/j.cgh.2014.10.015","ISSN":"1542-7714 1542-3565","PMID":"25424572","abstract":"BACKGROUND &amp; AIMS: Chronic pancreatitis is characterized by inflammation, atrophy, fibrosis with progressive ductal changes, and functional changes that include variable exocrine and endocrine insufficiency and multiple patterns of pain. We investigated whether abdominal imaging features accurately predict patterns of pain. METHODS: We collected data from participants in the North American Pancreatitis Study 2 Continuation and Validation, a prospective multicenter study of patients with chronic pancreatitis performed at 13 expert centers in the United States from July 2008 through March 2012. Chronic pancreatitis was defined based on the detection of characteristic changes by cross-sectional abdominal imaging, endoscopic retrograde cholangiopancreatography, endoscopic ultrasonography, or histology analyses. Patients were asked by a physician or trained clinical research coordinator if they had any abdominal pain during the year before enrollment, those who responded \"yes\" were asked to select from a list of 5 pain patterns. By using these patterns, we classified patients' pain based on timing and severity. Abnormal pancreatitis-associated features on abdominal imaging were recorded using standardized case report forms. RESULTS: Data were collected from 518 patients (mean age, 52 +/- 14.6 y; 55% male; and 87.6% white). The most common physician-identified etiologies were alcohol (45.8%) and idiopathic (24.3%); 15.6% of patients reported no abdominal pain in the year before enrollment. The most common individual pain pattern was described as constant mild pain with episodes of severe pain and was reported in 45% of patients. The most common imaging findings included pancreatic ductal dilatation (68%), atrophy (57%), and  calcifications (55%). Imaging findings were categorized as obstructive for 20% and as inflammatory for 25% of cases. The distribution of individual imaging findings was similar among patients with different patterns of pain. The distribution of pain patterns did not differ among clinically relevant groups of  imaging findings. CONCLUSIONS: Mechanisms that determine patterns and severity of pain in patients with chronic pancreatitis are largely independent of structural  variants observed by abdominal imaging techniques. Pancreas-relevant quantitative and qualitative pain measures should be included in the evaluation of patients with chronic pancreatitis to assess pain severity independently of imaging findings.","author":[{"dropping-particle":"","family":"Wilcox","given":"C. Mel","non-dropping-particle":"","parse-names":false,"suffix":""},{"dropping-particle":"","family":"Yadav","given":"Dhiraj","non-dropping-particle":"","parse-names":false,"suffix":""},{"dropping-particle":"","family":"Ye","given":"Tian","non-dropping-particle":"","parse-names":false,"suffix":""},{"dropping-particle":"","family":"Gardner","given":"Timothy B.","non-dropping-particle":"","parse-names":false,"suffix":""},{"dropping-particle":"","family":"Gelrud","given":"Andres","non-dropping-particle":"","parse-names":false,"suffix":""},{"dropping-particle":"","family":"Sandhu","given":"Bimaljit S.","non-dropping-particle":"","parse-names":false,"suffix":""},{"dropping-particle":"","family":"Lewis","given":"Michele D.","non-dropping-particle":"","parse-names":false,"suffix":""},{"dropping-particle":"","family":"Al-Kaade","given":"Samer","non-dropping-particle":"","parse-names":false,"suffix":""},{"dropping-particle":"","family":"Cote","given":"Gregory A.","non-dropping-particle":"","parse-names":false,"suffix":""},{"dropping-particle":"","family":"Forsmark","given":"Christopher E.","non-dropping-particle":"","parse-names":false,"suffix":""},{"dropping-particle":"","family":"Guda","given":"Nalini M.","non-dropping-particle":"","parse-names":false,"suffix":""},{"dropping-particle":"","family":"Conwell","given":"Darwin L.","non-dropping-particle":"","parse-names":false,"suffix":""},{"dropping-particle":"","family":"Banks","given":"Peter A.","non-dropping-particle":"","parse-names":false,"suffix":""},{"dropping-particle":"","family":"Muniraj","given":"Thiruvengadam","non-dropping-particle":"","parse-names":false,"suffix":""},{"dropping-particle":"","family":"Romagnuolo","given":"Joseph","non-dropping-particle":"","parse-names":false,"suffix":""},{"dropping-particle":"","family":"Brand","given":"Randall E.","non-dropping-particle":"","parse-names":false,"suffix":""},{"dropping-particle":"","family":"Slivka","given":"Adam","non-dropping-particle":"","parse-names":false,"suffix":""},{"dropping-particle":"","family":"Sherman","given":"Stuart","non-dropping-particle":"","parse-names":false,"suffix":""},{"dropping-particle":"","family":"Wisniewski","given":"Stephen R.","non-dropping-particle":"","parse-names":false,"suffix":""},{"dropping-particle":"","family":"Whitcomb","given":"David C.","non-dropping-particle":"","parse-names":false,"suffix":""},{"dropping-particle":"","family":"Anderson","given":"Michelle A.","non-dropping-particle":"","parse-names":false,"suffix":""}],"container-title":"Clinical gastroenterology and hepatology : the official clinical practice journal of the American Gastroenterological Association","id":"ITEM-1","issue":"3","issued":{"date-parts":[["2015","3"]]},"language":"eng","page":"552-60; quiz e28-29","title":"Chronic pancreatitis pain pattern and severity are independent of abdominal imaging findings.","type":"article-journal","volume":"13"},"uris":["http://www.mendeley.com/documents/?uuid=69969685-7efc-4deb-a610-239923fec7cb"]},{"id":"ITEM-2","itemData":{"DOI":"10.1097/MPA.0b013e31829628f4","ISSN":"1536-4828","PMID":"24048457","abstract":"OBJECTIVES More knowledge into the pathophysiology underlying pain and other complications in chronic pancreatitis (CP) is needed. The aim was to associate advanced imaging information of the pancreas with etiology and clinical and laboratory parameters of CP. METHODS Magnetic resonance cholangiopancreatography including diffusion-weighted imaging was obtained in 23 patients with painful CP and 17 controls. Apparent diffusion coefficients, ductal pathology, and pancreas atrophy were assessed. Etiology of CP and clinical and laboratory parameters including pain scores were correlated with the imaging findings. RESULTS The patients had restricted apparent diffusion coefficients, that is, fibrotic changes, compared with the controls (P = 0.0003). The diffusion coefficients were not associated with atrophy- or ductal-related parameters (all P &gt; 0.7). The fibrotic changes as well as atrophy- and ductal-related parameters were not associated with pain or any other symptom parameters (all P &gt; 0.05). Alcoholic etiology was associated with ductal pathology (both P = 0.02). Furthermore, atrophy- and ductal-related parameters were associated with vitamin D, phosphate, hemoglobin, and glycated hemoglobin levels (all P &lt; 0.03). CONCLUSIONS Patients with CP have fibrosis, atrophy, and ductal pathology. Although changes in atrophy- and ductal-related parameters were, to some degree, associated with exocrine and endocrine insufficiency, pain and other symptoms seem to have a more complex pathogenesis independent of imaging pathology.","author":[{"dropping-particle":"","family":"Frøkjær","given":"Jens Brøndum","non-dropping-particle":"","parse-names":false,"suffix":""},{"dropping-particle":"","family":"Olesen","given":"Søren Schou","non-dropping-particle":"","parse-names":false,"suffix":""},{"dropping-particle":"","family":"Drewes","given":"Asbjørn Mohr","non-dropping-particle":"","parse-names":false,"suffix":""}],"container-title":"Pancreas","id":"ITEM-2","issue":"7","issued":{"date-parts":[["2013","10"]]},"language":"eng","page":"1182-7","publisher-place":"United States","title":"Fibrosis, atrophy, and ductal pathology in chronic pancreatitis are associated with pancreatic function but independent of symptoms.","type":"article-journal","volume":"42"},"uris":["http://www.mendeley.com/documents/?uuid=812138c1-eaa9-4848-927d-3ed6af44d0e5"]},{"id":"ITEM-3","itemData":{"DOI":"10.1097/MEG.0000000000000955","ISSN":"14735687","abstract":"Background and aim The aim of this study was to explore the association between morphological and functional secretin-stimulated MRI parameters with hospitalization, quality of life (QOL), and pain in patients with chronic pancreatitis (CP). Patients and methods This prospective cohort study included 82 patients with CP. Data were obtained from clinical information, QOL, and pain as assessed by questionnaires (The European Organization for Research and Treatment of Cancer Quality of Life Questionnaire and modified Brief Pain Inventory short form). Secretin-stimulated MRI morphological parameters included pancreatic gland volume, main pancreatic duct diameter, the modified Cambridge Classification of Duct Abnormality, apparent diffusion coefficient, fat signal fraction, and the pancreatic secretion volume as a functional parameter. The primary outcomes were time to first hospitalization related to the CP, as well as annual hospitalization frequency and duration. The secondary outcomes were pain severity, QOL, and pain interference scores. Results A main pancreatic duct diameter below 5 mm was associated with reduced time to first hospitalization (hazard ratio=2.06; 95% confidence interval: 1.02-4.17; P=0.043). Pancreatic secretion volume was correlated with QOL (r=0.31; P=0.0072) and pain interference score (r=-0.27; P=0.032), and fecal elastase was also correlated with QOL (r=0.28; P=0.017). However, functional and morphological findings were not related to pain intensity. Conclusion Advanced pancreatic imaging techniques may be a highly sensitive tool for prognostication and monitoring of disease activity and its consequences.","author":[{"dropping-particle":"","family":"Madzak","given":"Adnan","non-dropping-particle":"","parse-names":false,"suffix":""},{"dropping-particle":"","family":"Olesen","given":"Søren Schou","non-dropping-particle":"","parse-names":false,"suffix":""},{"dropping-particle":"","family":"Lykke Poulsen","given":"Jakob","non-dropping-particle":"","parse-names":false,"suffix":""},{"dropping-particle":"","family":"Bolvig Mark","given":"Esben","non-dropping-particle":"","parse-names":false,"suffix":""},{"dropping-particle":"","family":"Mohr Drewes","given":"Asbjørn","non-dropping-particle":"","parse-names":false,"suffix":""},{"dropping-particle":"","family":"Frøkjær","given":"Jens Brøndum","non-dropping-particle":"","parse-names":false,"suffix":""}],"container-title":"European Journal of Gastroenterology and Hepatology","id":"ITEM-3","issue":"11","issued":{"date-parts":[["2017"]]},"page":"1269-1275","title":"MRI assessed pancreatic morphology and exocrine function are associated with disease burden in chronic pancreatitis","type":"article-journal","volume":"29"},"uris":["http://www.mendeley.com/documents/?uuid=5f2ae483-e1ca-379d-a3fc-f493c3c0519d"]}],"mendeley":{"formattedCitation":"[7,8,44]","plainTextFormattedCitation":"[7,8,44]","previouslyFormattedCitation":"[7,8,43]"},"properties":{"noteIndex":0},"schema":"https://github.com/citation-style-language/schema/raw/master/csl-citation.json"}</w:instrText>
      </w:r>
      <w:r w:rsidR="00BE7388" w:rsidRPr="002013B9">
        <w:rPr>
          <w:rFonts w:ascii="Times New Roman" w:hAnsi="Times New Roman" w:cs="Times New Roman"/>
          <w:sz w:val="24"/>
          <w:szCs w:val="24"/>
          <w:lang w:val="en-GB"/>
        </w:rPr>
        <w:fldChar w:fldCharType="separate"/>
      </w:r>
      <w:r w:rsidR="004D0981" w:rsidRPr="004D0981">
        <w:rPr>
          <w:rFonts w:ascii="Times New Roman" w:hAnsi="Times New Roman" w:cs="Times New Roman"/>
          <w:noProof/>
          <w:sz w:val="24"/>
          <w:szCs w:val="24"/>
          <w:lang w:val="en-GB"/>
        </w:rPr>
        <w:t>[7,8,44]</w:t>
      </w:r>
      <w:r w:rsidR="00BE7388" w:rsidRPr="002013B9">
        <w:rPr>
          <w:rFonts w:ascii="Times New Roman" w:hAnsi="Times New Roman" w:cs="Times New Roman"/>
          <w:sz w:val="24"/>
          <w:szCs w:val="24"/>
          <w:lang w:val="en-GB"/>
        </w:rPr>
        <w:fldChar w:fldCharType="end"/>
      </w:r>
      <w:r w:rsidR="00F15930" w:rsidRPr="002013B9">
        <w:rPr>
          <w:rFonts w:ascii="Times New Roman" w:hAnsi="Times New Roman" w:cs="Times New Roman"/>
          <w:sz w:val="24"/>
          <w:szCs w:val="24"/>
          <w:lang w:val="en-GB"/>
        </w:rPr>
        <w:t xml:space="preserve">. </w:t>
      </w:r>
      <w:r w:rsidR="00967A65" w:rsidRPr="002013B9">
        <w:rPr>
          <w:rFonts w:ascii="Times New Roman" w:hAnsi="Times New Roman" w:cs="Times New Roman"/>
          <w:sz w:val="24"/>
          <w:szCs w:val="24"/>
          <w:lang w:val="en-GB"/>
        </w:rPr>
        <w:t xml:space="preserve">A QST protocol designed for characterization of pancreatic pain has previously shown effectiveness for the prediction of analgesic outcome </w:t>
      </w:r>
      <w:r w:rsidR="00395CC9" w:rsidRPr="002013B9">
        <w:rPr>
          <w:rFonts w:ascii="Times New Roman" w:hAnsi="Times New Roman" w:cs="Times New Roman"/>
          <w:sz w:val="24"/>
          <w:szCs w:val="24"/>
          <w:lang w:val="en-GB"/>
        </w:rPr>
        <w:t xml:space="preserve">in patients with CP </w:t>
      </w:r>
      <w:r w:rsidR="00967A65" w:rsidRPr="002013B9">
        <w:rPr>
          <w:rFonts w:ascii="Times New Roman" w:hAnsi="Times New Roman" w:cs="Times New Roman"/>
          <w:sz w:val="24"/>
          <w:szCs w:val="24"/>
          <w:lang w:val="en-GB"/>
        </w:rPr>
        <w:t xml:space="preserve">and may serve as a useful biomarker for endoscopic treatment efficacy as well </w:t>
      </w:r>
      <w:r w:rsidR="00967A65" w:rsidRPr="002013B9">
        <w:rPr>
          <w:rFonts w:ascii="Times New Roman" w:hAnsi="Times New Roman" w:cs="Times New Roman"/>
          <w:sz w:val="24"/>
          <w:szCs w:val="24"/>
          <w:lang w:val="en-GB"/>
        </w:rPr>
        <w:fldChar w:fldCharType="begin" w:fldLock="1"/>
      </w:r>
      <w:r w:rsidR="00967A65" w:rsidRPr="002013B9">
        <w:rPr>
          <w:rFonts w:ascii="Times New Roman" w:hAnsi="Times New Roman" w:cs="Times New Roman"/>
          <w:sz w:val="24"/>
          <w:szCs w:val="24"/>
          <w:lang w:val="en-GB"/>
        </w:rPr>
        <w:instrText>ADDIN CSL_CITATION {"citationItems":[{"id":"ITEM-1","itemData":{"DOI":"10.1371/journal.pone.0057963","ISSN":"1932-6203","PMID":"23469256","abstract":"BACKGROUND A major problem in pain medicine is the lack of knowledge about which treatment suits a specific patient. We tested the ability of quantitative sensory testing to predict the analgesic effect of pregabalin and placebo in patients with chronic pancreatitis. METHODS Sixty-four patients with painful chronic pancreatitis received pregabalin (150-300 mg BID) or matching placebo for three consecutive weeks. Analgesic effect was documented in a pain diary based on a visual analogue scale. Responders were defined as patients with a reduction in clinical pain score of 30% or more after three weeks of study treatment compared to baseline recordings. Prior to study medication, pain thresholds to electric skin and pressure stimulation were measured in dermatomes T10 (pancreatic area) and C5 (control area). To eliminate inter-subject differences in absolute pain thresholds an index of sensitivity between stimulation areas was determined (ratio of pain detection thresholds in pancreatic versus control area, ePDT ratio). Pain modulation was recorded by a conditioned pain modulation paradigm. A support vector machine was used to screen sensory parameters for their predictive power of pregabalin efficacy. RESULTS The pregabalin responders group was hypersensitive to electric tetanic stimulation of the pancreatic area (ePDT ratio 1.2 (0.9-1.3)) compared to non-responders group (ePDT ratio: 1.6 (1.5-2.0)) (P = 0.001). The electrical pain detection ratio was predictive for pregabalin effect with a classification accuracy of 83.9% (P = 0.007). The corresponding sensitivity was 87.5% and specificity was 80.0%. No other parameters were predictive of pregabalin or placebo efficacy. CONCLUSIONS The present study provides first evidence that quantitative sensory testing predicts the analgesic effect of pregabalin in patients with painful chronic pancreatitis. The method can be used to tailor pain medication based on patient's individual sensory profile and thus comprises a significant step towards personalized pain medicine.","author":[{"dropping-particle":"","family":"Olesen","given":"Søren S","non-dropping-particle":"","parse-names":false,"suffix":""},{"dropping-particle":"","family":"Graversen","given":"Carina","non-dropping-particle":"","parse-names":false,"suffix":""},{"dropping-particle":"","family":"Bouwense","given":"Stefan A W","non-dropping-particle":"","parse-names":false,"suffix":""},{"dropping-particle":"","family":"Goor","given":"Harry","non-dropping-particle":"van","parse-names":false,"suffix":""},{"dropping-particle":"","family":"Wilder-Smith","given":"Oliver H G","non-dropping-particle":"","parse-names":false,"suffix":""},{"dropping-particle":"","family":"Drewes","given":"Asbjørn M","non-dropping-particle":"","parse-names":false,"suffix":""}],"container-title":"PloS one","id":"ITEM-1","issue":"3","issued":{"date-parts":[["2013"]]},"language":"eng","page":"e57963","publisher-place":"United States","title":"Quantitative sensory testing predicts pregabalin efficacy in painful chronic pancreatitis.","type":"article-journal","volume":"8"},"uris":["http://www.mendeley.com/documents/?uuid=4526c71b-8fc3-4ae6-a12c-c6473369ef88"]}],"mendeley":{"formattedCitation":"[24]","plainTextFormattedCitation":"[24]","previouslyFormattedCitation":"[24]"},"properties":{"noteIndex":0},"schema":"https://github.com/citation-style-language/schema/raw/master/csl-citation.json"}</w:instrText>
      </w:r>
      <w:r w:rsidR="00967A65" w:rsidRPr="002013B9">
        <w:rPr>
          <w:rFonts w:ascii="Times New Roman" w:hAnsi="Times New Roman" w:cs="Times New Roman"/>
          <w:sz w:val="24"/>
          <w:szCs w:val="24"/>
          <w:lang w:val="en-GB"/>
        </w:rPr>
        <w:fldChar w:fldCharType="separate"/>
      </w:r>
      <w:r w:rsidR="00967A65" w:rsidRPr="002013B9">
        <w:rPr>
          <w:rFonts w:ascii="Times New Roman" w:hAnsi="Times New Roman" w:cs="Times New Roman"/>
          <w:noProof/>
          <w:sz w:val="24"/>
          <w:szCs w:val="24"/>
          <w:lang w:val="en-GB"/>
        </w:rPr>
        <w:t>[24]</w:t>
      </w:r>
      <w:r w:rsidR="00967A65" w:rsidRPr="002013B9">
        <w:rPr>
          <w:rFonts w:ascii="Times New Roman" w:hAnsi="Times New Roman" w:cs="Times New Roman"/>
          <w:sz w:val="24"/>
          <w:szCs w:val="24"/>
          <w:lang w:val="en-GB"/>
        </w:rPr>
        <w:fldChar w:fldCharType="end"/>
      </w:r>
      <w:r w:rsidR="00967A65" w:rsidRPr="002013B9">
        <w:rPr>
          <w:rFonts w:ascii="Times New Roman" w:hAnsi="Times New Roman" w:cs="Times New Roman"/>
          <w:sz w:val="24"/>
          <w:szCs w:val="24"/>
          <w:lang w:val="en-GB"/>
        </w:rPr>
        <w:t>.</w:t>
      </w:r>
      <w:r w:rsidR="009F096C" w:rsidRPr="002013B9">
        <w:rPr>
          <w:rFonts w:ascii="Times New Roman" w:hAnsi="Times New Roman" w:cs="Times New Roman"/>
          <w:sz w:val="24"/>
          <w:szCs w:val="24"/>
          <w:lang w:val="en-GB"/>
        </w:rPr>
        <w:t xml:space="preserve"> The SCHOKE trial therefore includes a QST </w:t>
      </w:r>
      <w:r w:rsidR="006456F5" w:rsidRPr="002013B9">
        <w:rPr>
          <w:rFonts w:ascii="Times New Roman" w:hAnsi="Times New Roman" w:cs="Times New Roman"/>
          <w:sz w:val="24"/>
          <w:szCs w:val="24"/>
          <w:lang w:val="en-GB"/>
        </w:rPr>
        <w:t>testing</w:t>
      </w:r>
      <w:r w:rsidR="009F096C" w:rsidRPr="002013B9">
        <w:rPr>
          <w:rFonts w:ascii="Times New Roman" w:hAnsi="Times New Roman" w:cs="Times New Roman"/>
          <w:sz w:val="24"/>
          <w:szCs w:val="24"/>
          <w:lang w:val="en-GB"/>
        </w:rPr>
        <w:t xml:space="preserve"> paradigm specifically developed to assess and characterize pain in CP</w:t>
      </w:r>
      <w:r w:rsidR="0058378F" w:rsidRPr="002013B9">
        <w:rPr>
          <w:rFonts w:ascii="Times New Roman" w:hAnsi="Times New Roman" w:cs="Times New Roman"/>
          <w:sz w:val="24"/>
          <w:szCs w:val="24"/>
          <w:lang w:val="en-GB"/>
        </w:rPr>
        <w:t xml:space="preserve"> </w:t>
      </w:r>
      <w:r w:rsidR="0058378F" w:rsidRPr="002013B9">
        <w:rPr>
          <w:rFonts w:ascii="Times New Roman" w:hAnsi="Times New Roman" w:cs="Times New Roman"/>
          <w:sz w:val="24"/>
          <w:szCs w:val="24"/>
          <w:lang w:val="en-GB"/>
        </w:rPr>
        <w:fldChar w:fldCharType="begin" w:fldLock="1"/>
      </w:r>
      <w:r w:rsidR="009A3A25" w:rsidRPr="002013B9">
        <w:rPr>
          <w:rFonts w:ascii="Times New Roman" w:hAnsi="Times New Roman" w:cs="Times New Roman"/>
          <w:sz w:val="24"/>
          <w:szCs w:val="24"/>
          <w:lang w:val="en-GB"/>
        </w:rPr>
        <w:instrText>ADDIN CSL_CITATION {"citationItems":[{"id":"ITEM-1","itemData":{"DOI":"10.1080/17512433.2019.1571409","ISSN":"1751-2441","PMID":"30664364","abstract":"INTRODUCTION Pain is the most common symptom in chronic pancreatitis and treatment remains a challenge. Management of visceral pain, in general, is only sparsely documented, and treatment in the clinic is typically based on empirical knowledge from somatic pain conditions. This may be problematic, as many aspects of the neurobiology differ significantly from somatic pain, and organs such as the gut and liver play a major role in tolerability to analgesics. On the other hand, clinical awareness and new methods for quantitative assessment of pain mechanisms, will likely increase our understanding of the visceral pain system and guide more individualized pain management. Areas covered: This review includes an overview of known pain mechanisms in chronic pancreatitis and how to characterize them using quantitative sensory testing. The aim is to provide a mechanism-oriented approach to analgesic treatment, including treatment of psychological factors affecting pain perception and consideration of side effects in the management plan. Expert opinion: A mechanism-based examination and profiling of pain in chronic pancreatitis will enable investigators to provide a well-substantiated approach to effective management. This mechanism-based, individualized regime will pave the road to better pain relief and spare the patient from unnecessary trial-and-error approaches and unwanted side effects.","author":[{"dropping-particle":"","family":"Kuhlmann","given":"Louise","non-dropping-particle":"","parse-names":false,"suffix":""},{"dropping-particle":"","family":"Olesen","given":"Søren S","non-dropping-particle":"","parse-names":false,"suffix":""},{"dropping-particle":"","family":"Olesen","given":"Anne E","non-dropping-particle":"","parse-names":false,"suffix":""},{"dropping-particle":"","family":"Arendt-Nielsen","given":"Lars","non-dropping-particle":"","parse-names":false,"suffix":""},{"dropping-particle":"","family":"Drewes","given":"Asbjørn M","non-dropping-particle":"","parse-names":false,"suffix":""}],"container-title":"Expert review of clinical pharmacology","id":"ITEM-1","issue":"3","issued":{"date-parts":[["2019","3"]]},"page":"249-258","title":"Mechanism-based pain management in chronic pancreatitis - is it time for a paradigm shift?","type":"article-journal","volume":"12"},"uris":["http://www.mendeley.com/documents/?uuid=bebb678c-3740-45af-a870-5c4d13c57ff7"]}],"mendeley":{"formattedCitation":"[29]","plainTextFormattedCitation":"[29]","previouslyFormattedCitation":"[29]"},"properties":{"noteIndex":0},"schema":"https://github.com/citation-style-language/schema/raw/master/csl-citation.json"}</w:instrText>
      </w:r>
      <w:r w:rsidR="0058378F" w:rsidRPr="002013B9">
        <w:rPr>
          <w:rFonts w:ascii="Times New Roman" w:hAnsi="Times New Roman" w:cs="Times New Roman"/>
          <w:sz w:val="24"/>
          <w:szCs w:val="24"/>
          <w:lang w:val="en-GB"/>
        </w:rPr>
        <w:fldChar w:fldCharType="separate"/>
      </w:r>
      <w:r w:rsidR="00CA1FAE" w:rsidRPr="002013B9">
        <w:rPr>
          <w:rFonts w:ascii="Times New Roman" w:hAnsi="Times New Roman" w:cs="Times New Roman"/>
          <w:noProof/>
          <w:sz w:val="24"/>
          <w:szCs w:val="24"/>
          <w:lang w:val="en-GB"/>
        </w:rPr>
        <w:t>[29]</w:t>
      </w:r>
      <w:r w:rsidR="0058378F" w:rsidRPr="002013B9">
        <w:rPr>
          <w:rFonts w:ascii="Times New Roman" w:hAnsi="Times New Roman" w:cs="Times New Roman"/>
          <w:sz w:val="24"/>
          <w:szCs w:val="24"/>
          <w:lang w:val="en-GB"/>
        </w:rPr>
        <w:fldChar w:fldCharType="end"/>
      </w:r>
      <w:r w:rsidR="006456F5" w:rsidRPr="002013B9">
        <w:rPr>
          <w:rFonts w:ascii="Times New Roman" w:hAnsi="Times New Roman" w:cs="Times New Roman"/>
          <w:sz w:val="24"/>
          <w:szCs w:val="24"/>
          <w:lang w:val="en-GB"/>
        </w:rPr>
        <w:t xml:space="preserve">. </w:t>
      </w:r>
    </w:p>
    <w:p w14:paraId="04936B10" w14:textId="16EA70B6" w:rsidR="00684061" w:rsidRDefault="00D90398" w:rsidP="00B91FC7">
      <w:pPr>
        <w:spacing w:line="480" w:lineRule="auto"/>
        <w:ind w:firstLine="567"/>
        <w:contextualSpacing/>
        <w:jc w:val="both"/>
        <w:rPr>
          <w:rFonts w:ascii="Times New Roman" w:eastAsia="Times New Roman" w:hAnsi="Times New Roman" w:cs="Times New Roman"/>
          <w:sz w:val="24"/>
          <w:szCs w:val="24"/>
          <w:lang w:val="en-GB" w:eastAsia="da-DK"/>
        </w:rPr>
      </w:pPr>
      <w:r w:rsidRPr="002013B9">
        <w:rPr>
          <w:rFonts w:ascii="Times New Roman" w:eastAsia="Times New Roman" w:hAnsi="Times New Roman" w:cs="Times New Roman"/>
          <w:sz w:val="24"/>
          <w:szCs w:val="24"/>
          <w:lang w:val="en-GB" w:eastAsia="da-DK"/>
        </w:rPr>
        <w:t xml:space="preserve">In conclusion, the SCHOKE trial is a randomized </w:t>
      </w:r>
      <w:r w:rsidR="00DD5F68" w:rsidRPr="002013B9">
        <w:rPr>
          <w:rFonts w:ascii="Times New Roman" w:eastAsia="Times New Roman" w:hAnsi="Times New Roman" w:cs="Times New Roman"/>
          <w:sz w:val="24"/>
          <w:szCs w:val="24"/>
          <w:lang w:val="en-GB" w:eastAsia="da-DK"/>
        </w:rPr>
        <w:t>sham-controlled</w:t>
      </w:r>
      <w:r w:rsidRPr="002013B9">
        <w:rPr>
          <w:rFonts w:ascii="Times New Roman" w:eastAsia="Times New Roman" w:hAnsi="Times New Roman" w:cs="Times New Roman"/>
          <w:sz w:val="24"/>
          <w:szCs w:val="24"/>
          <w:lang w:val="en-GB" w:eastAsia="da-DK"/>
        </w:rPr>
        <w:t xml:space="preserve"> trial that investigates whether pancreatic duct decompression is </w:t>
      </w:r>
      <w:r w:rsidR="00DD5F68" w:rsidRPr="002013B9">
        <w:rPr>
          <w:rFonts w:ascii="Times New Roman" w:eastAsia="Times New Roman" w:hAnsi="Times New Roman" w:cs="Times New Roman"/>
          <w:sz w:val="24"/>
          <w:szCs w:val="24"/>
          <w:lang w:val="en-GB" w:eastAsia="da-DK"/>
        </w:rPr>
        <w:t>effect</w:t>
      </w:r>
      <w:r w:rsidR="00251888" w:rsidRPr="002013B9">
        <w:rPr>
          <w:rFonts w:ascii="Times New Roman" w:eastAsia="Times New Roman" w:hAnsi="Times New Roman" w:cs="Times New Roman"/>
          <w:sz w:val="24"/>
          <w:szCs w:val="24"/>
          <w:lang w:val="en-GB" w:eastAsia="da-DK"/>
        </w:rPr>
        <w:t>ive</w:t>
      </w:r>
      <w:r w:rsidR="00DD5F68" w:rsidRPr="002013B9">
        <w:rPr>
          <w:rFonts w:ascii="Times New Roman" w:eastAsia="Times New Roman" w:hAnsi="Times New Roman" w:cs="Times New Roman"/>
          <w:sz w:val="24"/>
          <w:szCs w:val="24"/>
          <w:lang w:val="en-GB" w:eastAsia="da-DK"/>
        </w:rPr>
        <w:t xml:space="preserve"> for obtaining pain relief in patients with painful CP</w:t>
      </w:r>
      <w:r w:rsidRPr="002013B9">
        <w:rPr>
          <w:rFonts w:ascii="Times New Roman" w:eastAsia="Times New Roman" w:hAnsi="Times New Roman" w:cs="Times New Roman"/>
          <w:sz w:val="24"/>
          <w:szCs w:val="24"/>
          <w:lang w:val="en-GB" w:eastAsia="da-DK"/>
        </w:rPr>
        <w:t xml:space="preserve">. </w:t>
      </w:r>
    </w:p>
    <w:p w14:paraId="4551F007" w14:textId="77777777" w:rsidR="00B91FC7" w:rsidRPr="00B91FC7" w:rsidRDefault="00B91FC7" w:rsidP="00B5236A">
      <w:pPr>
        <w:spacing w:line="480" w:lineRule="auto"/>
        <w:contextualSpacing/>
        <w:jc w:val="both"/>
        <w:rPr>
          <w:rFonts w:ascii="Times New Roman" w:eastAsia="Times New Roman" w:hAnsi="Times New Roman" w:cs="Times New Roman"/>
          <w:sz w:val="24"/>
          <w:szCs w:val="24"/>
          <w:lang w:val="en-GB" w:eastAsia="da-DK"/>
        </w:rPr>
      </w:pPr>
    </w:p>
    <w:p w14:paraId="42EB84BF" w14:textId="267EEBB4" w:rsidR="00EE491C" w:rsidRPr="002013B9" w:rsidRDefault="00EE491C" w:rsidP="00EE491C">
      <w:pPr>
        <w:spacing w:line="480" w:lineRule="auto"/>
        <w:contextualSpacing/>
        <w:jc w:val="both"/>
        <w:rPr>
          <w:rFonts w:ascii="Times New Roman" w:eastAsia="Times New Roman" w:hAnsi="Times New Roman" w:cs="Times New Roman"/>
          <w:b/>
          <w:bCs/>
          <w:sz w:val="24"/>
          <w:szCs w:val="24"/>
          <w:lang w:val="en-GB" w:eastAsia="da-DK"/>
        </w:rPr>
      </w:pPr>
      <w:r w:rsidRPr="002013B9">
        <w:rPr>
          <w:rFonts w:ascii="Times New Roman" w:eastAsia="Times New Roman" w:hAnsi="Times New Roman" w:cs="Times New Roman"/>
          <w:b/>
          <w:bCs/>
          <w:sz w:val="24"/>
          <w:szCs w:val="24"/>
          <w:lang w:val="en-GB" w:eastAsia="da-DK"/>
        </w:rPr>
        <w:t xml:space="preserve">Trial status </w:t>
      </w:r>
    </w:p>
    <w:p w14:paraId="605065CE" w14:textId="63D5376E" w:rsidR="00EE491C" w:rsidRPr="002013B9" w:rsidRDefault="008D48A5" w:rsidP="00EE491C">
      <w:pPr>
        <w:spacing w:line="480" w:lineRule="auto"/>
        <w:contextualSpacing/>
        <w:jc w:val="both"/>
        <w:rPr>
          <w:rFonts w:ascii="Times New Roman" w:eastAsia="Times New Roman" w:hAnsi="Times New Roman" w:cs="Times New Roman"/>
          <w:sz w:val="24"/>
          <w:szCs w:val="24"/>
          <w:lang w:val="en-GB" w:eastAsia="da-DK"/>
        </w:rPr>
      </w:pPr>
      <w:r w:rsidRPr="002013B9">
        <w:rPr>
          <w:rFonts w:ascii="Times New Roman" w:eastAsia="Times New Roman" w:hAnsi="Times New Roman" w:cs="Times New Roman"/>
          <w:sz w:val="24"/>
          <w:szCs w:val="24"/>
          <w:lang w:val="en-GB" w:eastAsia="da-DK"/>
        </w:rPr>
        <w:t>Ethical approval has been obtained and t</w:t>
      </w:r>
      <w:r w:rsidR="00EE491C" w:rsidRPr="002013B9">
        <w:rPr>
          <w:rFonts w:ascii="Times New Roman" w:eastAsia="Times New Roman" w:hAnsi="Times New Roman" w:cs="Times New Roman"/>
          <w:sz w:val="24"/>
          <w:szCs w:val="24"/>
          <w:lang w:val="en-GB" w:eastAsia="da-DK"/>
        </w:rPr>
        <w:t xml:space="preserve">he trial was registered </w:t>
      </w:r>
      <w:r w:rsidR="00944512" w:rsidRPr="002013B9">
        <w:rPr>
          <w:rFonts w:ascii="Times New Roman" w:eastAsia="Times New Roman" w:hAnsi="Times New Roman" w:cs="Times New Roman"/>
          <w:color w:val="000000" w:themeColor="text1"/>
          <w:sz w:val="24"/>
          <w:szCs w:val="24"/>
          <w:lang w:val="en-GB" w:eastAsia="da-DK"/>
        </w:rPr>
        <w:t>with clinical.trials.gov</w:t>
      </w:r>
      <w:r w:rsidR="00944512" w:rsidRPr="002013B9">
        <w:rPr>
          <w:rFonts w:ascii="Times New Roman" w:eastAsia="Times New Roman" w:hAnsi="Times New Roman" w:cs="Times New Roman"/>
          <w:sz w:val="24"/>
          <w:szCs w:val="24"/>
          <w:lang w:val="en-GB" w:eastAsia="da-DK"/>
        </w:rPr>
        <w:t xml:space="preserve"> </w:t>
      </w:r>
      <w:r w:rsidR="00E93364" w:rsidRPr="002013B9">
        <w:rPr>
          <w:rFonts w:ascii="Times New Roman" w:eastAsia="Times New Roman" w:hAnsi="Times New Roman" w:cs="Times New Roman"/>
          <w:sz w:val="24"/>
          <w:szCs w:val="24"/>
          <w:lang w:val="en-GB" w:eastAsia="da-DK"/>
        </w:rPr>
        <w:t>on May</w:t>
      </w:r>
      <w:r w:rsidR="00EE491C" w:rsidRPr="002013B9">
        <w:rPr>
          <w:rFonts w:ascii="Times New Roman" w:eastAsia="Times New Roman" w:hAnsi="Times New Roman" w:cs="Times New Roman"/>
          <w:sz w:val="24"/>
          <w:szCs w:val="24"/>
          <w:lang w:val="en-GB" w:eastAsia="da-DK"/>
        </w:rPr>
        <w:t xml:space="preserve"> </w:t>
      </w:r>
      <w:r w:rsidR="00E93364" w:rsidRPr="002013B9">
        <w:rPr>
          <w:rFonts w:ascii="Times New Roman" w:eastAsia="Times New Roman" w:hAnsi="Times New Roman" w:cs="Times New Roman"/>
          <w:sz w:val="24"/>
          <w:szCs w:val="24"/>
          <w:lang w:val="en-GB" w:eastAsia="da-DK"/>
        </w:rPr>
        <w:t>25</w:t>
      </w:r>
      <w:r w:rsidR="00E93364" w:rsidRPr="002013B9">
        <w:rPr>
          <w:rFonts w:ascii="Times New Roman" w:eastAsia="Times New Roman" w:hAnsi="Times New Roman" w:cs="Times New Roman"/>
          <w:sz w:val="24"/>
          <w:szCs w:val="24"/>
          <w:vertAlign w:val="superscript"/>
          <w:lang w:val="en-GB" w:eastAsia="da-DK"/>
        </w:rPr>
        <w:t>th</w:t>
      </w:r>
      <w:r w:rsidR="00E93364" w:rsidRPr="002013B9">
        <w:rPr>
          <w:rFonts w:ascii="Times New Roman" w:eastAsia="Times New Roman" w:hAnsi="Times New Roman" w:cs="Times New Roman"/>
          <w:sz w:val="24"/>
          <w:szCs w:val="24"/>
          <w:lang w:val="en-GB" w:eastAsia="da-DK"/>
        </w:rPr>
        <w:t xml:space="preserve">, </w:t>
      </w:r>
      <w:r w:rsidR="00EE491C" w:rsidRPr="002013B9">
        <w:rPr>
          <w:rFonts w:ascii="Times New Roman" w:eastAsia="Times New Roman" w:hAnsi="Times New Roman" w:cs="Times New Roman"/>
          <w:sz w:val="24"/>
          <w:szCs w:val="24"/>
          <w:lang w:val="en-GB" w:eastAsia="da-DK"/>
        </w:rPr>
        <w:t>201</w:t>
      </w:r>
      <w:r w:rsidR="006A3BF0" w:rsidRPr="002013B9">
        <w:rPr>
          <w:rFonts w:ascii="Times New Roman" w:eastAsia="Times New Roman" w:hAnsi="Times New Roman" w:cs="Times New Roman"/>
          <w:sz w:val="24"/>
          <w:szCs w:val="24"/>
          <w:lang w:val="en-GB" w:eastAsia="da-DK"/>
        </w:rPr>
        <w:t>9</w:t>
      </w:r>
      <w:r w:rsidR="00EE491C" w:rsidRPr="002013B9">
        <w:rPr>
          <w:rFonts w:ascii="Times New Roman" w:eastAsia="Times New Roman" w:hAnsi="Times New Roman" w:cs="Times New Roman"/>
          <w:sz w:val="24"/>
          <w:szCs w:val="24"/>
          <w:lang w:val="en-GB" w:eastAsia="da-DK"/>
        </w:rPr>
        <w:t xml:space="preserve"> </w:t>
      </w:r>
      <w:r w:rsidR="00944512" w:rsidRPr="002013B9">
        <w:rPr>
          <w:rFonts w:ascii="Times New Roman" w:eastAsia="Times New Roman" w:hAnsi="Times New Roman" w:cs="Times New Roman"/>
          <w:sz w:val="24"/>
          <w:szCs w:val="24"/>
          <w:lang w:val="en-GB" w:eastAsia="da-DK"/>
        </w:rPr>
        <w:t>(</w:t>
      </w:r>
      <w:r w:rsidR="00D13A8C" w:rsidRPr="002013B9">
        <w:rPr>
          <w:rFonts w:ascii="Times New Roman" w:eastAsia="Times New Roman" w:hAnsi="Times New Roman" w:cs="Times New Roman"/>
          <w:color w:val="000000" w:themeColor="text1"/>
          <w:sz w:val="24"/>
          <w:szCs w:val="24"/>
          <w:lang w:val="en-GB" w:eastAsia="da-DK"/>
        </w:rPr>
        <w:t>NCT03966781</w:t>
      </w:r>
      <w:r w:rsidR="00944512" w:rsidRPr="002013B9">
        <w:rPr>
          <w:rFonts w:ascii="Times New Roman" w:eastAsia="Times New Roman" w:hAnsi="Times New Roman" w:cs="Times New Roman"/>
          <w:color w:val="000000" w:themeColor="text1"/>
          <w:sz w:val="24"/>
          <w:szCs w:val="24"/>
          <w:lang w:val="en-GB" w:eastAsia="da-DK"/>
        </w:rPr>
        <w:t xml:space="preserve">). </w:t>
      </w:r>
      <w:r w:rsidR="00EE491C" w:rsidRPr="002013B9">
        <w:rPr>
          <w:rFonts w:ascii="Times New Roman" w:eastAsia="Times New Roman" w:hAnsi="Times New Roman" w:cs="Times New Roman"/>
          <w:sz w:val="24"/>
          <w:szCs w:val="24"/>
          <w:lang w:val="en-GB" w:eastAsia="da-DK"/>
        </w:rPr>
        <w:t xml:space="preserve">The first patient </w:t>
      </w:r>
      <w:r w:rsidR="00944512" w:rsidRPr="002013B9">
        <w:rPr>
          <w:rFonts w:ascii="Times New Roman" w:eastAsia="Times New Roman" w:hAnsi="Times New Roman" w:cs="Times New Roman"/>
          <w:sz w:val="24"/>
          <w:szCs w:val="24"/>
          <w:lang w:val="en-GB" w:eastAsia="da-DK"/>
        </w:rPr>
        <w:t>is expected to be</w:t>
      </w:r>
      <w:r w:rsidR="00EE491C" w:rsidRPr="002013B9">
        <w:rPr>
          <w:rFonts w:ascii="Times New Roman" w:eastAsia="Times New Roman" w:hAnsi="Times New Roman" w:cs="Times New Roman"/>
          <w:sz w:val="24"/>
          <w:szCs w:val="24"/>
          <w:lang w:val="en-GB" w:eastAsia="da-DK"/>
        </w:rPr>
        <w:t xml:space="preserve"> randomized </w:t>
      </w:r>
      <w:r w:rsidR="001F10D1" w:rsidRPr="002013B9">
        <w:rPr>
          <w:rFonts w:ascii="Times New Roman" w:eastAsia="Times New Roman" w:hAnsi="Times New Roman" w:cs="Times New Roman"/>
          <w:sz w:val="24"/>
          <w:szCs w:val="24"/>
          <w:lang w:val="en-GB" w:eastAsia="da-DK"/>
        </w:rPr>
        <w:t>by November</w:t>
      </w:r>
      <w:r w:rsidR="00944512" w:rsidRPr="002013B9">
        <w:rPr>
          <w:rFonts w:ascii="Times New Roman" w:eastAsia="Times New Roman" w:hAnsi="Times New Roman" w:cs="Times New Roman"/>
          <w:sz w:val="24"/>
          <w:szCs w:val="24"/>
          <w:lang w:val="en-GB" w:eastAsia="da-DK"/>
        </w:rPr>
        <w:t xml:space="preserve"> 1</w:t>
      </w:r>
      <w:r w:rsidR="00944512" w:rsidRPr="002013B9">
        <w:rPr>
          <w:rFonts w:ascii="Times New Roman" w:eastAsia="Times New Roman" w:hAnsi="Times New Roman" w:cs="Times New Roman"/>
          <w:sz w:val="24"/>
          <w:szCs w:val="24"/>
          <w:vertAlign w:val="superscript"/>
          <w:lang w:val="en-GB" w:eastAsia="da-DK"/>
        </w:rPr>
        <w:t>st</w:t>
      </w:r>
      <w:r w:rsidR="00944512" w:rsidRPr="002013B9">
        <w:rPr>
          <w:rFonts w:ascii="Times New Roman" w:eastAsia="Times New Roman" w:hAnsi="Times New Roman" w:cs="Times New Roman"/>
          <w:sz w:val="24"/>
          <w:szCs w:val="24"/>
          <w:lang w:val="en-GB" w:eastAsia="da-DK"/>
        </w:rPr>
        <w:t>, 2019</w:t>
      </w:r>
      <w:r w:rsidR="009A0FB0" w:rsidRPr="002013B9">
        <w:rPr>
          <w:rFonts w:ascii="Times New Roman" w:eastAsia="Times New Roman" w:hAnsi="Times New Roman" w:cs="Times New Roman"/>
          <w:sz w:val="24"/>
          <w:szCs w:val="24"/>
          <w:lang w:val="en-GB" w:eastAsia="da-DK"/>
        </w:rPr>
        <w:t xml:space="preserve"> and recruitment is expected to be comp</w:t>
      </w:r>
      <w:r w:rsidR="00123545">
        <w:rPr>
          <w:rFonts w:ascii="Times New Roman" w:eastAsia="Times New Roman" w:hAnsi="Times New Roman" w:cs="Times New Roman"/>
          <w:sz w:val="24"/>
          <w:szCs w:val="24"/>
          <w:lang w:val="en-GB" w:eastAsia="da-DK"/>
        </w:rPr>
        <w:t>l</w:t>
      </w:r>
      <w:r w:rsidR="009A0FB0" w:rsidRPr="002013B9">
        <w:rPr>
          <w:rFonts w:ascii="Times New Roman" w:eastAsia="Times New Roman" w:hAnsi="Times New Roman" w:cs="Times New Roman"/>
          <w:sz w:val="24"/>
          <w:szCs w:val="24"/>
          <w:lang w:val="en-GB" w:eastAsia="da-DK"/>
        </w:rPr>
        <w:t>eted November 1</w:t>
      </w:r>
      <w:r w:rsidR="009A0FB0" w:rsidRPr="002013B9">
        <w:rPr>
          <w:rFonts w:ascii="Times New Roman" w:eastAsia="Times New Roman" w:hAnsi="Times New Roman" w:cs="Times New Roman"/>
          <w:sz w:val="24"/>
          <w:szCs w:val="24"/>
          <w:vertAlign w:val="superscript"/>
          <w:lang w:val="en-GB" w:eastAsia="da-DK"/>
        </w:rPr>
        <w:t>st</w:t>
      </w:r>
      <w:r w:rsidR="009A0FB0" w:rsidRPr="002013B9">
        <w:rPr>
          <w:rFonts w:ascii="Times New Roman" w:eastAsia="Times New Roman" w:hAnsi="Times New Roman" w:cs="Times New Roman"/>
          <w:sz w:val="24"/>
          <w:szCs w:val="24"/>
          <w:lang w:val="en-GB" w:eastAsia="da-DK"/>
        </w:rPr>
        <w:t>, 2020</w:t>
      </w:r>
      <w:r w:rsidR="00EE491C" w:rsidRPr="002013B9">
        <w:rPr>
          <w:rFonts w:ascii="Times New Roman" w:eastAsia="Times New Roman" w:hAnsi="Times New Roman" w:cs="Times New Roman"/>
          <w:sz w:val="24"/>
          <w:szCs w:val="24"/>
          <w:lang w:val="en-GB" w:eastAsia="da-DK"/>
        </w:rPr>
        <w:t xml:space="preserve">. </w:t>
      </w:r>
    </w:p>
    <w:p w14:paraId="56E24487" w14:textId="77777777" w:rsidR="00C00532" w:rsidRPr="002013B9" w:rsidRDefault="00C00532" w:rsidP="00EE491C">
      <w:pPr>
        <w:spacing w:line="480" w:lineRule="auto"/>
        <w:contextualSpacing/>
        <w:jc w:val="both"/>
        <w:rPr>
          <w:rFonts w:ascii="Times New Roman" w:eastAsia="Times New Roman" w:hAnsi="Times New Roman" w:cs="Times New Roman"/>
          <w:b/>
          <w:bCs/>
          <w:sz w:val="24"/>
          <w:szCs w:val="24"/>
          <w:lang w:val="en-GB" w:eastAsia="da-DK"/>
        </w:rPr>
      </w:pPr>
    </w:p>
    <w:p w14:paraId="28F7D571" w14:textId="67436764" w:rsidR="00944512" w:rsidRPr="002013B9" w:rsidRDefault="00AE7E32" w:rsidP="00EE491C">
      <w:pPr>
        <w:spacing w:line="480" w:lineRule="auto"/>
        <w:contextualSpacing/>
        <w:jc w:val="both"/>
        <w:rPr>
          <w:rFonts w:ascii="Times New Roman" w:eastAsia="Times New Roman" w:hAnsi="Times New Roman" w:cs="Times New Roman"/>
          <w:b/>
          <w:bCs/>
          <w:sz w:val="24"/>
          <w:szCs w:val="24"/>
          <w:lang w:val="en-GB" w:eastAsia="da-DK"/>
        </w:rPr>
      </w:pPr>
      <w:r w:rsidRPr="002013B9">
        <w:rPr>
          <w:rFonts w:ascii="Times New Roman" w:eastAsia="Times New Roman" w:hAnsi="Times New Roman" w:cs="Times New Roman"/>
          <w:b/>
          <w:bCs/>
          <w:sz w:val="24"/>
          <w:szCs w:val="24"/>
          <w:lang w:val="en-GB" w:eastAsia="da-DK"/>
        </w:rPr>
        <w:t>Abbreviations</w:t>
      </w:r>
    </w:p>
    <w:p w14:paraId="6A186BB4" w14:textId="00865A36" w:rsidR="00AE7E32" w:rsidRPr="002013B9" w:rsidRDefault="00AE7E32" w:rsidP="00EE491C">
      <w:pPr>
        <w:spacing w:line="480" w:lineRule="auto"/>
        <w:contextualSpacing/>
        <w:jc w:val="both"/>
        <w:rPr>
          <w:rFonts w:ascii="Times New Roman" w:eastAsia="Times New Roman" w:hAnsi="Times New Roman" w:cs="Times New Roman"/>
          <w:sz w:val="24"/>
          <w:szCs w:val="24"/>
          <w:lang w:val="en-GB" w:eastAsia="da-DK"/>
        </w:rPr>
      </w:pPr>
      <w:r w:rsidRPr="002013B9">
        <w:rPr>
          <w:rFonts w:ascii="Times New Roman" w:eastAsia="Times New Roman" w:hAnsi="Times New Roman" w:cs="Times New Roman"/>
          <w:sz w:val="24"/>
          <w:szCs w:val="24"/>
          <w:lang w:val="en-GB" w:eastAsia="da-DK"/>
        </w:rPr>
        <w:t>CP</w:t>
      </w:r>
      <w:r w:rsidR="00B05B79" w:rsidRPr="002013B9">
        <w:rPr>
          <w:rFonts w:ascii="Times New Roman" w:eastAsia="Times New Roman" w:hAnsi="Times New Roman" w:cs="Times New Roman"/>
          <w:sz w:val="24"/>
          <w:szCs w:val="24"/>
          <w:lang w:val="en-GB" w:eastAsia="da-DK"/>
        </w:rPr>
        <w:t>: chronic pancreatitis</w:t>
      </w:r>
      <w:r w:rsidR="00277EF1" w:rsidRPr="002013B9">
        <w:rPr>
          <w:rFonts w:ascii="Times New Roman" w:eastAsia="Times New Roman" w:hAnsi="Times New Roman" w:cs="Times New Roman"/>
          <w:sz w:val="24"/>
          <w:szCs w:val="24"/>
          <w:lang w:val="en-GB" w:eastAsia="da-DK"/>
        </w:rPr>
        <w:t xml:space="preserve">; </w:t>
      </w:r>
      <w:r w:rsidR="001738C6" w:rsidRPr="002013B9">
        <w:rPr>
          <w:rFonts w:ascii="Times New Roman" w:eastAsia="Times New Roman" w:hAnsi="Times New Roman" w:cs="Times New Roman"/>
          <w:sz w:val="24"/>
          <w:szCs w:val="24"/>
          <w:lang w:val="en-GB" w:eastAsia="da-DK"/>
        </w:rPr>
        <w:t xml:space="preserve">CPM: conditioned pain modulation; </w:t>
      </w:r>
      <w:r w:rsidR="00B22CC6" w:rsidRPr="002013B9">
        <w:rPr>
          <w:rFonts w:ascii="Times New Roman" w:eastAsia="Times New Roman" w:hAnsi="Times New Roman" w:cs="Times New Roman"/>
          <w:sz w:val="24"/>
          <w:szCs w:val="24"/>
          <w:lang w:val="en-GB" w:eastAsia="da-DK"/>
        </w:rPr>
        <w:t xml:space="preserve">CT: computed tomography; </w:t>
      </w:r>
      <w:r w:rsidR="00507E08" w:rsidRPr="002013B9">
        <w:rPr>
          <w:rFonts w:ascii="Times New Roman" w:eastAsia="Times New Roman" w:hAnsi="Times New Roman" w:cs="Times New Roman"/>
          <w:sz w:val="24"/>
          <w:szCs w:val="24"/>
          <w:lang w:val="en-GB" w:eastAsia="da-DK"/>
        </w:rPr>
        <w:t xml:space="preserve">BPI: brief pain inventory; </w:t>
      </w:r>
      <w:r w:rsidR="00277EF1" w:rsidRPr="002013B9">
        <w:rPr>
          <w:rFonts w:ascii="Times New Roman" w:eastAsia="Times New Roman" w:hAnsi="Times New Roman" w:cs="Times New Roman"/>
          <w:sz w:val="24"/>
          <w:szCs w:val="24"/>
          <w:lang w:val="en-GB" w:eastAsia="da-DK"/>
        </w:rPr>
        <w:t>DSMB: data safety monitoring board</w:t>
      </w:r>
      <w:r w:rsidR="00B05B79" w:rsidRPr="002013B9">
        <w:rPr>
          <w:rFonts w:ascii="Times New Roman" w:eastAsia="Times New Roman" w:hAnsi="Times New Roman" w:cs="Times New Roman"/>
          <w:sz w:val="24"/>
          <w:szCs w:val="24"/>
          <w:lang w:val="en-GB" w:eastAsia="da-DK"/>
        </w:rPr>
        <w:t>; ESWL:</w:t>
      </w:r>
      <w:r w:rsidR="0087750D" w:rsidRPr="002013B9">
        <w:rPr>
          <w:rFonts w:ascii="Times New Roman" w:eastAsia="Times New Roman" w:hAnsi="Times New Roman" w:cs="Times New Roman"/>
          <w:sz w:val="24"/>
          <w:szCs w:val="24"/>
          <w:lang w:val="en-GB" w:eastAsia="da-DK"/>
        </w:rPr>
        <w:t xml:space="preserve"> extracorporeal shock wave lithotripsy; ERCP:</w:t>
      </w:r>
      <w:r w:rsidR="00E62C38" w:rsidRPr="002013B9">
        <w:rPr>
          <w:rFonts w:ascii="Times New Roman" w:eastAsia="Times New Roman" w:hAnsi="Times New Roman" w:cs="Times New Roman"/>
          <w:sz w:val="24"/>
          <w:szCs w:val="24"/>
          <w:lang w:val="en-GB" w:eastAsia="da-DK"/>
        </w:rPr>
        <w:t xml:space="preserve"> endoscopic retrograde </w:t>
      </w:r>
      <w:r w:rsidR="00751661" w:rsidRPr="002013B9">
        <w:rPr>
          <w:rFonts w:ascii="Times New Roman" w:eastAsia="Times New Roman" w:hAnsi="Times New Roman" w:cs="Times New Roman"/>
          <w:sz w:val="24"/>
          <w:szCs w:val="24"/>
          <w:lang w:val="en-GB" w:eastAsia="da-DK"/>
        </w:rPr>
        <w:t>cholangiopancreatography;</w:t>
      </w:r>
      <w:r w:rsidR="00277EF1" w:rsidRPr="002013B9">
        <w:rPr>
          <w:rFonts w:ascii="Times New Roman" w:eastAsia="Times New Roman" w:hAnsi="Times New Roman" w:cs="Times New Roman"/>
          <w:sz w:val="24"/>
          <w:szCs w:val="24"/>
          <w:lang w:val="en-GB" w:eastAsia="da-DK"/>
        </w:rPr>
        <w:t xml:space="preserve"> IRB: institutional review board;</w:t>
      </w:r>
      <w:r w:rsidR="00751661" w:rsidRPr="002013B9">
        <w:rPr>
          <w:rFonts w:ascii="Times New Roman" w:eastAsia="Times New Roman" w:hAnsi="Times New Roman" w:cs="Times New Roman"/>
          <w:sz w:val="24"/>
          <w:szCs w:val="24"/>
          <w:lang w:val="en-GB" w:eastAsia="da-DK"/>
        </w:rPr>
        <w:t xml:space="preserve"> </w:t>
      </w:r>
      <w:r w:rsidR="003C7993" w:rsidRPr="002013B9">
        <w:rPr>
          <w:rFonts w:ascii="Times New Roman" w:eastAsia="Times New Roman" w:hAnsi="Times New Roman" w:cs="Times New Roman"/>
          <w:sz w:val="24"/>
          <w:szCs w:val="24"/>
          <w:lang w:val="en-GB" w:eastAsia="da-DK"/>
        </w:rPr>
        <w:t xml:space="preserve">MRCP; magnetic resonance cholangiopancreatography; </w:t>
      </w:r>
      <w:r w:rsidR="00751661" w:rsidRPr="002013B9">
        <w:rPr>
          <w:rFonts w:ascii="Times New Roman" w:eastAsia="Times New Roman" w:hAnsi="Times New Roman" w:cs="Times New Roman"/>
          <w:sz w:val="24"/>
          <w:szCs w:val="24"/>
          <w:lang w:val="en-GB" w:eastAsia="da-DK"/>
        </w:rPr>
        <w:t>QST: quantitative sensory testing</w:t>
      </w:r>
      <w:r w:rsidR="006474BC" w:rsidRPr="002013B9">
        <w:rPr>
          <w:rFonts w:ascii="Times New Roman" w:eastAsia="Times New Roman" w:hAnsi="Times New Roman" w:cs="Times New Roman"/>
          <w:sz w:val="24"/>
          <w:szCs w:val="24"/>
          <w:lang w:val="en-GB" w:eastAsia="da-DK"/>
        </w:rPr>
        <w:t xml:space="preserve">; </w:t>
      </w:r>
      <w:r w:rsidR="00E10EA9" w:rsidRPr="002013B9">
        <w:rPr>
          <w:rFonts w:ascii="Times New Roman" w:eastAsia="Times New Roman" w:hAnsi="Times New Roman" w:cs="Times New Roman"/>
          <w:sz w:val="24"/>
          <w:szCs w:val="24"/>
          <w:lang w:val="en-GB" w:eastAsia="da-DK"/>
        </w:rPr>
        <w:t xml:space="preserve">VAS; visual analogue scale; </w:t>
      </w:r>
      <w:r w:rsidR="00423818" w:rsidRPr="002013B9">
        <w:rPr>
          <w:rFonts w:ascii="Times New Roman" w:eastAsia="Times New Roman" w:hAnsi="Times New Roman" w:cs="Times New Roman"/>
          <w:sz w:val="24"/>
          <w:szCs w:val="24"/>
          <w:lang w:val="en-GB" w:eastAsia="da-DK"/>
        </w:rPr>
        <w:t xml:space="preserve">RCT: randomized controlled trial; </w:t>
      </w:r>
      <w:r w:rsidR="006474BC" w:rsidRPr="002013B9">
        <w:rPr>
          <w:rFonts w:ascii="Times New Roman" w:eastAsia="Times New Roman" w:hAnsi="Times New Roman" w:cs="Times New Roman"/>
          <w:color w:val="111111"/>
          <w:sz w:val="24"/>
          <w:szCs w:val="24"/>
          <w:lang w:val="en-GB" w:eastAsia="da-DK"/>
        </w:rPr>
        <w:t xml:space="preserve">SPIRIT: Standard protocol items: recommendation for interventional trials </w:t>
      </w:r>
    </w:p>
    <w:p w14:paraId="6332D28C" w14:textId="2A9CB325" w:rsidR="00B05B79" w:rsidRDefault="00B05B79" w:rsidP="00EE491C">
      <w:pPr>
        <w:spacing w:line="480" w:lineRule="auto"/>
        <w:contextualSpacing/>
        <w:jc w:val="both"/>
        <w:rPr>
          <w:rFonts w:ascii="Times New Roman" w:eastAsia="Times New Roman" w:hAnsi="Times New Roman" w:cs="Times New Roman"/>
          <w:sz w:val="24"/>
          <w:szCs w:val="24"/>
          <w:highlight w:val="yellow"/>
          <w:lang w:val="en-GB" w:eastAsia="da-DK"/>
        </w:rPr>
      </w:pPr>
    </w:p>
    <w:p w14:paraId="58916D7A" w14:textId="77777777" w:rsidR="0062064B" w:rsidRPr="002013B9" w:rsidRDefault="0062064B" w:rsidP="00EE491C">
      <w:pPr>
        <w:spacing w:line="480" w:lineRule="auto"/>
        <w:contextualSpacing/>
        <w:jc w:val="both"/>
        <w:rPr>
          <w:rFonts w:ascii="Times New Roman" w:eastAsia="Times New Roman" w:hAnsi="Times New Roman" w:cs="Times New Roman"/>
          <w:sz w:val="24"/>
          <w:szCs w:val="24"/>
          <w:highlight w:val="yellow"/>
          <w:lang w:val="en-GB" w:eastAsia="da-DK"/>
        </w:rPr>
      </w:pPr>
    </w:p>
    <w:p w14:paraId="12A6A185" w14:textId="46CDDB96" w:rsidR="00B05B79" w:rsidRPr="002013B9" w:rsidRDefault="00B05B79" w:rsidP="00EE491C">
      <w:pPr>
        <w:spacing w:line="480" w:lineRule="auto"/>
        <w:contextualSpacing/>
        <w:jc w:val="both"/>
        <w:rPr>
          <w:rFonts w:ascii="Times New Roman" w:eastAsia="Times New Roman" w:hAnsi="Times New Roman" w:cs="Times New Roman"/>
          <w:b/>
          <w:bCs/>
          <w:sz w:val="24"/>
          <w:szCs w:val="24"/>
          <w:lang w:val="en-GB" w:eastAsia="da-DK"/>
        </w:rPr>
      </w:pPr>
      <w:r w:rsidRPr="002013B9">
        <w:rPr>
          <w:rFonts w:ascii="Times New Roman" w:eastAsia="Times New Roman" w:hAnsi="Times New Roman" w:cs="Times New Roman"/>
          <w:b/>
          <w:bCs/>
          <w:sz w:val="24"/>
          <w:szCs w:val="24"/>
          <w:lang w:val="en-GB" w:eastAsia="da-DK"/>
        </w:rPr>
        <w:lastRenderedPageBreak/>
        <w:t>Acknowledgements</w:t>
      </w:r>
    </w:p>
    <w:p w14:paraId="4F8DD272" w14:textId="1DF662CF" w:rsidR="00C03CE4" w:rsidRPr="002013B9" w:rsidRDefault="003A60C1" w:rsidP="00EE491C">
      <w:pPr>
        <w:spacing w:line="480" w:lineRule="auto"/>
        <w:contextualSpacing/>
        <w:jc w:val="both"/>
        <w:rPr>
          <w:rFonts w:ascii="Times New Roman" w:eastAsia="Times New Roman" w:hAnsi="Times New Roman" w:cs="Times New Roman"/>
          <w:sz w:val="24"/>
          <w:szCs w:val="24"/>
          <w:lang w:val="en-GB" w:eastAsia="da-DK"/>
        </w:rPr>
      </w:pPr>
      <w:r w:rsidRPr="002013B9">
        <w:rPr>
          <w:rFonts w:ascii="Times New Roman" w:eastAsia="Times New Roman" w:hAnsi="Times New Roman" w:cs="Times New Roman"/>
          <w:sz w:val="24"/>
          <w:szCs w:val="24"/>
          <w:lang w:val="en-GB" w:eastAsia="da-DK"/>
        </w:rPr>
        <w:t>None</w:t>
      </w:r>
    </w:p>
    <w:p w14:paraId="103951B4" w14:textId="77777777" w:rsidR="003A60C1" w:rsidRPr="002013B9" w:rsidRDefault="003A60C1" w:rsidP="00EE491C">
      <w:pPr>
        <w:spacing w:line="480" w:lineRule="auto"/>
        <w:contextualSpacing/>
        <w:jc w:val="both"/>
        <w:rPr>
          <w:rFonts w:ascii="Times New Roman" w:eastAsia="Times New Roman" w:hAnsi="Times New Roman" w:cs="Times New Roman"/>
          <w:sz w:val="24"/>
          <w:szCs w:val="24"/>
          <w:lang w:val="en-GB" w:eastAsia="da-DK"/>
        </w:rPr>
      </w:pPr>
    </w:p>
    <w:p w14:paraId="29D105DF" w14:textId="77777777" w:rsidR="00C03CE4" w:rsidRPr="002013B9" w:rsidRDefault="00C03CE4" w:rsidP="00C03CE4">
      <w:pPr>
        <w:spacing w:line="480" w:lineRule="auto"/>
        <w:contextualSpacing/>
        <w:jc w:val="both"/>
        <w:rPr>
          <w:rFonts w:ascii="Times New Roman" w:eastAsia="Times New Roman" w:hAnsi="Times New Roman" w:cs="Times New Roman"/>
          <w:b/>
          <w:bCs/>
          <w:sz w:val="24"/>
          <w:szCs w:val="24"/>
          <w:lang w:val="en-GB" w:eastAsia="da-DK"/>
        </w:rPr>
      </w:pPr>
      <w:r w:rsidRPr="002013B9">
        <w:rPr>
          <w:rFonts w:ascii="Times New Roman" w:eastAsia="Times New Roman" w:hAnsi="Times New Roman" w:cs="Times New Roman"/>
          <w:b/>
          <w:bCs/>
          <w:sz w:val="24"/>
          <w:szCs w:val="24"/>
          <w:lang w:val="en-GB" w:eastAsia="da-DK"/>
        </w:rPr>
        <w:t xml:space="preserve">Funding </w:t>
      </w:r>
    </w:p>
    <w:p w14:paraId="52DAF8DA" w14:textId="140F74B9" w:rsidR="00C03CE4" w:rsidRPr="002013B9" w:rsidRDefault="00C03CE4" w:rsidP="00C03CE4">
      <w:pPr>
        <w:spacing w:line="480" w:lineRule="auto"/>
        <w:contextualSpacing/>
        <w:jc w:val="both"/>
        <w:rPr>
          <w:rFonts w:ascii="Times New Roman" w:eastAsia="Times New Roman" w:hAnsi="Times New Roman" w:cs="Times New Roman"/>
          <w:sz w:val="24"/>
          <w:szCs w:val="24"/>
          <w:lang w:val="en-GB" w:eastAsia="da-DK"/>
        </w:rPr>
      </w:pPr>
      <w:r w:rsidRPr="002013B9">
        <w:rPr>
          <w:rFonts w:ascii="Times New Roman" w:eastAsia="Times New Roman" w:hAnsi="Times New Roman" w:cs="Times New Roman"/>
          <w:sz w:val="24"/>
          <w:szCs w:val="24"/>
          <w:lang w:val="en-GB" w:eastAsia="da-DK"/>
        </w:rPr>
        <w:t xml:space="preserve">The SCHOKE trial is an investigator-initiated trial. Financial support </w:t>
      </w:r>
      <w:r w:rsidR="00821F57" w:rsidRPr="002013B9">
        <w:rPr>
          <w:rFonts w:ascii="Times New Roman" w:eastAsia="Times New Roman" w:hAnsi="Times New Roman" w:cs="Times New Roman"/>
          <w:sz w:val="24"/>
          <w:szCs w:val="24"/>
          <w:lang w:val="en-GB" w:eastAsia="da-DK"/>
        </w:rPr>
        <w:t>is sought from relevant funds.</w:t>
      </w:r>
      <w:r w:rsidRPr="002013B9">
        <w:rPr>
          <w:rFonts w:ascii="Times New Roman" w:eastAsia="Times New Roman" w:hAnsi="Times New Roman" w:cs="Times New Roman"/>
          <w:sz w:val="24"/>
          <w:szCs w:val="24"/>
          <w:lang w:val="en-GB" w:eastAsia="da-DK"/>
        </w:rPr>
        <w:t xml:space="preserve"> Sponsors</w:t>
      </w:r>
      <w:r w:rsidR="00821F57" w:rsidRPr="002013B9">
        <w:rPr>
          <w:rFonts w:ascii="Times New Roman" w:eastAsia="Times New Roman" w:hAnsi="Times New Roman" w:cs="Times New Roman"/>
          <w:sz w:val="24"/>
          <w:szCs w:val="24"/>
          <w:lang w:val="en-GB" w:eastAsia="da-DK"/>
        </w:rPr>
        <w:t xml:space="preserve"> will</w:t>
      </w:r>
      <w:r w:rsidRPr="002013B9">
        <w:rPr>
          <w:rFonts w:ascii="Times New Roman" w:eastAsia="Times New Roman" w:hAnsi="Times New Roman" w:cs="Times New Roman"/>
          <w:sz w:val="24"/>
          <w:szCs w:val="24"/>
          <w:lang w:val="en-GB" w:eastAsia="da-DK"/>
        </w:rPr>
        <w:t xml:space="preserve"> have no influence on the design of the study, data collection, results or publication. </w:t>
      </w:r>
    </w:p>
    <w:p w14:paraId="2C2EAC0F" w14:textId="77777777" w:rsidR="00821F57" w:rsidRPr="002013B9" w:rsidRDefault="00821F57" w:rsidP="00C03CE4">
      <w:pPr>
        <w:spacing w:line="480" w:lineRule="auto"/>
        <w:contextualSpacing/>
        <w:jc w:val="both"/>
        <w:rPr>
          <w:rFonts w:ascii="Times New Roman" w:eastAsia="Times New Roman" w:hAnsi="Times New Roman" w:cs="Times New Roman"/>
          <w:sz w:val="24"/>
          <w:szCs w:val="24"/>
          <w:lang w:val="en-GB" w:eastAsia="da-DK"/>
        </w:rPr>
      </w:pPr>
    </w:p>
    <w:p w14:paraId="3589AFEB" w14:textId="2FFD86F2" w:rsidR="00C03CE4" w:rsidRPr="002013B9" w:rsidRDefault="00C03CE4" w:rsidP="00C03CE4">
      <w:pPr>
        <w:spacing w:line="480" w:lineRule="auto"/>
        <w:contextualSpacing/>
        <w:jc w:val="both"/>
        <w:rPr>
          <w:rFonts w:ascii="Times New Roman" w:eastAsia="Times New Roman" w:hAnsi="Times New Roman" w:cs="Times New Roman"/>
          <w:b/>
          <w:bCs/>
          <w:sz w:val="24"/>
          <w:szCs w:val="24"/>
          <w:lang w:val="en-GB" w:eastAsia="da-DK"/>
        </w:rPr>
      </w:pPr>
      <w:r w:rsidRPr="002013B9">
        <w:rPr>
          <w:rFonts w:ascii="Times New Roman" w:eastAsia="Times New Roman" w:hAnsi="Times New Roman" w:cs="Times New Roman"/>
          <w:b/>
          <w:bCs/>
          <w:sz w:val="24"/>
          <w:szCs w:val="24"/>
          <w:lang w:val="en-GB" w:eastAsia="da-DK"/>
        </w:rPr>
        <w:t xml:space="preserve">Availability of data and materials </w:t>
      </w:r>
    </w:p>
    <w:p w14:paraId="0C9FB6B6" w14:textId="3BDE725E" w:rsidR="00F07A43" w:rsidRPr="009442CD" w:rsidRDefault="00C03CE4" w:rsidP="00F07A43">
      <w:pPr>
        <w:spacing w:line="480" w:lineRule="auto"/>
        <w:contextualSpacing/>
        <w:jc w:val="both"/>
        <w:rPr>
          <w:rFonts w:ascii="Times New Roman" w:eastAsia="Times New Roman" w:hAnsi="Times New Roman" w:cs="Times New Roman"/>
          <w:color w:val="FF0000"/>
          <w:sz w:val="24"/>
          <w:szCs w:val="24"/>
          <w:lang w:val="en-GB" w:eastAsia="da-DK"/>
        </w:rPr>
      </w:pPr>
      <w:r w:rsidRPr="002013B9">
        <w:rPr>
          <w:rFonts w:ascii="Times New Roman" w:eastAsia="Times New Roman" w:hAnsi="Times New Roman" w:cs="Times New Roman"/>
          <w:sz w:val="24"/>
          <w:szCs w:val="24"/>
          <w:lang w:val="en-GB" w:eastAsia="da-DK"/>
        </w:rPr>
        <w:t>Patients are coded by a numeric randomization code (anonymized) and</w:t>
      </w:r>
      <w:r w:rsidR="00E23D45" w:rsidRPr="002013B9">
        <w:rPr>
          <w:rFonts w:ascii="Times New Roman" w:eastAsia="Times New Roman" w:hAnsi="Times New Roman" w:cs="Times New Roman"/>
          <w:sz w:val="24"/>
          <w:szCs w:val="24"/>
          <w:lang w:val="en-GB" w:eastAsia="da-DK"/>
        </w:rPr>
        <w:t xml:space="preserve"> only</w:t>
      </w:r>
      <w:r w:rsidRPr="002013B9">
        <w:rPr>
          <w:rFonts w:ascii="Times New Roman" w:eastAsia="Times New Roman" w:hAnsi="Times New Roman" w:cs="Times New Roman"/>
          <w:sz w:val="24"/>
          <w:szCs w:val="24"/>
          <w:lang w:val="en-GB" w:eastAsia="da-DK"/>
        </w:rPr>
        <w:t xml:space="preserve"> the principal investigators have access to this code. The source data are kept by the project leader for 15 years at the datacenter of the </w:t>
      </w:r>
      <w:r w:rsidR="00A8474F" w:rsidRPr="002013B9">
        <w:rPr>
          <w:rFonts w:ascii="Times New Roman" w:eastAsia="Times New Roman" w:hAnsi="Times New Roman" w:cs="Times New Roman"/>
          <w:sz w:val="24"/>
          <w:szCs w:val="24"/>
          <w:lang w:val="en-GB" w:eastAsia="da-DK"/>
        </w:rPr>
        <w:t>Asian Institute of Gastroenterology</w:t>
      </w:r>
      <w:r w:rsidRPr="002013B9">
        <w:rPr>
          <w:rFonts w:ascii="Times New Roman" w:eastAsia="Times New Roman" w:hAnsi="Times New Roman" w:cs="Times New Roman"/>
          <w:sz w:val="24"/>
          <w:szCs w:val="24"/>
          <w:lang w:val="en-GB" w:eastAsia="da-DK"/>
        </w:rPr>
        <w:t xml:space="preserve">. All data generated or analyzed during this study will be included in the published results. </w:t>
      </w:r>
      <w:r w:rsidR="005A0392" w:rsidRPr="009442CD">
        <w:rPr>
          <w:rFonts w:ascii="Times New Roman" w:eastAsia="Times New Roman" w:hAnsi="Times New Roman" w:cs="Times New Roman"/>
          <w:color w:val="FF0000"/>
          <w:sz w:val="24"/>
          <w:szCs w:val="24"/>
          <w:lang w:eastAsia="da-DK"/>
        </w:rPr>
        <w:t>Any data required to support the protocol can be supplied on request.</w:t>
      </w:r>
      <w:r w:rsidR="00CD7157">
        <w:rPr>
          <w:rFonts w:ascii="Times New Roman" w:eastAsia="Times New Roman" w:hAnsi="Times New Roman" w:cs="Times New Roman"/>
          <w:color w:val="FF0000"/>
          <w:sz w:val="24"/>
          <w:szCs w:val="24"/>
          <w:lang w:eastAsia="da-DK"/>
        </w:rPr>
        <w:t xml:space="preserve"> </w:t>
      </w:r>
      <w:r w:rsidR="00CD7157" w:rsidRPr="00CD7157">
        <w:rPr>
          <w:rFonts w:ascii="Times New Roman" w:eastAsia="Times New Roman" w:hAnsi="Times New Roman" w:cs="Times New Roman"/>
          <w:color w:val="FF0000"/>
          <w:sz w:val="24"/>
          <w:szCs w:val="24"/>
          <w:lang w:eastAsia="da-DK"/>
        </w:rPr>
        <w:t xml:space="preserve">The datasets </w:t>
      </w:r>
      <w:r w:rsidR="005F398C" w:rsidRPr="00CD7157">
        <w:rPr>
          <w:rFonts w:ascii="Times New Roman" w:eastAsia="Times New Roman" w:hAnsi="Times New Roman" w:cs="Times New Roman"/>
          <w:color w:val="FF0000"/>
          <w:sz w:val="24"/>
          <w:szCs w:val="24"/>
          <w:lang w:eastAsia="da-DK"/>
        </w:rPr>
        <w:t>analyzed</w:t>
      </w:r>
      <w:r w:rsidR="00CD7157" w:rsidRPr="00CD7157">
        <w:rPr>
          <w:rFonts w:ascii="Times New Roman" w:eastAsia="Times New Roman" w:hAnsi="Times New Roman" w:cs="Times New Roman"/>
          <w:color w:val="FF0000"/>
          <w:sz w:val="24"/>
          <w:szCs w:val="24"/>
          <w:lang w:eastAsia="da-DK"/>
        </w:rPr>
        <w:t xml:space="preserve"> during the current study are available from the corresponding author on reasonable request.</w:t>
      </w:r>
    </w:p>
    <w:p w14:paraId="1982E509" w14:textId="77777777" w:rsidR="00C00532" w:rsidRPr="002013B9" w:rsidRDefault="00C00532" w:rsidP="00F07A43">
      <w:pPr>
        <w:spacing w:line="480" w:lineRule="auto"/>
        <w:contextualSpacing/>
        <w:rPr>
          <w:rFonts w:ascii="Times New Roman" w:eastAsia="Times New Roman" w:hAnsi="Times New Roman" w:cs="Times New Roman"/>
          <w:b/>
          <w:bCs/>
          <w:sz w:val="24"/>
          <w:szCs w:val="24"/>
          <w:lang w:val="en-GB" w:eastAsia="da-DK"/>
        </w:rPr>
      </w:pPr>
    </w:p>
    <w:p w14:paraId="5BD7BA63" w14:textId="03C30D82" w:rsidR="00C03CE4" w:rsidRPr="002013B9" w:rsidRDefault="00C03CE4" w:rsidP="00F07A43">
      <w:pPr>
        <w:spacing w:line="480" w:lineRule="auto"/>
        <w:contextualSpacing/>
        <w:rPr>
          <w:rFonts w:ascii="Times New Roman" w:eastAsia="Times New Roman" w:hAnsi="Times New Roman" w:cs="Times New Roman"/>
          <w:sz w:val="24"/>
          <w:szCs w:val="24"/>
          <w:lang w:val="en-GB" w:eastAsia="da-DK"/>
        </w:rPr>
      </w:pPr>
      <w:r w:rsidRPr="002013B9">
        <w:rPr>
          <w:rFonts w:ascii="Times New Roman" w:eastAsia="Times New Roman" w:hAnsi="Times New Roman" w:cs="Times New Roman"/>
          <w:b/>
          <w:bCs/>
          <w:sz w:val="24"/>
          <w:szCs w:val="24"/>
          <w:lang w:val="en-GB" w:eastAsia="da-DK"/>
        </w:rPr>
        <w:t>Authors’</w:t>
      </w:r>
      <w:r w:rsidR="009B5056" w:rsidRPr="002013B9">
        <w:rPr>
          <w:rFonts w:ascii="Times New Roman" w:eastAsia="Times New Roman" w:hAnsi="Times New Roman" w:cs="Times New Roman"/>
          <w:b/>
          <w:bCs/>
          <w:sz w:val="24"/>
          <w:szCs w:val="24"/>
          <w:lang w:val="en-GB" w:eastAsia="da-DK"/>
        </w:rPr>
        <w:t xml:space="preserve"> </w:t>
      </w:r>
      <w:r w:rsidRPr="002013B9">
        <w:rPr>
          <w:rFonts w:ascii="Times New Roman" w:eastAsia="Times New Roman" w:hAnsi="Times New Roman" w:cs="Times New Roman"/>
          <w:b/>
          <w:bCs/>
          <w:sz w:val="24"/>
          <w:szCs w:val="24"/>
          <w:lang w:val="en-GB" w:eastAsia="da-DK"/>
        </w:rPr>
        <w:t>contributions</w:t>
      </w:r>
      <w:r w:rsidRPr="002013B9">
        <w:rPr>
          <w:rFonts w:ascii="Times New Roman" w:eastAsia="Times New Roman" w:hAnsi="Times New Roman" w:cs="Times New Roman"/>
          <w:sz w:val="24"/>
          <w:szCs w:val="24"/>
          <w:lang w:val="en-GB" w:eastAsia="da-DK"/>
        </w:rPr>
        <w:br/>
      </w:r>
      <w:r w:rsidR="00AF1CEE" w:rsidRPr="00AF1CEE">
        <w:rPr>
          <w:rFonts w:ascii="Times New Roman" w:eastAsia="Times New Roman" w:hAnsi="Times New Roman" w:cs="Times New Roman"/>
          <w:color w:val="FF0000"/>
          <w:sz w:val="24"/>
          <w:szCs w:val="24"/>
          <w:lang w:eastAsia="da-DK"/>
        </w:rPr>
        <w:t>All authors have contributed to writing the manuscript as detailed below, no professional writers have been involved.</w:t>
      </w:r>
      <w:r w:rsidR="00AF1CEE" w:rsidRPr="00AF1CEE">
        <w:rPr>
          <w:rFonts w:ascii="Times New Roman" w:eastAsia="Times New Roman" w:hAnsi="Times New Roman" w:cs="Times New Roman"/>
          <w:color w:val="FF0000"/>
          <w:sz w:val="24"/>
          <w:szCs w:val="24"/>
          <w:lang w:val="en-GB" w:eastAsia="da-DK"/>
        </w:rPr>
        <w:t xml:space="preserve"> </w:t>
      </w:r>
      <w:r w:rsidR="0073424E" w:rsidRPr="002013B9">
        <w:rPr>
          <w:rFonts w:ascii="Times New Roman" w:eastAsia="Times New Roman" w:hAnsi="Times New Roman" w:cs="Times New Roman"/>
          <w:sz w:val="24"/>
          <w:szCs w:val="24"/>
          <w:lang w:val="en-GB" w:eastAsia="da-DK"/>
        </w:rPr>
        <w:t xml:space="preserve">SSO </w:t>
      </w:r>
      <w:r w:rsidRPr="002013B9">
        <w:rPr>
          <w:rFonts w:ascii="Times New Roman" w:eastAsia="Times New Roman" w:hAnsi="Times New Roman" w:cs="Times New Roman"/>
          <w:sz w:val="24"/>
          <w:szCs w:val="24"/>
          <w:lang w:val="en-GB" w:eastAsia="da-DK"/>
        </w:rPr>
        <w:t xml:space="preserve">drafted the manuscript. </w:t>
      </w:r>
      <w:r w:rsidR="004327FD" w:rsidRPr="002013B9">
        <w:rPr>
          <w:rFonts w:ascii="Times New Roman" w:eastAsia="Times New Roman" w:hAnsi="Times New Roman" w:cs="Times New Roman"/>
          <w:sz w:val="24"/>
          <w:szCs w:val="24"/>
          <w:lang w:val="en-GB" w:eastAsia="da-DK"/>
        </w:rPr>
        <w:t>AMD and RT</w:t>
      </w:r>
      <w:r w:rsidRPr="002013B9">
        <w:rPr>
          <w:rFonts w:ascii="Times New Roman" w:eastAsia="Times New Roman" w:hAnsi="Times New Roman" w:cs="Times New Roman"/>
          <w:sz w:val="24"/>
          <w:szCs w:val="24"/>
          <w:lang w:val="en-GB" w:eastAsia="da-DK"/>
        </w:rPr>
        <w:t xml:space="preserve"> co-authored the writing of the manuscript. </w:t>
      </w:r>
      <w:r w:rsidR="004327FD" w:rsidRPr="002013B9">
        <w:rPr>
          <w:rFonts w:ascii="Times New Roman" w:eastAsia="Times New Roman" w:hAnsi="Times New Roman" w:cs="Times New Roman"/>
          <w:sz w:val="24"/>
          <w:szCs w:val="24"/>
          <w:lang w:val="en-GB" w:eastAsia="da-DK"/>
        </w:rPr>
        <w:t>All authors</w:t>
      </w:r>
      <w:r w:rsidRPr="002013B9">
        <w:rPr>
          <w:rFonts w:ascii="Times New Roman" w:eastAsia="Times New Roman" w:hAnsi="Times New Roman" w:cs="Times New Roman"/>
          <w:sz w:val="24"/>
          <w:szCs w:val="24"/>
          <w:lang w:val="en-GB" w:eastAsia="da-DK"/>
        </w:rPr>
        <w:t xml:space="preserve"> participated in the design of the study </w:t>
      </w:r>
      <w:r w:rsidR="004327FD" w:rsidRPr="002013B9">
        <w:rPr>
          <w:rFonts w:ascii="Times New Roman" w:eastAsia="Times New Roman" w:hAnsi="Times New Roman" w:cs="Times New Roman"/>
          <w:sz w:val="24"/>
          <w:szCs w:val="24"/>
          <w:lang w:val="en-GB" w:eastAsia="da-DK"/>
        </w:rPr>
        <w:t xml:space="preserve">and </w:t>
      </w:r>
      <w:r w:rsidRPr="002013B9">
        <w:rPr>
          <w:rFonts w:ascii="Times New Roman" w:eastAsia="Times New Roman" w:hAnsi="Times New Roman" w:cs="Times New Roman"/>
          <w:sz w:val="24"/>
          <w:szCs w:val="24"/>
          <w:lang w:val="en-GB" w:eastAsia="da-DK"/>
        </w:rPr>
        <w:t xml:space="preserve">critically assessed the study design, edited the manuscript and read and approved the final manuscript. </w:t>
      </w:r>
      <w:r w:rsidR="009B18D5">
        <w:rPr>
          <w:rFonts w:ascii="Times New Roman" w:eastAsia="Times New Roman" w:hAnsi="Times New Roman" w:cs="Times New Roman"/>
          <w:sz w:val="24"/>
          <w:szCs w:val="24"/>
          <w:lang w:val="en-GB" w:eastAsia="da-DK"/>
        </w:rPr>
        <w:t xml:space="preserve"> </w:t>
      </w:r>
    </w:p>
    <w:p w14:paraId="035F712F" w14:textId="77777777" w:rsidR="00821F57" w:rsidRPr="002013B9" w:rsidRDefault="00821F57" w:rsidP="00C03CE4">
      <w:pPr>
        <w:spacing w:line="480" w:lineRule="auto"/>
        <w:contextualSpacing/>
        <w:jc w:val="both"/>
        <w:rPr>
          <w:rFonts w:ascii="Times New Roman" w:eastAsia="Times New Roman" w:hAnsi="Times New Roman" w:cs="Times New Roman"/>
          <w:sz w:val="24"/>
          <w:szCs w:val="24"/>
          <w:lang w:val="en-GB" w:eastAsia="da-DK"/>
        </w:rPr>
      </w:pPr>
    </w:p>
    <w:p w14:paraId="7E1647F2" w14:textId="77777777" w:rsidR="00C03CE4" w:rsidRPr="002013B9" w:rsidRDefault="00C03CE4" w:rsidP="00C03CE4">
      <w:pPr>
        <w:spacing w:line="480" w:lineRule="auto"/>
        <w:contextualSpacing/>
        <w:jc w:val="both"/>
        <w:rPr>
          <w:rFonts w:ascii="Times New Roman" w:eastAsia="Times New Roman" w:hAnsi="Times New Roman" w:cs="Times New Roman"/>
          <w:b/>
          <w:bCs/>
          <w:sz w:val="24"/>
          <w:szCs w:val="24"/>
          <w:lang w:val="en-GB" w:eastAsia="da-DK"/>
        </w:rPr>
      </w:pPr>
      <w:r w:rsidRPr="002013B9">
        <w:rPr>
          <w:rFonts w:ascii="Times New Roman" w:eastAsia="Times New Roman" w:hAnsi="Times New Roman" w:cs="Times New Roman"/>
          <w:b/>
          <w:bCs/>
          <w:sz w:val="24"/>
          <w:szCs w:val="24"/>
          <w:lang w:val="en-GB" w:eastAsia="da-DK"/>
        </w:rPr>
        <w:t xml:space="preserve">Ethics approval and consent to participate </w:t>
      </w:r>
    </w:p>
    <w:p w14:paraId="79E262CD" w14:textId="6DF74C4D" w:rsidR="007337DD" w:rsidRPr="001E139E" w:rsidRDefault="007337DD" w:rsidP="007337DD">
      <w:pPr>
        <w:spacing w:line="480" w:lineRule="auto"/>
        <w:contextualSpacing/>
        <w:jc w:val="both"/>
        <w:rPr>
          <w:rFonts w:ascii="Times New Roman" w:eastAsia="Times New Roman" w:hAnsi="Times New Roman" w:cs="Times New Roman"/>
          <w:color w:val="FF0000"/>
          <w:sz w:val="24"/>
          <w:szCs w:val="24"/>
          <w:lang w:val="en-GB" w:eastAsia="da-DK"/>
        </w:rPr>
      </w:pPr>
      <w:r w:rsidRPr="002013B9">
        <w:rPr>
          <w:rFonts w:ascii="Times New Roman" w:eastAsia="Times New Roman" w:hAnsi="Times New Roman" w:cs="Times New Roman"/>
          <w:sz w:val="24"/>
          <w:szCs w:val="24"/>
          <w:lang w:val="en-GB" w:eastAsia="da-DK"/>
        </w:rPr>
        <w:t xml:space="preserve">The study will be conducted in accordance with the principles of the Declaration of Helsinki. The internal review board (IRB) of the Asian Institute of Gastroenterology has approved the protocol </w:t>
      </w:r>
      <w:r w:rsidRPr="002013B9">
        <w:rPr>
          <w:rFonts w:ascii="Times New Roman" w:eastAsia="Times New Roman" w:hAnsi="Times New Roman" w:cs="Times New Roman"/>
          <w:sz w:val="24"/>
          <w:szCs w:val="24"/>
          <w:lang w:val="en-GB" w:eastAsia="da-DK"/>
        </w:rPr>
        <w:lastRenderedPageBreak/>
        <w:t xml:space="preserve">(AIG/IEC28/04.2017-03). Informed consent will be obtained from all participating patients in oral and written form prior to randomization. </w:t>
      </w:r>
      <w:r w:rsidR="007A16B7" w:rsidRPr="001E139E">
        <w:rPr>
          <w:rFonts w:ascii="Times New Roman" w:eastAsia="Times New Roman" w:hAnsi="Times New Roman" w:cs="Times New Roman"/>
          <w:color w:val="FF0000"/>
          <w:sz w:val="24"/>
          <w:szCs w:val="24"/>
          <w:lang w:val="en-GB" w:eastAsia="da-DK"/>
        </w:rPr>
        <w:t xml:space="preserve">The information will be collected by the </w:t>
      </w:r>
      <w:r w:rsidR="001E139E" w:rsidRPr="001E139E">
        <w:rPr>
          <w:rFonts w:ascii="Times New Roman" w:eastAsia="Times New Roman" w:hAnsi="Times New Roman" w:cs="Times New Roman"/>
          <w:color w:val="FF0000"/>
          <w:sz w:val="24"/>
          <w:szCs w:val="24"/>
          <w:lang w:val="en-GB" w:eastAsia="da-DK"/>
        </w:rPr>
        <w:t xml:space="preserve">Sponsor of the trial or one of his delegates. </w:t>
      </w:r>
      <w:r w:rsidR="001E139E" w:rsidRPr="001E139E">
        <w:rPr>
          <w:rFonts w:ascii="Times New Roman" w:eastAsia="Times New Roman" w:hAnsi="Times New Roman" w:cs="Times New Roman"/>
          <w:color w:val="FF0000"/>
          <w:sz w:val="24"/>
          <w:szCs w:val="24"/>
          <w:lang w:eastAsia="da-DK"/>
        </w:rPr>
        <w:t xml:space="preserve">On the consent form, participants will be asked if they agree to use of their </w:t>
      </w:r>
      <w:r w:rsidR="001E139E" w:rsidRPr="00862E66">
        <w:rPr>
          <w:rFonts w:ascii="Times New Roman" w:eastAsia="Times New Roman" w:hAnsi="Times New Roman" w:cs="Times New Roman"/>
          <w:color w:val="FF0000"/>
          <w:sz w:val="24"/>
          <w:szCs w:val="24"/>
          <w:lang w:eastAsia="da-DK"/>
        </w:rPr>
        <w:t xml:space="preserve">data should they choose to withdraw from the trial. </w:t>
      </w:r>
      <w:r w:rsidR="00B77523" w:rsidRPr="00862E66">
        <w:rPr>
          <w:rFonts w:ascii="Times New Roman" w:eastAsia="Times New Roman" w:hAnsi="Times New Roman" w:cs="Times New Roman"/>
          <w:color w:val="FF0000"/>
          <w:lang w:eastAsia="da-DK"/>
        </w:rPr>
        <w:t>These are available from the corresponding author on request.</w:t>
      </w:r>
      <w:r w:rsidR="00862E66" w:rsidRPr="00862E66">
        <w:rPr>
          <w:rFonts w:ascii="Times New Roman" w:eastAsia="Times New Roman" w:hAnsi="Times New Roman" w:cs="Times New Roman"/>
          <w:color w:val="FF0000"/>
          <w:lang w:eastAsia="da-DK"/>
        </w:rPr>
        <w:t xml:space="preserve"> </w:t>
      </w:r>
      <w:r w:rsidR="001E139E" w:rsidRPr="001E139E">
        <w:rPr>
          <w:rFonts w:ascii="Times New Roman" w:eastAsia="Times New Roman" w:hAnsi="Times New Roman" w:cs="Times New Roman"/>
          <w:color w:val="FF0000"/>
          <w:sz w:val="24"/>
          <w:szCs w:val="24"/>
          <w:lang w:eastAsia="da-DK"/>
        </w:rPr>
        <w:t>Participants will also be asked for permission for the research team to share relevant data with people from the Universities taking part in the research or from regulatory authorities, where relevant. This trial does not involve collecting biological specimens for storage.</w:t>
      </w:r>
      <w:r w:rsidR="00B77523">
        <w:rPr>
          <w:rFonts w:ascii="Times New Roman" w:eastAsia="Times New Roman" w:hAnsi="Times New Roman" w:cs="Times New Roman"/>
          <w:color w:val="FF0000"/>
          <w:sz w:val="24"/>
          <w:szCs w:val="24"/>
          <w:lang w:eastAsia="da-DK"/>
        </w:rPr>
        <w:t xml:space="preserve"> </w:t>
      </w:r>
    </w:p>
    <w:p w14:paraId="49ED3CC2" w14:textId="77777777" w:rsidR="00821F57" w:rsidRPr="002013B9" w:rsidRDefault="00821F57" w:rsidP="00C03CE4">
      <w:pPr>
        <w:spacing w:line="480" w:lineRule="auto"/>
        <w:contextualSpacing/>
        <w:jc w:val="both"/>
        <w:rPr>
          <w:rFonts w:ascii="Times New Roman" w:eastAsia="Times New Roman" w:hAnsi="Times New Roman" w:cs="Times New Roman"/>
          <w:sz w:val="24"/>
          <w:szCs w:val="24"/>
          <w:lang w:val="en-GB" w:eastAsia="da-DK"/>
        </w:rPr>
      </w:pPr>
    </w:p>
    <w:p w14:paraId="23412541" w14:textId="77777777" w:rsidR="00C03CE4" w:rsidRPr="002013B9" w:rsidRDefault="00C03CE4" w:rsidP="00C03CE4">
      <w:pPr>
        <w:spacing w:line="480" w:lineRule="auto"/>
        <w:contextualSpacing/>
        <w:jc w:val="both"/>
        <w:rPr>
          <w:rFonts w:ascii="Times New Roman" w:eastAsia="Times New Roman" w:hAnsi="Times New Roman" w:cs="Times New Roman"/>
          <w:b/>
          <w:bCs/>
          <w:sz w:val="24"/>
          <w:szCs w:val="24"/>
          <w:lang w:val="en-GB" w:eastAsia="da-DK"/>
        </w:rPr>
      </w:pPr>
      <w:r w:rsidRPr="002013B9">
        <w:rPr>
          <w:rFonts w:ascii="Times New Roman" w:eastAsia="Times New Roman" w:hAnsi="Times New Roman" w:cs="Times New Roman"/>
          <w:b/>
          <w:bCs/>
          <w:sz w:val="24"/>
          <w:szCs w:val="24"/>
          <w:lang w:val="en-GB" w:eastAsia="da-DK"/>
        </w:rPr>
        <w:t xml:space="preserve">Consent for publication </w:t>
      </w:r>
    </w:p>
    <w:p w14:paraId="2702CC11" w14:textId="1AA55862" w:rsidR="00821F57" w:rsidRPr="002013B9" w:rsidRDefault="00C03CE4" w:rsidP="00C03CE4">
      <w:pPr>
        <w:spacing w:line="480" w:lineRule="auto"/>
        <w:contextualSpacing/>
        <w:jc w:val="both"/>
        <w:rPr>
          <w:rFonts w:ascii="Times New Roman" w:eastAsia="Times New Roman" w:hAnsi="Times New Roman" w:cs="Times New Roman"/>
          <w:sz w:val="24"/>
          <w:szCs w:val="24"/>
          <w:lang w:val="en-GB" w:eastAsia="da-DK"/>
        </w:rPr>
      </w:pPr>
      <w:r w:rsidRPr="002013B9">
        <w:rPr>
          <w:rFonts w:ascii="Times New Roman" w:eastAsia="Times New Roman" w:hAnsi="Times New Roman" w:cs="Times New Roman"/>
          <w:sz w:val="24"/>
          <w:szCs w:val="24"/>
          <w:lang w:val="en-GB" w:eastAsia="da-DK"/>
        </w:rPr>
        <w:t xml:space="preserve">Not applicable. </w:t>
      </w:r>
    </w:p>
    <w:p w14:paraId="0F182F32" w14:textId="77777777" w:rsidR="007B3619" w:rsidRDefault="007B3619" w:rsidP="00C03CE4">
      <w:pPr>
        <w:spacing w:line="480" w:lineRule="auto"/>
        <w:contextualSpacing/>
        <w:jc w:val="both"/>
        <w:rPr>
          <w:rFonts w:ascii="Times New Roman" w:eastAsia="Times New Roman" w:hAnsi="Times New Roman" w:cs="Times New Roman"/>
          <w:b/>
          <w:bCs/>
          <w:sz w:val="24"/>
          <w:szCs w:val="24"/>
          <w:lang w:val="en-GB" w:eastAsia="da-DK"/>
        </w:rPr>
      </w:pPr>
    </w:p>
    <w:p w14:paraId="290F970C" w14:textId="2DE04086" w:rsidR="00C03CE4" w:rsidRPr="002013B9" w:rsidRDefault="00C03CE4" w:rsidP="00C03CE4">
      <w:pPr>
        <w:spacing w:line="480" w:lineRule="auto"/>
        <w:contextualSpacing/>
        <w:jc w:val="both"/>
        <w:rPr>
          <w:rFonts w:ascii="Times New Roman" w:eastAsia="Times New Roman" w:hAnsi="Times New Roman" w:cs="Times New Roman"/>
          <w:b/>
          <w:bCs/>
          <w:sz w:val="24"/>
          <w:szCs w:val="24"/>
          <w:lang w:val="en-GB" w:eastAsia="da-DK"/>
        </w:rPr>
      </w:pPr>
      <w:r w:rsidRPr="002013B9">
        <w:rPr>
          <w:rFonts w:ascii="Times New Roman" w:eastAsia="Times New Roman" w:hAnsi="Times New Roman" w:cs="Times New Roman"/>
          <w:b/>
          <w:bCs/>
          <w:sz w:val="24"/>
          <w:szCs w:val="24"/>
          <w:lang w:val="en-GB" w:eastAsia="da-DK"/>
        </w:rPr>
        <w:t xml:space="preserve">Competing interests </w:t>
      </w:r>
    </w:p>
    <w:p w14:paraId="56226207" w14:textId="77777777" w:rsidR="00C03CE4" w:rsidRPr="002013B9" w:rsidRDefault="00C03CE4" w:rsidP="00C03CE4">
      <w:pPr>
        <w:spacing w:line="480" w:lineRule="auto"/>
        <w:contextualSpacing/>
        <w:jc w:val="both"/>
        <w:rPr>
          <w:rFonts w:ascii="Times New Roman" w:eastAsia="Times New Roman" w:hAnsi="Times New Roman" w:cs="Times New Roman"/>
          <w:sz w:val="24"/>
          <w:szCs w:val="24"/>
          <w:lang w:val="en-GB" w:eastAsia="da-DK"/>
        </w:rPr>
      </w:pPr>
      <w:r w:rsidRPr="002013B9">
        <w:rPr>
          <w:rFonts w:ascii="Times New Roman" w:eastAsia="Times New Roman" w:hAnsi="Times New Roman" w:cs="Times New Roman"/>
          <w:sz w:val="24"/>
          <w:szCs w:val="24"/>
          <w:lang w:val="en-GB" w:eastAsia="da-DK"/>
        </w:rPr>
        <w:t xml:space="preserve">The authors declare that they have no competing interests. </w:t>
      </w:r>
    </w:p>
    <w:p w14:paraId="19959ECF" w14:textId="77777777" w:rsidR="00821F57" w:rsidRPr="002013B9" w:rsidRDefault="00821F57" w:rsidP="00C03CE4">
      <w:pPr>
        <w:spacing w:line="480" w:lineRule="auto"/>
        <w:contextualSpacing/>
        <w:jc w:val="both"/>
        <w:rPr>
          <w:rFonts w:ascii="Times New Roman" w:eastAsia="Times New Roman" w:hAnsi="Times New Roman" w:cs="Times New Roman"/>
          <w:sz w:val="24"/>
          <w:szCs w:val="24"/>
          <w:lang w:val="en-GB" w:eastAsia="da-DK"/>
        </w:rPr>
      </w:pPr>
    </w:p>
    <w:p w14:paraId="6C9576F7" w14:textId="77777777" w:rsidR="000269DD" w:rsidRDefault="000269DD" w:rsidP="00164C1D">
      <w:pPr>
        <w:pStyle w:val="Heading1"/>
        <w:keepNext w:val="0"/>
        <w:keepLines w:val="0"/>
        <w:spacing w:before="0" w:line="480" w:lineRule="auto"/>
        <w:rPr>
          <w:rFonts w:cs="Times New Roman"/>
          <w:color w:val="000000" w:themeColor="text1"/>
          <w:sz w:val="24"/>
          <w:szCs w:val="24"/>
          <w:lang w:val="en-GB"/>
        </w:rPr>
      </w:pPr>
      <w:bookmarkStart w:id="11" w:name="_Toc372282194"/>
    </w:p>
    <w:p w14:paraId="09851F56" w14:textId="77777777" w:rsidR="000269DD" w:rsidRDefault="000269DD" w:rsidP="00164C1D">
      <w:pPr>
        <w:pStyle w:val="Heading1"/>
        <w:keepNext w:val="0"/>
        <w:keepLines w:val="0"/>
        <w:spacing w:before="0" w:line="480" w:lineRule="auto"/>
        <w:rPr>
          <w:rFonts w:cs="Times New Roman"/>
          <w:color w:val="000000" w:themeColor="text1"/>
          <w:sz w:val="24"/>
          <w:szCs w:val="24"/>
          <w:lang w:val="en-GB"/>
        </w:rPr>
      </w:pPr>
    </w:p>
    <w:p w14:paraId="203A6F60" w14:textId="77777777" w:rsidR="000269DD" w:rsidRDefault="000269DD" w:rsidP="00164C1D">
      <w:pPr>
        <w:pStyle w:val="Heading1"/>
        <w:keepNext w:val="0"/>
        <w:keepLines w:val="0"/>
        <w:spacing w:before="0" w:line="480" w:lineRule="auto"/>
        <w:rPr>
          <w:rFonts w:cs="Times New Roman"/>
          <w:color w:val="000000" w:themeColor="text1"/>
          <w:sz w:val="24"/>
          <w:szCs w:val="24"/>
          <w:lang w:val="en-GB"/>
        </w:rPr>
      </w:pPr>
    </w:p>
    <w:p w14:paraId="3CDB49ED" w14:textId="77777777" w:rsidR="000269DD" w:rsidRDefault="000269DD" w:rsidP="00164C1D">
      <w:pPr>
        <w:pStyle w:val="Heading1"/>
        <w:keepNext w:val="0"/>
        <w:keepLines w:val="0"/>
        <w:spacing w:before="0" w:line="480" w:lineRule="auto"/>
        <w:rPr>
          <w:rFonts w:cs="Times New Roman"/>
          <w:color w:val="000000" w:themeColor="text1"/>
          <w:sz w:val="24"/>
          <w:szCs w:val="24"/>
          <w:lang w:val="en-GB"/>
        </w:rPr>
      </w:pPr>
    </w:p>
    <w:p w14:paraId="4E7C5908" w14:textId="77777777" w:rsidR="000269DD" w:rsidRDefault="000269DD" w:rsidP="00164C1D">
      <w:pPr>
        <w:pStyle w:val="Heading1"/>
        <w:keepNext w:val="0"/>
        <w:keepLines w:val="0"/>
        <w:spacing w:before="0" w:line="480" w:lineRule="auto"/>
        <w:rPr>
          <w:rFonts w:cs="Times New Roman"/>
          <w:color w:val="000000" w:themeColor="text1"/>
          <w:sz w:val="24"/>
          <w:szCs w:val="24"/>
          <w:lang w:val="en-GB"/>
        </w:rPr>
      </w:pPr>
    </w:p>
    <w:p w14:paraId="585FF9B2" w14:textId="77777777" w:rsidR="000269DD" w:rsidRDefault="000269DD" w:rsidP="00164C1D">
      <w:pPr>
        <w:pStyle w:val="Heading1"/>
        <w:keepNext w:val="0"/>
        <w:keepLines w:val="0"/>
        <w:spacing w:before="0" w:line="480" w:lineRule="auto"/>
        <w:rPr>
          <w:rFonts w:cs="Times New Roman"/>
          <w:color w:val="000000" w:themeColor="text1"/>
          <w:sz w:val="24"/>
          <w:szCs w:val="24"/>
          <w:lang w:val="en-GB"/>
        </w:rPr>
      </w:pPr>
    </w:p>
    <w:p w14:paraId="5F552A14" w14:textId="77777777" w:rsidR="000269DD" w:rsidRDefault="000269DD" w:rsidP="00164C1D">
      <w:pPr>
        <w:pStyle w:val="Heading1"/>
        <w:keepNext w:val="0"/>
        <w:keepLines w:val="0"/>
        <w:spacing w:before="0" w:line="480" w:lineRule="auto"/>
        <w:rPr>
          <w:rFonts w:cs="Times New Roman"/>
          <w:color w:val="000000" w:themeColor="text1"/>
          <w:sz w:val="24"/>
          <w:szCs w:val="24"/>
          <w:lang w:val="en-GB"/>
        </w:rPr>
      </w:pPr>
    </w:p>
    <w:p w14:paraId="5F12F0FD" w14:textId="77777777" w:rsidR="000269DD" w:rsidRDefault="000269DD" w:rsidP="00164C1D">
      <w:pPr>
        <w:pStyle w:val="Heading1"/>
        <w:keepNext w:val="0"/>
        <w:keepLines w:val="0"/>
        <w:spacing w:before="0" w:line="480" w:lineRule="auto"/>
        <w:rPr>
          <w:rFonts w:cs="Times New Roman"/>
          <w:color w:val="000000" w:themeColor="text1"/>
          <w:sz w:val="24"/>
          <w:szCs w:val="24"/>
          <w:lang w:val="en-GB"/>
        </w:rPr>
      </w:pPr>
    </w:p>
    <w:p w14:paraId="39E7F867" w14:textId="77777777" w:rsidR="000269DD" w:rsidRDefault="000269DD" w:rsidP="00164C1D">
      <w:pPr>
        <w:pStyle w:val="Heading1"/>
        <w:keepNext w:val="0"/>
        <w:keepLines w:val="0"/>
        <w:spacing w:before="0" w:line="480" w:lineRule="auto"/>
        <w:rPr>
          <w:rFonts w:cs="Times New Roman"/>
          <w:color w:val="000000" w:themeColor="text1"/>
          <w:sz w:val="24"/>
          <w:szCs w:val="24"/>
          <w:lang w:val="en-GB"/>
        </w:rPr>
      </w:pPr>
    </w:p>
    <w:p w14:paraId="650319F6" w14:textId="77777777" w:rsidR="000269DD" w:rsidRDefault="000269DD" w:rsidP="00164C1D">
      <w:pPr>
        <w:pStyle w:val="Heading1"/>
        <w:keepNext w:val="0"/>
        <w:keepLines w:val="0"/>
        <w:spacing w:before="0" w:line="480" w:lineRule="auto"/>
        <w:rPr>
          <w:rFonts w:cs="Times New Roman"/>
          <w:color w:val="000000" w:themeColor="text1"/>
          <w:sz w:val="24"/>
          <w:szCs w:val="24"/>
          <w:lang w:val="en-GB"/>
        </w:rPr>
      </w:pPr>
    </w:p>
    <w:p w14:paraId="49B9FB7D" w14:textId="563018C4" w:rsidR="00535B53" w:rsidRPr="002013B9" w:rsidRDefault="00535B53" w:rsidP="00164C1D">
      <w:pPr>
        <w:pStyle w:val="Heading1"/>
        <w:keepNext w:val="0"/>
        <w:keepLines w:val="0"/>
        <w:spacing w:before="0" w:line="480" w:lineRule="auto"/>
        <w:rPr>
          <w:rFonts w:cs="Times New Roman"/>
          <w:color w:val="000000" w:themeColor="text1"/>
          <w:sz w:val="24"/>
          <w:szCs w:val="24"/>
          <w:lang w:val="en-GB"/>
        </w:rPr>
      </w:pPr>
      <w:r w:rsidRPr="002013B9">
        <w:rPr>
          <w:rFonts w:cs="Times New Roman"/>
          <w:color w:val="000000" w:themeColor="text1"/>
          <w:sz w:val="24"/>
          <w:szCs w:val="24"/>
          <w:lang w:val="en-GB"/>
        </w:rPr>
        <w:lastRenderedPageBreak/>
        <w:t>REFERENCES</w:t>
      </w:r>
      <w:bookmarkEnd w:id="11"/>
    </w:p>
    <w:p w14:paraId="5A201F64" w14:textId="720CEFA8" w:rsidR="004D0981" w:rsidRPr="004D0981" w:rsidRDefault="0070015F" w:rsidP="004D0981">
      <w:pPr>
        <w:widowControl w:val="0"/>
        <w:autoSpaceDE w:val="0"/>
        <w:autoSpaceDN w:val="0"/>
        <w:adjustRightInd w:val="0"/>
        <w:spacing w:line="480" w:lineRule="auto"/>
        <w:rPr>
          <w:rFonts w:ascii="Times New Roman" w:hAnsi="Times New Roman" w:cs="Times New Roman"/>
          <w:noProof/>
          <w:sz w:val="24"/>
        </w:rPr>
      </w:pPr>
      <w:r w:rsidRPr="002013B9">
        <w:rPr>
          <w:rFonts w:ascii="Times New Roman" w:hAnsi="Times New Roman" w:cs="Times New Roman"/>
          <w:color w:val="000000" w:themeColor="text1"/>
          <w:sz w:val="24"/>
          <w:szCs w:val="24"/>
          <w:lang w:val="en-GB"/>
        </w:rPr>
        <w:fldChar w:fldCharType="begin" w:fldLock="1"/>
      </w:r>
      <w:r w:rsidRPr="002013B9">
        <w:rPr>
          <w:rFonts w:ascii="Times New Roman" w:hAnsi="Times New Roman" w:cs="Times New Roman"/>
          <w:color w:val="000000" w:themeColor="text1"/>
          <w:sz w:val="24"/>
          <w:szCs w:val="24"/>
          <w:lang w:val="en-GB"/>
        </w:rPr>
        <w:instrText xml:space="preserve">ADDIN Mendeley Bibliography CSL_BIBLIOGRAPHY </w:instrText>
      </w:r>
      <w:r w:rsidRPr="002013B9">
        <w:rPr>
          <w:rFonts w:ascii="Times New Roman" w:hAnsi="Times New Roman" w:cs="Times New Roman"/>
          <w:color w:val="000000" w:themeColor="text1"/>
          <w:sz w:val="24"/>
          <w:szCs w:val="24"/>
          <w:lang w:val="en-GB"/>
        </w:rPr>
        <w:fldChar w:fldCharType="separate"/>
      </w:r>
      <w:r w:rsidR="004D0981" w:rsidRPr="004D0981">
        <w:rPr>
          <w:rFonts w:ascii="Times New Roman" w:hAnsi="Times New Roman" w:cs="Times New Roman"/>
          <w:noProof/>
          <w:sz w:val="24"/>
        </w:rPr>
        <w:t xml:space="preserve">1. Warshaw AL, Banks PA, Castillo CF-D. AGA technical review: treatment of pain in chronic pancreatitis. Gastroenterology. 1998;115:765–76. </w:t>
      </w:r>
    </w:p>
    <w:p w14:paraId="1D612562"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2. Löhr JM, Dominguez-Munoz E, Rosendahl J, Besselink M, Mayerle J, Lerch MM, et al. United European Gastroenterology evidence-based guidelines for the diagnosis and therapy of chronic pancreatitis (HaPanEU). United Eur Gastroenterol J [Internet]. 2017;5:153–99. Available from: http://journals.sagepub.com/doi/10.1177/2050640616684695</w:t>
      </w:r>
    </w:p>
    <w:p w14:paraId="32E3E337"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3. Dumonceau J-M, Delhaye M, Tringali  a, Dominguez-Munoz JE, Poley J-W, Arvanitaki M, et al. Endoscopic treatment of chronic pancreatitis: European Society of Gastrointestinal Endoscopy (ESGE) Clinical Guideline. Endoscopy [Internet]. 2012;44:784–800. Available from: http://www.ncbi.nlm.nih.gov/pubmed/22752888</w:t>
      </w:r>
    </w:p>
    <w:p w14:paraId="6B907AD0"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 xml:space="preserve">4. Maydeo A, Soehendra N, Reddy N, Bhandari S. Endotherapy for chronic pancreatitis with intracanalar stones. Endoscopy. 2007;39:653–8. </w:t>
      </w:r>
    </w:p>
    <w:p w14:paraId="20C4627E"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 xml:space="preserve">5. Poulsen JL, Olesen SS, Malver LP, Frokjaer JB, Drewes AM. Pain and chronic pancreatitis: a complex interplay of multiple mechanisms. World J Gastroenterol. China; 2013;19:7282–91. </w:t>
      </w:r>
    </w:p>
    <w:p w14:paraId="29034907"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 xml:space="preserve">6. Pasricha PJ. Unraveling the mystery of pain in chronic pancreatitis. Nat Rev Gastroenterol Hepatol. 2012;9:140–51. </w:t>
      </w:r>
    </w:p>
    <w:p w14:paraId="7E154F6E"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7. Frøkjær JB, Olesen SS, Drewes AM. Fibrosis, atrophy, and ductal pathology in chronic pancreatitis are associated with pancreatic function but independent of symptoms. Pancreas [Internet]. United States; 2013 [cited 2014 Aug 17];42:1182–7. Available from: http://www.ncbi.nlm.nih.gov/pubmed/24048457</w:t>
      </w:r>
    </w:p>
    <w:p w14:paraId="12953084"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 xml:space="preserve">8. Wilcox CM, Yadav D, Ye T, Gardner TB, Gelrud A, Sandhu BS, et al. Chronic pancreatitis pain pattern and severity are independent of abdominal imaging findings. Clin Gastroenterol Hepatol. 2015;13:552–60; quiz e28-29. </w:t>
      </w:r>
    </w:p>
    <w:p w14:paraId="0072EDAE"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lastRenderedPageBreak/>
        <w:t>9. Rösch T, Daniel S, Scholz M, Huibregtse K, Smits M, Schneider T, et al. Endoscopic treatment of chronic pancreatitis: a multicenter study of 1000 patients with long-term follow-up. Endoscopy [Internet]. 2002;34:765–71. Available from: http://www.ncbi.nlm.nih.gov/pubmed/12244496</w:t>
      </w:r>
    </w:p>
    <w:p w14:paraId="5414E8C1"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10. Tandan M, Reddy DN, Talukdar R, Vinod K, Santosh D, Lakhtakia S, et al. Long-term clinical outcomes of extracorporeal shockwave lithotripsy in painful chronic calcific pancreatitis. Gastrointest Endosc [Internet]. 2013;78:726–33. Available from: http://www.ncbi.nlm.nih.gov/pubmed/23891416</w:t>
      </w:r>
    </w:p>
    <w:p w14:paraId="413204F6"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11. Dumonceau J-M, Costamagna G, Tringali A, Vahedi K, Delhaye M, Hittelet A, et al. Treatment for painful calcified chronic pancreatitis: extracorporeal shock wave lithotripsy versus endoscopic treatment: a randomised controlled trial. Gut [Internet]. 2007 [cited 2014 Mar 26];56:545–52. Available from: http://www.pubmedcentral.nih.gov/articlerender.fcgi?artid=1856858&amp;tool=pmcentrez&amp;rendertype=abstract</w:t>
      </w:r>
    </w:p>
    <w:p w14:paraId="36F5364C"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12. Capurso G, Cocomello L, Benedetto U, Cammà C, Delle Fave G. Meta-analysis: the placebo rate of abdominal pain remission in clinical trials of chronic pancreatitis. Pancreas [Internet]. 2012;41:1125–31. Available from: http://www.ncbi.nlm.nih.gov/pubmed/22513290</w:t>
      </w:r>
    </w:p>
    <w:p w14:paraId="7830CEC8"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13. Lankisch PG, Löhr-Happe A, Otto J, Creutzfeldt W. Natural course in chronic pancreatitis. Pain, exocrine and endocrine pancreatic insufficiency and prognosis of the disease. Digestion [Internet]. 1993;54:148–55. Available from: http://www.ncbi.nlm.nih.gov/pubmed/8359556</w:t>
      </w:r>
    </w:p>
    <w:p w14:paraId="0379D24F"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14. Drewes AM, Kempeneers MA, Andersen DK, Arendt-Nielsen L, Besselink MG, Boermeester MA, et al. Controversies on the endoscopic and surgical management of pain in patients with chronic pancreatitis: pros and cons! Gut [Internet]. 2019;68:1343–51. Available from: http://www.ncbi.nlm.nih.gov/pubmed/31129569</w:t>
      </w:r>
    </w:p>
    <w:p w14:paraId="7385D9B8"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 xml:space="preserve">15. Gu AP, Gu CN, Ahmed AT, Murad MH, Wang Z, Kallmes DF, et al. Sham surgical procedures </w:t>
      </w:r>
      <w:r w:rsidRPr="004D0981">
        <w:rPr>
          <w:rFonts w:ascii="Times New Roman" w:hAnsi="Times New Roman" w:cs="Times New Roman"/>
          <w:noProof/>
          <w:sz w:val="24"/>
        </w:rPr>
        <w:lastRenderedPageBreak/>
        <w:t>for pain intervention result in significant improvements in pain: systematic review and meta-analysis. J Clin Epidemiol [Internet]. 2017; Available from: http://www.ncbi.nlm.nih.gov/pubmed/28063914</w:t>
      </w:r>
    </w:p>
    <w:p w14:paraId="70FE4A72"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16. Jonas WB, Crawford C, Colloca L, Kaptchuk TJ, Moseley B, Miller FG, et al. To what extent are surgery and invasive procedures effective beyond a placebo response? A systematic review with meta-analysis of randomised, sham controlled trials. BMJ Open [Internet]. 2015;5:e009655. Available from: http://www.ncbi.nlm.nih.gov/pubmed/26656986</w:t>
      </w:r>
    </w:p>
    <w:p w14:paraId="667AF91D"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17. Cotton PB, Durkalski V, Romagnuolo J, Pauls Q, Fogel E, Tarnasky P, et al. Effect of endoscopic sphincterotomy for suspected sphincter of Oddi dysfunction on pain-related disability following cholecystectomy: the EPISOD randomized clinical trial. JAMA [Internet]. 2014;311:2101–9. Available from: http://www.ncbi.nlm.nih.gov/pubmed/24867013</w:t>
      </w:r>
    </w:p>
    <w:p w14:paraId="16B3B790"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18. Cotton PB, Pauls Q, Keith J, Thornhill A, Drossman D, Williams A, et al. The EPISOD study: long-term outcomes. Gastrointest Endosc [Internet]. 2018;87:205–10. Available from: http://www.ncbi.nlm.nih.gov/pubmed/28455162</w:t>
      </w:r>
    </w:p>
    <w:p w14:paraId="0795C39E"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19. Clarke B, Slivka A, Tomizawa Y, Sanders M, Papachristou GI, Whitcomb DC, et al. Endoscopic therapy is effective for patients with chronic pancreatitis. Clin Gastroenterol Hepatol [Internet]. Elsevier Inc.; 2012 [cited 2014 Mar 26];10:795–802. Available from: http://www.pubmedcentral.nih.gov/articlerender.fcgi?artid=3381994&amp;tool=pmcentrez&amp;rendertype=abstract</w:t>
      </w:r>
    </w:p>
    <w:p w14:paraId="177E2FA3"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20. Reddy DN, Ramchandani MJ, Talukdar R. Individualizing therapy for chronic pancreatitis. Clin Gastroenterol Hepatol [Internet]. 2012 [cited 2014 Mar 26];10:803–4. Available from: http://www.ncbi.nlm.nih.gov/pubmed/22504003</w:t>
      </w:r>
    </w:p>
    <w:p w14:paraId="5EF62C45"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 xml:space="preserve">21. Drewes  a M, Krarup  a L, Detlefsen S, Malmstrøm M-L, Dimcevski G, Funch-Jensen P. Pain in chronic pancreatitis: the role of neuropathic pain mechanisms. Gut [Internet]. 2008 [cited 2014 Mar </w:t>
      </w:r>
      <w:r w:rsidRPr="004D0981">
        <w:rPr>
          <w:rFonts w:ascii="Times New Roman" w:hAnsi="Times New Roman" w:cs="Times New Roman"/>
          <w:noProof/>
          <w:sz w:val="24"/>
        </w:rPr>
        <w:lastRenderedPageBreak/>
        <w:t>26];57:1616–27. Available from: http://www.ncbi.nlm.nih.gov/pubmed/18566105</w:t>
      </w:r>
    </w:p>
    <w:p w14:paraId="250D4BC7"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 xml:space="preserve">22. Demir IE, Friess H, Ceyhan GO. Neural plasticity in pancreatitis and pancreatic cancer. Nat Rev Gastroenterol Hepatol. 2015;12:649–59. </w:t>
      </w:r>
    </w:p>
    <w:p w14:paraId="0A20DCAD"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 xml:space="preserve">23. Bouwense SA, de Vries M, Schreuder LT, Olesen SS, Frokjaer JB, Drewes AM, et al. Systematic mechanism-orientated approach to chronic pancreatitis pain. World J. Gastroenterol. 2015. p. 47–59. </w:t>
      </w:r>
    </w:p>
    <w:p w14:paraId="29BE81FC"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24. Olesen SS, Graversen C, Bouwense SAW, van Goor H, Wilder-Smith OHG, Drewes AM. Quantitative sensory testing predicts pregabalin efficacy in painful chronic pancreatitis. PLoS One [Internet]. United States; 2013;8:e57963. Available from: http://www.ncbi.nlm.nih.gov/pubmed/23469256</w:t>
      </w:r>
    </w:p>
    <w:p w14:paraId="0C8D6FAD"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25. Olesen SS, van Goor H, Bouwense SAW, Wilder-Smith OHG, Drewes AM. Reliability of static and dynamic quantitative sensory testing in patients with painful chronic pancreatitis. Reg Anesth Pain Med [Internet]. United States; 2012;37:530–6. Available from: http://www.ncbi.nlm.nih.gov/pubmed/22854397</w:t>
      </w:r>
    </w:p>
    <w:p w14:paraId="2901EC22"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26. Olesen SS, Brock C, Krarup AL, Funch-Jensen P, Arendt-Nielsen L, Wilder-Smith OH, et al. Descending inhibitory pain modulation is impaired in patients with chronic pancreatitis. Clin Gastroenterol Hepatol [Internet]. Elsevier Inc.; 2010 [cited 2012 Mar 17];8:724–30. Available from: http://www.ncbi.nlm.nih.gov/pubmed/20304100</w:t>
      </w:r>
    </w:p>
    <w:p w14:paraId="49CC953D"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 xml:space="preserve">27. Bouwense SAW, Olesen SS, Drewes AM, Frokjaer JB, van Goor H, Wilder-Smith OHG. Is altered central pain processing related to disease stage in chronic pancreatitis patients with pain? An exploratory study. PLoS One. United States; 2013;8:e55460. </w:t>
      </w:r>
    </w:p>
    <w:p w14:paraId="48862A8A"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 xml:space="preserve">28. Bouwense S a W, Buscher HCJL, van Goor H, Wilder-Smith OHG. Has central sensitization become independent of nociceptive input in chronic pancreatitis patients who fail thoracoscopic splanchnicectomy? Reg Anesth Pain Med [Internet]. 2011 [cited 2014 Mar 25];36:531–6. Available </w:t>
      </w:r>
      <w:r w:rsidRPr="004D0981">
        <w:rPr>
          <w:rFonts w:ascii="Times New Roman" w:hAnsi="Times New Roman" w:cs="Times New Roman"/>
          <w:noProof/>
          <w:sz w:val="24"/>
        </w:rPr>
        <w:lastRenderedPageBreak/>
        <w:t>from: http://www.ncbi.nlm.nih.gov/pubmed/22005656</w:t>
      </w:r>
    </w:p>
    <w:p w14:paraId="5E1AC0C1"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29. Kuhlmann L, Olesen SS, Olesen AE, Arendt-Nielsen L, Drewes AM. Mechanism-based pain management in chronic pancreatitis - is it time for a paradigm shift? Expert Rev Clin Pharmacol [Internet]. 2019;12:249–58. Available from: http://www.ncbi.nlm.nih.gov/pubmed/30664364</w:t>
      </w:r>
    </w:p>
    <w:p w14:paraId="43619709"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 xml:space="preserve">30. Layer P, Yamamoto H, Kalthoff L, Clain JE, Bakken LJ, DiMagno EP. The different courses of early- and late-onset idiopathic and alcoholic chronic pancreatitis. Gastroenterology. 1994;107:1481–7. </w:t>
      </w:r>
    </w:p>
    <w:p w14:paraId="11EC15D4"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31. Tandan M, Nageshwar Reddy D, Talukdar R, Vinod K, Kiran SVVS, Santosh D, et al. ESWL for large pancreatic calculi: Report of over 5000 patients. Pancreatology [Internet]. 2019;19:916–21. Available from: http://www.ncbi.nlm.nih.gov/pubmed/31447280</w:t>
      </w:r>
    </w:p>
    <w:p w14:paraId="290E2C86"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32. Dumonceau J-M, Delhaye M, Tringali A, Arvanitakis M, Sanchez-Yague A, Vaysse T, et al. Endoscopic treatment of chronic pancreatitis: European Society of Gastrointestinal Endoscopy (ESGE) Guideline - Updated August 2018. Endoscopy [Internet]. 2019;51:179–93. Available from: http://www.ncbi.nlm.nih.gov/pubmed/30654394</w:t>
      </w:r>
    </w:p>
    <w:p w14:paraId="1FCEE799"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 xml:space="preserve">33. Bjelland I, Dahl A a, Haug TT, Neckelmann D. The validity of the Hospital Anxiety and Depression Scale. An updated literature review. J Psychosom Res. 2002;52:69–77. </w:t>
      </w:r>
    </w:p>
    <w:p w14:paraId="5F97A708"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34. Dworkin RH, Turk DC, Wyrwich KW, Beaton D, Cleeland CS, Farrar JT, et al. Interpreting the clinical importance of treatment outcomes in chronic pain clinical trials: IMMPACT recommendations. J Pain [Internet]. 2008;9:105–21. Available from: http://www.ncbi.nlm.nih.gov/pubmed/18055266</w:t>
      </w:r>
    </w:p>
    <w:p w14:paraId="57EFBE90"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 xml:space="preserve">35. Talukdar R, Lakhtakia S, Nageshwar Reddy D, Rao GV, Pradeep R, Banerjee R, et al. Ameliorating effect of antioxidants and pregabalin combination in pain recurrence after ductal clearance in chronic pancreatitis: Results of a randomized, double blind, placebo-controlled trial. J Gastroenterol Hepatol [Internet]. 2016;31:1654–62. Available from: </w:t>
      </w:r>
      <w:r w:rsidRPr="004D0981">
        <w:rPr>
          <w:rFonts w:ascii="Times New Roman" w:hAnsi="Times New Roman" w:cs="Times New Roman"/>
          <w:noProof/>
          <w:sz w:val="24"/>
        </w:rPr>
        <w:lastRenderedPageBreak/>
        <w:t>http://www.ncbi.nlm.nih.gov/pubmed/26945817</w:t>
      </w:r>
    </w:p>
    <w:p w14:paraId="236E804B"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 xml:space="preserve">36. Pud D, Granovsky Y, Yarnitsky D. The methodology of experimentally induced diffuse noxious inhibitory control (DNIC)-like effect in humans. Pain. 2009;144:16–9. </w:t>
      </w:r>
    </w:p>
    <w:p w14:paraId="613C78E3"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37. Mullady DK, Yadav D, Amann ST, O’Connell MR, Barmada MM, Elta GH, et al. Type of pain, pain-associated complications, quality of life, disability and resource utilisation in chronic pancreatitis: a prospective cohort study. Gut [Internet]. 2011 [cited 2014 Mar 25];60:77–84. Available from: http://www.ncbi.nlm.nih.gov/pubmed/21148579</w:t>
      </w:r>
    </w:p>
    <w:p w14:paraId="67F68CC8"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38. Olesen SS, Juel J, Nielsen AK, Frøkjær JB, Wilder-Smith OHG, Drewes AM. Pain severity reduces life quality in chronic pancreatitis: Implications for design of future outcome trials. Pancreatology [Internet]. Switzerland; 2014;14:497–502. Available from: http://www.ncbi.nlm.nih.gov/pubmed/25455540</w:t>
      </w:r>
    </w:p>
    <w:p w14:paraId="7883B935"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39. Machicado JD, Amann ST, Anderson MA, Abberbock J, Sherman S, Conwell DL, et al. Quality of Life in Chronic Pancreatitis is Determined by Constant Pain, Disability/Unemployment, Current Smoking, and Associated Co-Morbidities. Am J Gastroenterol [Internet]. 2017;112:633–42. Available from: http://www.ncbi.nlm.nih.gov/pubmed/28244497</w:t>
      </w:r>
    </w:p>
    <w:p w14:paraId="70651D50"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40. Dumonceau J-M, Delhaye M, Tringali A, Arvanitakis M, Sanchez-Yague A, Vaysse T, et al. Endoscopic treatment of chronic pancreatitis: European Society of Gastrointestinal Endoscopy (ESGE) Guideline - Updated August 2018. Endoscopy [Internet]. 2019;51:179–93. Available from: http://www.ncbi.nlm.nih.gov/pubmed/30654394</w:t>
      </w:r>
    </w:p>
    <w:p w14:paraId="72227807"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41. Drewes AM, Bouwense SAW, Campbell CM, Ceyhan GO, Delhaye M, Demir IE, et al. Guidelines for the understanding and management of pain in chronic pancreatitis. Pancreatology [Internet]. 2017;17:720–31. Available from: https://linkinghub.elsevier.com/retrieve/pii/S142439031730515X</w:t>
      </w:r>
    </w:p>
    <w:p w14:paraId="2F638906"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 xml:space="preserve">42. Ahmed Ali U, Issa Y, Bruno MJ, van Goor H, van Santvoort H, Busch ORC, et al. Early </w:t>
      </w:r>
      <w:r w:rsidRPr="004D0981">
        <w:rPr>
          <w:rFonts w:ascii="Times New Roman" w:hAnsi="Times New Roman" w:cs="Times New Roman"/>
          <w:noProof/>
          <w:sz w:val="24"/>
        </w:rPr>
        <w:lastRenderedPageBreak/>
        <w:t>surgery versus optimal current step-up practice for chronic pancreatitis (ESCAPE): design and rationale of a randomized trial. BMC Gastroenterol [Internet]. 2013 [cited 2014 Mar 26];13:49. Available from: http://www.pubmedcentral.nih.gov/articlerender.fcgi?artid=3610165&amp;tool=pmcentrez&amp;rendertype=abstract</w:t>
      </w:r>
    </w:p>
    <w:p w14:paraId="188C74FD"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43. Olesen SS, Krauss T, Demir IE, Wilder-Smith OH, Ceyhan GO, Pasricha PJ, et al. Towards a neurobiological understanding of pain in chronic pancreatitis: mechanisms and implications for treatment. Pain reports [Internet]. 2017;2:e625. Available from: http://www.ncbi.nlm.nih.gov/pubmed/29392239</w:t>
      </w:r>
    </w:p>
    <w:p w14:paraId="5F70BE2A" w14:textId="77777777" w:rsidR="004D0981" w:rsidRPr="004D0981" w:rsidRDefault="004D0981" w:rsidP="004D0981">
      <w:pPr>
        <w:widowControl w:val="0"/>
        <w:autoSpaceDE w:val="0"/>
        <w:autoSpaceDN w:val="0"/>
        <w:adjustRightInd w:val="0"/>
        <w:spacing w:line="480" w:lineRule="auto"/>
        <w:rPr>
          <w:rFonts w:ascii="Times New Roman" w:hAnsi="Times New Roman" w:cs="Times New Roman"/>
          <w:noProof/>
          <w:sz w:val="24"/>
        </w:rPr>
      </w:pPr>
      <w:r w:rsidRPr="004D0981">
        <w:rPr>
          <w:rFonts w:ascii="Times New Roman" w:hAnsi="Times New Roman" w:cs="Times New Roman"/>
          <w:noProof/>
          <w:sz w:val="24"/>
        </w:rPr>
        <w:t xml:space="preserve">44. Madzak A, Olesen SS, Lykke Poulsen J, Bolvig Mark E, Mohr Drewes A, Frøkjær JB. MRI assessed pancreatic morphology and exocrine function are associated with disease burden in chronic pancreatitis. Eur J Gastroenterol Hepatol. 2017;29:1269–75. </w:t>
      </w:r>
    </w:p>
    <w:p w14:paraId="020FAF2D" w14:textId="033C2A34" w:rsidR="00442F1C" w:rsidRPr="002013B9" w:rsidRDefault="0070015F" w:rsidP="004D0981">
      <w:pPr>
        <w:widowControl w:val="0"/>
        <w:autoSpaceDE w:val="0"/>
        <w:autoSpaceDN w:val="0"/>
        <w:adjustRightInd w:val="0"/>
        <w:spacing w:line="480" w:lineRule="auto"/>
        <w:rPr>
          <w:rFonts w:ascii="Times New Roman" w:hAnsi="Times New Roman" w:cs="Times New Roman"/>
          <w:color w:val="000000" w:themeColor="text1"/>
          <w:lang w:val="en-GB"/>
        </w:rPr>
      </w:pPr>
      <w:r w:rsidRPr="002013B9">
        <w:rPr>
          <w:rFonts w:ascii="Times New Roman" w:hAnsi="Times New Roman" w:cs="Times New Roman"/>
          <w:color w:val="000000" w:themeColor="text1"/>
          <w:sz w:val="24"/>
          <w:szCs w:val="24"/>
          <w:lang w:val="en-GB"/>
        </w:rPr>
        <w:fldChar w:fldCharType="end"/>
      </w:r>
    </w:p>
    <w:sectPr w:rsidR="00442F1C" w:rsidRPr="002013B9" w:rsidSect="008E7E7B">
      <w:headerReference w:type="default" r:id="rId9"/>
      <w:footerReference w:type="even" r:id="rId10"/>
      <w:footerReference w:type="default" r:id="rId11"/>
      <w:footerReference w:type="first" r:id="rId12"/>
      <w:pgSz w:w="11906" w:h="16838"/>
      <w:pgMar w:top="1701" w:right="1134" w:bottom="1701" w:left="1134"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37C29B" w14:textId="77777777" w:rsidR="006945B8" w:rsidRDefault="006945B8" w:rsidP="00135EE1">
      <w:r>
        <w:separator/>
      </w:r>
    </w:p>
  </w:endnote>
  <w:endnote w:type="continuationSeparator" w:id="0">
    <w:p w14:paraId="14B21855" w14:textId="77777777" w:rsidR="006945B8" w:rsidRDefault="006945B8" w:rsidP="00135E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MS ??">
    <w:panose1 w:val="00000000000000000000"/>
    <w:charset w:val="80"/>
    <w:family w:val="auto"/>
    <w:notTrueType/>
    <w:pitch w:val="variable"/>
    <w:sig w:usb0="00000001" w:usb1="08070000" w:usb2="00000010" w:usb3="00000000" w:csb0="00020000" w:csb1="00000000"/>
  </w:font>
  <w:font w:name="Times New Roman,Bold">
    <w:altName w:val="Times New Roman"/>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55960917"/>
      <w:docPartObj>
        <w:docPartGallery w:val="Page Numbers (Bottom of Page)"/>
        <w:docPartUnique/>
      </w:docPartObj>
    </w:sdtPr>
    <w:sdtEndPr>
      <w:rPr>
        <w:rStyle w:val="PageNumber"/>
      </w:rPr>
    </w:sdtEndPr>
    <w:sdtContent>
      <w:p w14:paraId="20EC761D" w14:textId="7311959D" w:rsidR="008E7E7B" w:rsidRDefault="008E7E7B" w:rsidP="008E7E7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BAA5786" w14:textId="77777777" w:rsidR="008E7E7B" w:rsidRDefault="008E7E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115482821"/>
      <w:docPartObj>
        <w:docPartGallery w:val="Page Numbers (Bottom of Page)"/>
        <w:docPartUnique/>
      </w:docPartObj>
    </w:sdtPr>
    <w:sdtEndPr>
      <w:rPr>
        <w:rStyle w:val="PageNumber"/>
      </w:rPr>
    </w:sdtEndPr>
    <w:sdtContent>
      <w:p w14:paraId="7AA70153" w14:textId="2634C2AF" w:rsidR="008E7E7B" w:rsidRDefault="008E7E7B" w:rsidP="008E7E7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35C60261" w14:textId="045AB3E3" w:rsidR="00AD2336" w:rsidRDefault="00AD2336">
    <w:pPr>
      <w:pStyle w:val="Footer"/>
      <w:jc w:val="right"/>
    </w:pPr>
  </w:p>
  <w:p w14:paraId="0856113E" w14:textId="77777777" w:rsidR="00AD2336" w:rsidRDefault="00AD233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5FCAD9" w14:textId="77777777" w:rsidR="00AD2336" w:rsidRDefault="00AD2336">
    <w:pPr>
      <w:pStyle w:val="Footer"/>
      <w:jc w:val="right"/>
    </w:pPr>
  </w:p>
  <w:p w14:paraId="24F5ECF5" w14:textId="77777777" w:rsidR="00AD2336" w:rsidRDefault="00AD233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D5242C" w14:textId="77777777" w:rsidR="006945B8" w:rsidRDefault="006945B8" w:rsidP="00135EE1">
      <w:r>
        <w:separator/>
      </w:r>
    </w:p>
  </w:footnote>
  <w:footnote w:type="continuationSeparator" w:id="0">
    <w:p w14:paraId="3BB2E183" w14:textId="77777777" w:rsidR="006945B8" w:rsidRDefault="006945B8" w:rsidP="00135E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62CD96" w14:textId="13F6F152" w:rsidR="00AD2336" w:rsidRDefault="00AD2336" w:rsidP="00750FC1">
    <w:pPr>
      <w:pStyle w:val="Header"/>
      <w:rPr>
        <w:rFonts w:ascii="Times New Roman" w:hAnsi="Times New Roman" w:cs="Times New Roman"/>
        <w:sz w:val="20"/>
        <w:szCs w:val="20"/>
      </w:rPr>
    </w:pPr>
  </w:p>
  <w:p w14:paraId="039499DB" w14:textId="77777777" w:rsidR="00A84C11" w:rsidRPr="002374FD" w:rsidRDefault="00A84C11" w:rsidP="00750FC1">
    <w:pPr>
      <w:pStyle w:val="Header"/>
      <w:rPr>
        <w:rFonts w:ascii="Times New Roman" w:hAnsi="Times New Roman" w:cs="Times New Roman"/>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E0CAEED"/>
    <w:multiLevelType w:val="hybridMultilevel"/>
    <w:tmpl w:val="4BB54841"/>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2D6AB3"/>
    <w:multiLevelType w:val="hybridMultilevel"/>
    <w:tmpl w:val="6B5032B4"/>
    <w:lvl w:ilvl="0" w:tplc="04060001">
      <w:start w:val="1"/>
      <w:numFmt w:val="bullet"/>
      <w:lvlText w:val=""/>
      <w:lvlJc w:val="left"/>
      <w:pPr>
        <w:ind w:left="-1434" w:hanging="360"/>
      </w:pPr>
      <w:rPr>
        <w:rFonts w:ascii="Symbol" w:hAnsi="Symbol" w:hint="default"/>
      </w:rPr>
    </w:lvl>
    <w:lvl w:ilvl="1" w:tplc="04060003" w:tentative="1">
      <w:start w:val="1"/>
      <w:numFmt w:val="bullet"/>
      <w:lvlText w:val="o"/>
      <w:lvlJc w:val="left"/>
      <w:pPr>
        <w:ind w:left="-714" w:hanging="360"/>
      </w:pPr>
      <w:rPr>
        <w:rFonts w:ascii="Courier New" w:hAnsi="Courier New" w:cs="Courier New" w:hint="default"/>
      </w:rPr>
    </w:lvl>
    <w:lvl w:ilvl="2" w:tplc="04060005" w:tentative="1">
      <w:start w:val="1"/>
      <w:numFmt w:val="bullet"/>
      <w:lvlText w:val=""/>
      <w:lvlJc w:val="left"/>
      <w:pPr>
        <w:ind w:left="6" w:hanging="360"/>
      </w:pPr>
      <w:rPr>
        <w:rFonts w:ascii="Wingdings" w:hAnsi="Wingdings" w:hint="default"/>
      </w:rPr>
    </w:lvl>
    <w:lvl w:ilvl="3" w:tplc="04060001" w:tentative="1">
      <w:start w:val="1"/>
      <w:numFmt w:val="bullet"/>
      <w:lvlText w:val=""/>
      <w:lvlJc w:val="left"/>
      <w:pPr>
        <w:ind w:left="726" w:hanging="360"/>
      </w:pPr>
      <w:rPr>
        <w:rFonts w:ascii="Symbol" w:hAnsi="Symbol" w:hint="default"/>
      </w:rPr>
    </w:lvl>
    <w:lvl w:ilvl="4" w:tplc="04060003" w:tentative="1">
      <w:start w:val="1"/>
      <w:numFmt w:val="bullet"/>
      <w:lvlText w:val="o"/>
      <w:lvlJc w:val="left"/>
      <w:pPr>
        <w:ind w:left="1446" w:hanging="360"/>
      </w:pPr>
      <w:rPr>
        <w:rFonts w:ascii="Courier New" w:hAnsi="Courier New" w:cs="Courier New" w:hint="default"/>
      </w:rPr>
    </w:lvl>
    <w:lvl w:ilvl="5" w:tplc="04060005" w:tentative="1">
      <w:start w:val="1"/>
      <w:numFmt w:val="bullet"/>
      <w:lvlText w:val=""/>
      <w:lvlJc w:val="left"/>
      <w:pPr>
        <w:ind w:left="2166" w:hanging="360"/>
      </w:pPr>
      <w:rPr>
        <w:rFonts w:ascii="Wingdings" w:hAnsi="Wingdings" w:hint="default"/>
      </w:rPr>
    </w:lvl>
    <w:lvl w:ilvl="6" w:tplc="04060001" w:tentative="1">
      <w:start w:val="1"/>
      <w:numFmt w:val="bullet"/>
      <w:lvlText w:val=""/>
      <w:lvlJc w:val="left"/>
      <w:pPr>
        <w:ind w:left="2886" w:hanging="360"/>
      </w:pPr>
      <w:rPr>
        <w:rFonts w:ascii="Symbol" w:hAnsi="Symbol" w:hint="default"/>
      </w:rPr>
    </w:lvl>
    <w:lvl w:ilvl="7" w:tplc="04060003" w:tentative="1">
      <w:start w:val="1"/>
      <w:numFmt w:val="bullet"/>
      <w:lvlText w:val="o"/>
      <w:lvlJc w:val="left"/>
      <w:pPr>
        <w:ind w:left="3606" w:hanging="360"/>
      </w:pPr>
      <w:rPr>
        <w:rFonts w:ascii="Courier New" w:hAnsi="Courier New" w:cs="Courier New" w:hint="default"/>
      </w:rPr>
    </w:lvl>
    <w:lvl w:ilvl="8" w:tplc="04060005" w:tentative="1">
      <w:start w:val="1"/>
      <w:numFmt w:val="bullet"/>
      <w:lvlText w:val=""/>
      <w:lvlJc w:val="left"/>
      <w:pPr>
        <w:ind w:left="4326" w:hanging="360"/>
      </w:pPr>
      <w:rPr>
        <w:rFonts w:ascii="Wingdings" w:hAnsi="Wingdings" w:hint="default"/>
      </w:rPr>
    </w:lvl>
  </w:abstractNum>
  <w:abstractNum w:abstractNumId="2" w15:restartNumberingAfterBreak="0">
    <w:nsid w:val="012469E5"/>
    <w:multiLevelType w:val="hybridMultilevel"/>
    <w:tmpl w:val="081EAC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04847078"/>
    <w:multiLevelType w:val="hybridMultilevel"/>
    <w:tmpl w:val="D6DEB682"/>
    <w:lvl w:ilvl="0" w:tplc="E64C8EBA">
      <w:start w:val="1"/>
      <w:numFmt w:val="bullet"/>
      <w:lvlText w:val=""/>
      <w:lvlJc w:val="left"/>
      <w:pPr>
        <w:tabs>
          <w:tab w:val="num" w:pos="284"/>
        </w:tabs>
        <w:ind w:left="284" w:hanging="28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82047B"/>
    <w:multiLevelType w:val="multilevel"/>
    <w:tmpl w:val="2640BF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52F631A"/>
    <w:multiLevelType w:val="hybridMultilevel"/>
    <w:tmpl w:val="3E825D5A"/>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6" w15:restartNumberingAfterBreak="0">
    <w:nsid w:val="1A711E88"/>
    <w:multiLevelType w:val="hybridMultilevel"/>
    <w:tmpl w:val="FBAEE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C52863"/>
    <w:multiLevelType w:val="multilevel"/>
    <w:tmpl w:val="4D46F214"/>
    <w:lvl w:ilvl="0">
      <w:start w:val="1"/>
      <w:numFmt w:val="decimal"/>
      <w:lvlText w:val="%1."/>
      <w:lvlJc w:val="left"/>
      <w:pPr>
        <w:ind w:left="360" w:hanging="360"/>
      </w:pPr>
      <w:rPr>
        <w:rFonts w:cs="Times New Roman" w:hint="default"/>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8" w15:restartNumberingAfterBreak="0">
    <w:nsid w:val="21F744BB"/>
    <w:multiLevelType w:val="hybridMultilevel"/>
    <w:tmpl w:val="E51859E0"/>
    <w:lvl w:ilvl="0" w:tplc="0406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22025F58"/>
    <w:multiLevelType w:val="hybridMultilevel"/>
    <w:tmpl w:val="860887A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0" w15:restartNumberingAfterBreak="0">
    <w:nsid w:val="24C84DA1"/>
    <w:multiLevelType w:val="hybridMultilevel"/>
    <w:tmpl w:val="023C15C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93629FA"/>
    <w:multiLevelType w:val="hybridMultilevel"/>
    <w:tmpl w:val="857E96B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2" w15:restartNumberingAfterBreak="0">
    <w:nsid w:val="2EC57C5E"/>
    <w:multiLevelType w:val="hybridMultilevel"/>
    <w:tmpl w:val="7A0824B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CBD5974"/>
    <w:multiLevelType w:val="hybridMultilevel"/>
    <w:tmpl w:val="1186AEF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4" w15:restartNumberingAfterBreak="0">
    <w:nsid w:val="48ED7C20"/>
    <w:multiLevelType w:val="hybridMultilevel"/>
    <w:tmpl w:val="529EDA1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5" w15:restartNumberingAfterBreak="0">
    <w:nsid w:val="4D144ADB"/>
    <w:multiLevelType w:val="hybridMultilevel"/>
    <w:tmpl w:val="6CAEEB6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2817708"/>
    <w:multiLevelType w:val="hybridMultilevel"/>
    <w:tmpl w:val="5E30BB82"/>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17" w15:restartNumberingAfterBreak="0">
    <w:nsid w:val="5AA3702C"/>
    <w:multiLevelType w:val="hybridMultilevel"/>
    <w:tmpl w:val="4942BFC8"/>
    <w:lvl w:ilvl="0" w:tplc="E64C8EBA">
      <w:start w:val="1"/>
      <w:numFmt w:val="bullet"/>
      <w:lvlText w:val=""/>
      <w:lvlJc w:val="left"/>
      <w:pPr>
        <w:tabs>
          <w:tab w:val="num" w:pos="284"/>
        </w:tabs>
        <w:ind w:left="284" w:hanging="28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B103102"/>
    <w:multiLevelType w:val="hybridMultilevel"/>
    <w:tmpl w:val="8AFAF95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BB5060A"/>
    <w:multiLevelType w:val="hybridMultilevel"/>
    <w:tmpl w:val="A942E6D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0" w15:restartNumberingAfterBreak="0">
    <w:nsid w:val="5D0A1F6D"/>
    <w:multiLevelType w:val="hybridMultilevel"/>
    <w:tmpl w:val="967213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0501D12"/>
    <w:multiLevelType w:val="hybridMultilevel"/>
    <w:tmpl w:val="DB560CAC"/>
    <w:lvl w:ilvl="0" w:tplc="04060001">
      <w:start w:val="1"/>
      <w:numFmt w:val="bullet"/>
      <w:lvlText w:val=""/>
      <w:lvlJc w:val="left"/>
      <w:pPr>
        <w:ind w:left="1800" w:hanging="360"/>
      </w:pPr>
      <w:rPr>
        <w:rFonts w:ascii="Symbol" w:hAnsi="Symbol" w:hint="default"/>
      </w:rPr>
    </w:lvl>
    <w:lvl w:ilvl="1" w:tplc="04060003" w:tentative="1">
      <w:start w:val="1"/>
      <w:numFmt w:val="bullet"/>
      <w:lvlText w:val="o"/>
      <w:lvlJc w:val="left"/>
      <w:pPr>
        <w:ind w:left="2520" w:hanging="360"/>
      </w:pPr>
      <w:rPr>
        <w:rFonts w:ascii="Courier New" w:hAnsi="Courier New" w:cs="Courier New" w:hint="default"/>
      </w:rPr>
    </w:lvl>
    <w:lvl w:ilvl="2" w:tplc="04060005" w:tentative="1">
      <w:start w:val="1"/>
      <w:numFmt w:val="bullet"/>
      <w:lvlText w:val=""/>
      <w:lvlJc w:val="left"/>
      <w:pPr>
        <w:ind w:left="3240" w:hanging="360"/>
      </w:pPr>
      <w:rPr>
        <w:rFonts w:ascii="Wingdings" w:hAnsi="Wingdings" w:hint="default"/>
      </w:rPr>
    </w:lvl>
    <w:lvl w:ilvl="3" w:tplc="04060001" w:tentative="1">
      <w:start w:val="1"/>
      <w:numFmt w:val="bullet"/>
      <w:lvlText w:val=""/>
      <w:lvlJc w:val="left"/>
      <w:pPr>
        <w:ind w:left="3960" w:hanging="360"/>
      </w:pPr>
      <w:rPr>
        <w:rFonts w:ascii="Symbol" w:hAnsi="Symbol" w:hint="default"/>
      </w:rPr>
    </w:lvl>
    <w:lvl w:ilvl="4" w:tplc="04060003" w:tentative="1">
      <w:start w:val="1"/>
      <w:numFmt w:val="bullet"/>
      <w:lvlText w:val="o"/>
      <w:lvlJc w:val="left"/>
      <w:pPr>
        <w:ind w:left="4680" w:hanging="360"/>
      </w:pPr>
      <w:rPr>
        <w:rFonts w:ascii="Courier New" w:hAnsi="Courier New" w:cs="Courier New" w:hint="default"/>
      </w:rPr>
    </w:lvl>
    <w:lvl w:ilvl="5" w:tplc="04060005" w:tentative="1">
      <w:start w:val="1"/>
      <w:numFmt w:val="bullet"/>
      <w:lvlText w:val=""/>
      <w:lvlJc w:val="left"/>
      <w:pPr>
        <w:ind w:left="5400" w:hanging="360"/>
      </w:pPr>
      <w:rPr>
        <w:rFonts w:ascii="Wingdings" w:hAnsi="Wingdings" w:hint="default"/>
      </w:rPr>
    </w:lvl>
    <w:lvl w:ilvl="6" w:tplc="04060001" w:tentative="1">
      <w:start w:val="1"/>
      <w:numFmt w:val="bullet"/>
      <w:lvlText w:val=""/>
      <w:lvlJc w:val="left"/>
      <w:pPr>
        <w:ind w:left="6120" w:hanging="360"/>
      </w:pPr>
      <w:rPr>
        <w:rFonts w:ascii="Symbol" w:hAnsi="Symbol" w:hint="default"/>
      </w:rPr>
    </w:lvl>
    <w:lvl w:ilvl="7" w:tplc="04060003" w:tentative="1">
      <w:start w:val="1"/>
      <w:numFmt w:val="bullet"/>
      <w:lvlText w:val="o"/>
      <w:lvlJc w:val="left"/>
      <w:pPr>
        <w:ind w:left="6840" w:hanging="360"/>
      </w:pPr>
      <w:rPr>
        <w:rFonts w:ascii="Courier New" w:hAnsi="Courier New" w:cs="Courier New" w:hint="default"/>
      </w:rPr>
    </w:lvl>
    <w:lvl w:ilvl="8" w:tplc="04060005" w:tentative="1">
      <w:start w:val="1"/>
      <w:numFmt w:val="bullet"/>
      <w:lvlText w:val=""/>
      <w:lvlJc w:val="left"/>
      <w:pPr>
        <w:ind w:left="7560" w:hanging="360"/>
      </w:pPr>
      <w:rPr>
        <w:rFonts w:ascii="Wingdings" w:hAnsi="Wingdings" w:hint="default"/>
      </w:rPr>
    </w:lvl>
  </w:abstractNum>
  <w:abstractNum w:abstractNumId="22" w15:restartNumberingAfterBreak="0">
    <w:nsid w:val="66644706"/>
    <w:multiLevelType w:val="hybridMultilevel"/>
    <w:tmpl w:val="CE868C1A"/>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3" w15:restartNumberingAfterBreak="0">
    <w:nsid w:val="6AF87122"/>
    <w:multiLevelType w:val="hybridMultilevel"/>
    <w:tmpl w:val="C610F9AA"/>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4" w15:restartNumberingAfterBreak="0">
    <w:nsid w:val="6C2764FF"/>
    <w:multiLevelType w:val="hybridMultilevel"/>
    <w:tmpl w:val="D0365842"/>
    <w:lvl w:ilvl="0" w:tplc="04060001">
      <w:start w:val="1"/>
      <w:numFmt w:val="bullet"/>
      <w:lvlText w:val=""/>
      <w:lvlJc w:val="left"/>
      <w:pPr>
        <w:ind w:left="1800" w:hanging="360"/>
      </w:pPr>
      <w:rPr>
        <w:rFonts w:ascii="Symbol" w:hAnsi="Symbol" w:hint="default"/>
      </w:rPr>
    </w:lvl>
    <w:lvl w:ilvl="1" w:tplc="04060003" w:tentative="1">
      <w:start w:val="1"/>
      <w:numFmt w:val="bullet"/>
      <w:lvlText w:val="o"/>
      <w:lvlJc w:val="left"/>
      <w:pPr>
        <w:ind w:left="2520" w:hanging="360"/>
      </w:pPr>
      <w:rPr>
        <w:rFonts w:ascii="Courier New" w:hAnsi="Courier New" w:cs="Courier New" w:hint="default"/>
      </w:rPr>
    </w:lvl>
    <w:lvl w:ilvl="2" w:tplc="04060005" w:tentative="1">
      <w:start w:val="1"/>
      <w:numFmt w:val="bullet"/>
      <w:lvlText w:val=""/>
      <w:lvlJc w:val="left"/>
      <w:pPr>
        <w:ind w:left="3240" w:hanging="360"/>
      </w:pPr>
      <w:rPr>
        <w:rFonts w:ascii="Wingdings" w:hAnsi="Wingdings" w:hint="default"/>
      </w:rPr>
    </w:lvl>
    <w:lvl w:ilvl="3" w:tplc="04060001" w:tentative="1">
      <w:start w:val="1"/>
      <w:numFmt w:val="bullet"/>
      <w:lvlText w:val=""/>
      <w:lvlJc w:val="left"/>
      <w:pPr>
        <w:ind w:left="3960" w:hanging="360"/>
      </w:pPr>
      <w:rPr>
        <w:rFonts w:ascii="Symbol" w:hAnsi="Symbol" w:hint="default"/>
      </w:rPr>
    </w:lvl>
    <w:lvl w:ilvl="4" w:tplc="04060003" w:tentative="1">
      <w:start w:val="1"/>
      <w:numFmt w:val="bullet"/>
      <w:lvlText w:val="o"/>
      <w:lvlJc w:val="left"/>
      <w:pPr>
        <w:ind w:left="4680" w:hanging="360"/>
      </w:pPr>
      <w:rPr>
        <w:rFonts w:ascii="Courier New" w:hAnsi="Courier New" w:cs="Courier New" w:hint="default"/>
      </w:rPr>
    </w:lvl>
    <w:lvl w:ilvl="5" w:tplc="04060005" w:tentative="1">
      <w:start w:val="1"/>
      <w:numFmt w:val="bullet"/>
      <w:lvlText w:val=""/>
      <w:lvlJc w:val="left"/>
      <w:pPr>
        <w:ind w:left="5400" w:hanging="360"/>
      </w:pPr>
      <w:rPr>
        <w:rFonts w:ascii="Wingdings" w:hAnsi="Wingdings" w:hint="default"/>
      </w:rPr>
    </w:lvl>
    <w:lvl w:ilvl="6" w:tplc="04060001" w:tentative="1">
      <w:start w:val="1"/>
      <w:numFmt w:val="bullet"/>
      <w:lvlText w:val=""/>
      <w:lvlJc w:val="left"/>
      <w:pPr>
        <w:ind w:left="6120" w:hanging="360"/>
      </w:pPr>
      <w:rPr>
        <w:rFonts w:ascii="Symbol" w:hAnsi="Symbol" w:hint="default"/>
      </w:rPr>
    </w:lvl>
    <w:lvl w:ilvl="7" w:tplc="04060003" w:tentative="1">
      <w:start w:val="1"/>
      <w:numFmt w:val="bullet"/>
      <w:lvlText w:val="o"/>
      <w:lvlJc w:val="left"/>
      <w:pPr>
        <w:ind w:left="6840" w:hanging="360"/>
      </w:pPr>
      <w:rPr>
        <w:rFonts w:ascii="Courier New" w:hAnsi="Courier New" w:cs="Courier New" w:hint="default"/>
      </w:rPr>
    </w:lvl>
    <w:lvl w:ilvl="8" w:tplc="04060005" w:tentative="1">
      <w:start w:val="1"/>
      <w:numFmt w:val="bullet"/>
      <w:lvlText w:val=""/>
      <w:lvlJc w:val="left"/>
      <w:pPr>
        <w:ind w:left="7560" w:hanging="360"/>
      </w:pPr>
      <w:rPr>
        <w:rFonts w:ascii="Wingdings" w:hAnsi="Wingdings" w:hint="default"/>
      </w:rPr>
    </w:lvl>
  </w:abstractNum>
  <w:abstractNum w:abstractNumId="25" w15:restartNumberingAfterBreak="0">
    <w:nsid w:val="7148148B"/>
    <w:multiLevelType w:val="hybridMultilevel"/>
    <w:tmpl w:val="FFE6CE9C"/>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6" w15:restartNumberingAfterBreak="0">
    <w:nsid w:val="72765F27"/>
    <w:multiLevelType w:val="hybridMultilevel"/>
    <w:tmpl w:val="E4F8805C"/>
    <w:lvl w:ilvl="0" w:tplc="04060001">
      <w:start w:val="1"/>
      <w:numFmt w:val="bullet"/>
      <w:lvlText w:val=""/>
      <w:lvlJc w:val="left"/>
      <w:pPr>
        <w:ind w:left="1440" w:hanging="360"/>
      </w:pPr>
      <w:rPr>
        <w:rFonts w:ascii="Symbol" w:hAnsi="Symbol" w:hint="default"/>
      </w:rPr>
    </w:lvl>
    <w:lvl w:ilvl="1" w:tplc="04060003" w:tentative="1">
      <w:start w:val="1"/>
      <w:numFmt w:val="bullet"/>
      <w:lvlText w:val="o"/>
      <w:lvlJc w:val="left"/>
      <w:pPr>
        <w:ind w:left="2160" w:hanging="360"/>
      </w:pPr>
      <w:rPr>
        <w:rFonts w:ascii="Courier New" w:hAnsi="Courier New" w:cs="Courier New" w:hint="default"/>
      </w:rPr>
    </w:lvl>
    <w:lvl w:ilvl="2" w:tplc="04060005" w:tentative="1">
      <w:start w:val="1"/>
      <w:numFmt w:val="bullet"/>
      <w:lvlText w:val=""/>
      <w:lvlJc w:val="left"/>
      <w:pPr>
        <w:ind w:left="2880" w:hanging="360"/>
      </w:pPr>
      <w:rPr>
        <w:rFonts w:ascii="Wingdings" w:hAnsi="Wingdings" w:hint="default"/>
      </w:rPr>
    </w:lvl>
    <w:lvl w:ilvl="3" w:tplc="04060001" w:tentative="1">
      <w:start w:val="1"/>
      <w:numFmt w:val="bullet"/>
      <w:lvlText w:val=""/>
      <w:lvlJc w:val="left"/>
      <w:pPr>
        <w:ind w:left="3600" w:hanging="360"/>
      </w:pPr>
      <w:rPr>
        <w:rFonts w:ascii="Symbol" w:hAnsi="Symbol" w:hint="default"/>
      </w:rPr>
    </w:lvl>
    <w:lvl w:ilvl="4" w:tplc="04060003" w:tentative="1">
      <w:start w:val="1"/>
      <w:numFmt w:val="bullet"/>
      <w:lvlText w:val="o"/>
      <w:lvlJc w:val="left"/>
      <w:pPr>
        <w:ind w:left="4320" w:hanging="360"/>
      </w:pPr>
      <w:rPr>
        <w:rFonts w:ascii="Courier New" w:hAnsi="Courier New" w:cs="Courier New" w:hint="default"/>
      </w:rPr>
    </w:lvl>
    <w:lvl w:ilvl="5" w:tplc="04060005" w:tentative="1">
      <w:start w:val="1"/>
      <w:numFmt w:val="bullet"/>
      <w:lvlText w:val=""/>
      <w:lvlJc w:val="left"/>
      <w:pPr>
        <w:ind w:left="5040" w:hanging="360"/>
      </w:pPr>
      <w:rPr>
        <w:rFonts w:ascii="Wingdings" w:hAnsi="Wingdings" w:hint="default"/>
      </w:rPr>
    </w:lvl>
    <w:lvl w:ilvl="6" w:tplc="04060001" w:tentative="1">
      <w:start w:val="1"/>
      <w:numFmt w:val="bullet"/>
      <w:lvlText w:val=""/>
      <w:lvlJc w:val="left"/>
      <w:pPr>
        <w:ind w:left="5760" w:hanging="360"/>
      </w:pPr>
      <w:rPr>
        <w:rFonts w:ascii="Symbol" w:hAnsi="Symbol" w:hint="default"/>
      </w:rPr>
    </w:lvl>
    <w:lvl w:ilvl="7" w:tplc="04060003" w:tentative="1">
      <w:start w:val="1"/>
      <w:numFmt w:val="bullet"/>
      <w:lvlText w:val="o"/>
      <w:lvlJc w:val="left"/>
      <w:pPr>
        <w:ind w:left="6480" w:hanging="360"/>
      </w:pPr>
      <w:rPr>
        <w:rFonts w:ascii="Courier New" w:hAnsi="Courier New" w:cs="Courier New" w:hint="default"/>
      </w:rPr>
    </w:lvl>
    <w:lvl w:ilvl="8" w:tplc="04060005" w:tentative="1">
      <w:start w:val="1"/>
      <w:numFmt w:val="bullet"/>
      <w:lvlText w:val=""/>
      <w:lvlJc w:val="left"/>
      <w:pPr>
        <w:ind w:left="7200" w:hanging="360"/>
      </w:pPr>
      <w:rPr>
        <w:rFonts w:ascii="Wingdings" w:hAnsi="Wingdings" w:hint="default"/>
      </w:rPr>
    </w:lvl>
  </w:abstractNum>
  <w:abstractNum w:abstractNumId="27" w15:restartNumberingAfterBreak="0">
    <w:nsid w:val="73F30E49"/>
    <w:multiLevelType w:val="hybridMultilevel"/>
    <w:tmpl w:val="BCB60A4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80A5800"/>
    <w:multiLevelType w:val="hybridMultilevel"/>
    <w:tmpl w:val="159EBAC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9" w15:restartNumberingAfterBreak="0">
    <w:nsid w:val="7D184676"/>
    <w:multiLevelType w:val="hybridMultilevel"/>
    <w:tmpl w:val="7C0AF07A"/>
    <w:lvl w:ilvl="0" w:tplc="0406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0" w:hanging="360"/>
      </w:pPr>
      <w:rPr>
        <w:rFonts w:ascii="Courier New" w:hAnsi="Courier New" w:cs="Courier New" w:hint="default"/>
      </w:rPr>
    </w:lvl>
    <w:lvl w:ilvl="2" w:tplc="08090005" w:tentative="1">
      <w:start w:val="1"/>
      <w:numFmt w:val="bullet"/>
      <w:lvlText w:val=""/>
      <w:lvlJc w:val="left"/>
      <w:pPr>
        <w:ind w:left="720" w:hanging="360"/>
      </w:pPr>
      <w:rPr>
        <w:rFonts w:ascii="Wingdings" w:hAnsi="Wingdings" w:hint="default"/>
      </w:rPr>
    </w:lvl>
    <w:lvl w:ilvl="3" w:tplc="08090001" w:tentative="1">
      <w:start w:val="1"/>
      <w:numFmt w:val="bullet"/>
      <w:lvlText w:val=""/>
      <w:lvlJc w:val="left"/>
      <w:pPr>
        <w:ind w:left="1440" w:hanging="360"/>
      </w:pPr>
      <w:rPr>
        <w:rFonts w:ascii="Symbol" w:hAnsi="Symbol" w:hint="default"/>
      </w:rPr>
    </w:lvl>
    <w:lvl w:ilvl="4" w:tplc="08090003" w:tentative="1">
      <w:start w:val="1"/>
      <w:numFmt w:val="bullet"/>
      <w:lvlText w:val="o"/>
      <w:lvlJc w:val="left"/>
      <w:pPr>
        <w:ind w:left="2160" w:hanging="360"/>
      </w:pPr>
      <w:rPr>
        <w:rFonts w:ascii="Courier New" w:hAnsi="Courier New" w:cs="Courier New" w:hint="default"/>
      </w:rPr>
    </w:lvl>
    <w:lvl w:ilvl="5" w:tplc="08090005" w:tentative="1">
      <w:start w:val="1"/>
      <w:numFmt w:val="bullet"/>
      <w:lvlText w:val=""/>
      <w:lvlJc w:val="left"/>
      <w:pPr>
        <w:ind w:left="2880" w:hanging="360"/>
      </w:pPr>
      <w:rPr>
        <w:rFonts w:ascii="Wingdings" w:hAnsi="Wingdings" w:hint="default"/>
      </w:rPr>
    </w:lvl>
    <w:lvl w:ilvl="6" w:tplc="08090001" w:tentative="1">
      <w:start w:val="1"/>
      <w:numFmt w:val="bullet"/>
      <w:lvlText w:val=""/>
      <w:lvlJc w:val="left"/>
      <w:pPr>
        <w:ind w:left="3600" w:hanging="360"/>
      </w:pPr>
      <w:rPr>
        <w:rFonts w:ascii="Symbol" w:hAnsi="Symbol" w:hint="default"/>
      </w:rPr>
    </w:lvl>
    <w:lvl w:ilvl="7" w:tplc="08090003" w:tentative="1">
      <w:start w:val="1"/>
      <w:numFmt w:val="bullet"/>
      <w:lvlText w:val="o"/>
      <w:lvlJc w:val="left"/>
      <w:pPr>
        <w:ind w:left="4320" w:hanging="360"/>
      </w:pPr>
      <w:rPr>
        <w:rFonts w:ascii="Courier New" w:hAnsi="Courier New" w:cs="Courier New" w:hint="default"/>
      </w:rPr>
    </w:lvl>
    <w:lvl w:ilvl="8" w:tplc="08090005" w:tentative="1">
      <w:start w:val="1"/>
      <w:numFmt w:val="bullet"/>
      <w:lvlText w:val=""/>
      <w:lvlJc w:val="left"/>
      <w:pPr>
        <w:ind w:left="5040" w:hanging="360"/>
      </w:pPr>
      <w:rPr>
        <w:rFonts w:ascii="Wingdings" w:hAnsi="Wingdings" w:hint="default"/>
      </w:rPr>
    </w:lvl>
  </w:abstractNum>
  <w:num w:numId="1">
    <w:abstractNumId w:val="0"/>
  </w:num>
  <w:num w:numId="2">
    <w:abstractNumId w:val="24"/>
  </w:num>
  <w:num w:numId="3">
    <w:abstractNumId w:val="5"/>
  </w:num>
  <w:num w:numId="4">
    <w:abstractNumId w:val="26"/>
  </w:num>
  <w:num w:numId="5">
    <w:abstractNumId w:val="25"/>
  </w:num>
  <w:num w:numId="6">
    <w:abstractNumId w:val="11"/>
  </w:num>
  <w:num w:numId="7">
    <w:abstractNumId w:val="23"/>
  </w:num>
  <w:num w:numId="8">
    <w:abstractNumId w:val="19"/>
  </w:num>
  <w:num w:numId="9">
    <w:abstractNumId w:val="8"/>
  </w:num>
  <w:num w:numId="10">
    <w:abstractNumId w:val="10"/>
  </w:num>
  <w:num w:numId="11">
    <w:abstractNumId w:val="18"/>
  </w:num>
  <w:num w:numId="12">
    <w:abstractNumId w:val="22"/>
  </w:num>
  <w:num w:numId="13">
    <w:abstractNumId w:val="14"/>
  </w:num>
  <w:num w:numId="14">
    <w:abstractNumId w:val="13"/>
  </w:num>
  <w:num w:numId="15">
    <w:abstractNumId w:val="28"/>
  </w:num>
  <w:num w:numId="16">
    <w:abstractNumId w:val="7"/>
  </w:num>
  <w:num w:numId="17">
    <w:abstractNumId w:val="15"/>
  </w:num>
  <w:num w:numId="18">
    <w:abstractNumId w:val="6"/>
  </w:num>
  <w:num w:numId="19">
    <w:abstractNumId w:val="21"/>
  </w:num>
  <w:num w:numId="20">
    <w:abstractNumId w:val="1"/>
  </w:num>
  <w:num w:numId="21">
    <w:abstractNumId w:val="27"/>
  </w:num>
  <w:num w:numId="22">
    <w:abstractNumId w:val="12"/>
  </w:num>
  <w:num w:numId="23">
    <w:abstractNumId w:val="9"/>
  </w:num>
  <w:num w:numId="24">
    <w:abstractNumId w:val="20"/>
  </w:num>
  <w:num w:numId="2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9"/>
  </w:num>
  <w:num w:numId="27">
    <w:abstractNumId w:val="3"/>
  </w:num>
  <w:num w:numId="28">
    <w:abstractNumId w:val="17"/>
  </w:num>
  <w:num w:numId="29">
    <w:abstractNumId w:val="4"/>
  </w:num>
  <w:num w:numId="30">
    <w:abstractNumId w:val="1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visionView w:inkAnnotations="0"/>
  <w:defaultTabStop w:val="1304"/>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35CE"/>
    <w:rsid w:val="00000501"/>
    <w:rsid w:val="000019D0"/>
    <w:rsid w:val="000037C4"/>
    <w:rsid w:val="00005816"/>
    <w:rsid w:val="00007200"/>
    <w:rsid w:val="0000767F"/>
    <w:rsid w:val="0001046C"/>
    <w:rsid w:val="000109A5"/>
    <w:rsid w:val="00011B17"/>
    <w:rsid w:val="00011C69"/>
    <w:rsid w:val="00012C7A"/>
    <w:rsid w:val="00014A09"/>
    <w:rsid w:val="00014C82"/>
    <w:rsid w:val="000150A9"/>
    <w:rsid w:val="00015860"/>
    <w:rsid w:val="000168F2"/>
    <w:rsid w:val="00016C1F"/>
    <w:rsid w:val="00017609"/>
    <w:rsid w:val="00017674"/>
    <w:rsid w:val="0001768D"/>
    <w:rsid w:val="00020383"/>
    <w:rsid w:val="000211B8"/>
    <w:rsid w:val="00023968"/>
    <w:rsid w:val="00024316"/>
    <w:rsid w:val="00025511"/>
    <w:rsid w:val="00025DCA"/>
    <w:rsid w:val="00026805"/>
    <w:rsid w:val="000269DD"/>
    <w:rsid w:val="000269F7"/>
    <w:rsid w:val="00027145"/>
    <w:rsid w:val="000274BF"/>
    <w:rsid w:val="00031AC4"/>
    <w:rsid w:val="0003471E"/>
    <w:rsid w:val="00034CB2"/>
    <w:rsid w:val="000353D6"/>
    <w:rsid w:val="00037755"/>
    <w:rsid w:val="00037F05"/>
    <w:rsid w:val="000422D3"/>
    <w:rsid w:val="000428CF"/>
    <w:rsid w:val="0004424B"/>
    <w:rsid w:val="000445E8"/>
    <w:rsid w:val="00044787"/>
    <w:rsid w:val="00044B7B"/>
    <w:rsid w:val="00046390"/>
    <w:rsid w:val="00050A9D"/>
    <w:rsid w:val="00050E39"/>
    <w:rsid w:val="000530FD"/>
    <w:rsid w:val="00053E14"/>
    <w:rsid w:val="00054774"/>
    <w:rsid w:val="00055B12"/>
    <w:rsid w:val="000570FF"/>
    <w:rsid w:val="000576A3"/>
    <w:rsid w:val="000611A6"/>
    <w:rsid w:val="000645C1"/>
    <w:rsid w:val="00064683"/>
    <w:rsid w:val="00064CAD"/>
    <w:rsid w:val="00064F0D"/>
    <w:rsid w:val="00065569"/>
    <w:rsid w:val="000669A9"/>
    <w:rsid w:val="0006770F"/>
    <w:rsid w:val="0007038C"/>
    <w:rsid w:val="00070B8E"/>
    <w:rsid w:val="00074B01"/>
    <w:rsid w:val="000751B8"/>
    <w:rsid w:val="000751F6"/>
    <w:rsid w:val="000754A4"/>
    <w:rsid w:val="00075771"/>
    <w:rsid w:val="000764E9"/>
    <w:rsid w:val="00077AF4"/>
    <w:rsid w:val="00077DAF"/>
    <w:rsid w:val="00077FCA"/>
    <w:rsid w:val="00080156"/>
    <w:rsid w:val="00081435"/>
    <w:rsid w:val="0008207E"/>
    <w:rsid w:val="00084831"/>
    <w:rsid w:val="00085720"/>
    <w:rsid w:val="0008592C"/>
    <w:rsid w:val="00086A31"/>
    <w:rsid w:val="00087CDF"/>
    <w:rsid w:val="00087E4E"/>
    <w:rsid w:val="00091AD4"/>
    <w:rsid w:val="0009207D"/>
    <w:rsid w:val="0009284F"/>
    <w:rsid w:val="0009493E"/>
    <w:rsid w:val="00094E94"/>
    <w:rsid w:val="000A011E"/>
    <w:rsid w:val="000A0E54"/>
    <w:rsid w:val="000A10D1"/>
    <w:rsid w:val="000A174E"/>
    <w:rsid w:val="000A267E"/>
    <w:rsid w:val="000A3854"/>
    <w:rsid w:val="000A3C43"/>
    <w:rsid w:val="000A613D"/>
    <w:rsid w:val="000A76F0"/>
    <w:rsid w:val="000B113D"/>
    <w:rsid w:val="000B20DB"/>
    <w:rsid w:val="000B31FE"/>
    <w:rsid w:val="000B3AAB"/>
    <w:rsid w:val="000B4298"/>
    <w:rsid w:val="000B53E7"/>
    <w:rsid w:val="000B6647"/>
    <w:rsid w:val="000B6A22"/>
    <w:rsid w:val="000C127F"/>
    <w:rsid w:val="000C24B2"/>
    <w:rsid w:val="000C289F"/>
    <w:rsid w:val="000C402F"/>
    <w:rsid w:val="000C4A6B"/>
    <w:rsid w:val="000C57FC"/>
    <w:rsid w:val="000C5AFA"/>
    <w:rsid w:val="000C6DBF"/>
    <w:rsid w:val="000D1ED6"/>
    <w:rsid w:val="000D440E"/>
    <w:rsid w:val="000D511D"/>
    <w:rsid w:val="000D52D1"/>
    <w:rsid w:val="000D6088"/>
    <w:rsid w:val="000E0569"/>
    <w:rsid w:val="000E1272"/>
    <w:rsid w:val="000E1587"/>
    <w:rsid w:val="000E1AF8"/>
    <w:rsid w:val="000E1C10"/>
    <w:rsid w:val="000E2189"/>
    <w:rsid w:val="000E4FBD"/>
    <w:rsid w:val="000E5F7B"/>
    <w:rsid w:val="000E63D8"/>
    <w:rsid w:val="000E677A"/>
    <w:rsid w:val="000F2141"/>
    <w:rsid w:val="000F481D"/>
    <w:rsid w:val="000F4AA9"/>
    <w:rsid w:val="000F58F1"/>
    <w:rsid w:val="000F5FD9"/>
    <w:rsid w:val="000F6AE3"/>
    <w:rsid w:val="000F732A"/>
    <w:rsid w:val="00100BC3"/>
    <w:rsid w:val="00101768"/>
    <w:rsid w:val="0010226A"/>
    <w:rsid w:val="001022C6"/>
    <w:rsid w:val="00104501"/>
    <w:rsid w:val="00106317"/>
    <w:rsid w:val="001066D3"/>
    <w:rsid w:val="001069B1"/>
    <w:rsid w:val="00110082"/>
    <w:rsid w:val="00111C1D"/>
    <w:rsid w:val="00112182"/>
    <w:rsid w:val="00120065"/>
    <w:rsid w:val="001203DA"/>
    <w:rsid w:val="00120429"/>
    <w:rsid w:val="00120817"/>
    <w:rsid w:val="00121346"/>
    <w:rsid w:val="001229DC"/>
    <w:rsid w:val="00122A23"/>
    <w:rsid w:val="00123545"/>
    <w:rsid w:val="00123578"/>
    <w:rsid w:val="00123C33"/>
    <w:rsid w:val="00126092"/>
    <w:rsid w:val="0012667D"/>
    <w:rsid w:val="0013081E"/>
    <w:rsid w:val="00131590"/>
    <w:rsid w:val="00131EE0"/>
    <w:rsid w:val="00132F09"/>
    <w:rsid w:val="00133061"/>
    <w:rsid w:val="00133098"/>
    <w:rsid w:val="00133FE1"/>
    <w:rsid w:val="00135EE1"/>
    <w:rsid w:val="00137B45"/>
    <w:rsid w:val="00137C11"/>
    <w:rsid w:val="0014052E"/>
    <w:rsid w:val="00146039"/>
    <w:rsid w:val="001468B7"/>
    <w:rsid w:val="00147095"/>
    <w:rsid w:val="00147743"/>
    <w:rsid w:val="0015389B"/>
    <w:rsid w:val="0015436D"/>
    <w:rsid w:val="001543E0"/>
    <w:rsid w:val="00156E83"/>
    <w:rsid w:val="0016079C"/>
    <w:rsid w:val="00160F26"/>
    <w:rsid w:val="00164C1D"/>
    <w:rsid w:val="00164DF0"/>
    <w:rsid w:val="00165214"/>
    <w:rsid w:val="00165A96"/>
    <w:rsid w:val="00165F95"/>
    <w:rsid w:val="0016668B"/>
    <w:rsid w:val="001679AF"/>
    <w:rsid w:val="00167B63"/>
    <w:rsid w:val="00167F26"/>
    <w:rsid w:val="0017014C"/>
    <w:rsid w:val="00172315"/>
    <w:rsid w:val="001738C6"/>
    <w:rsid w:val="00175664"/>
    <w:rsid w:val="00175911"/>
    <w:rsid w:val="00176F7D"/>
    <w:rsid w:val="00177488"/>
    <w:rsid w:val="00177499"/>
    <w:rsid w:val="00181F26"/>
    <w:rsid w:val="0018383D"/>
    <w:rsid w:val="001839DA"/>
    <w:rsid w:val="00185060"/>
    <w:rsid w:val="00185658"/>
    <w:rsid w:val="00185DC1"/>
    <w:rsid w:val="0018638E"/>
    <w:rsid w:val="001878E0"/>
    <w:rsid w:val="00187F33"/>
    <w:rsid w:val="0019305F"/>
    <w:rsid w:val="00193339"/>
    <w:rsid w:val="00194934"/>
    <w:rsid w:val="00194A33"/>
    <w:rsid w:val="00194F1E"/>
    <w:rsid w:val="00196055"/>
    <w:rsid w:val="00197505"/>
    <w:rsid w:val="00197871"/>
    <w:rsid w:val="001A027F"/>
    <w:rsid w:val="001A037F"/>
    <w:rsid w:val="001A0C2C"/>
    <w:rsid w:val="001A1073"/>
    <w:rsid w:val="001A15A4"/>
    <w:rsid w:val="001A2D61"/>
    <w:rsid w:val="001A3A17"/>
    <w:rsid w:val="001A4927"/>
    <w:rsid w:val="001A6913"/>
    <w:rsid w:val="001A7238"/>
    <w:rsid w:val="001A72FD"/>
    <w:rsid w:val="001A737E"/>
    <w:rsid w:val="001B017C"/>
    <w:rsid w:val="001B1219"/>
    <w:rsid w:val="001B2247"/>
    <w:rsid w:val="001B248A"/>
    <w:rsid w:val="001B297B"/>
    <w:rsid w:val="001B3F97"/>
    <w:rsid w:val="001B45A6"/>
    <w:rsid w:val="001B6484"/>
    <w:rsid w:val="001B665E"/>
    <w:rsid w:val="001B6CC9"/>
    <w:rsid w:val="001B6D70"/>
    <w:rsid w:val="001C007F"/>
    <w:rsid w:val="001C1B01"/>
    <w:rsid w:val="001C1BB6"/>
    <w:rsid w:val="001C2825"/>
    <w:rsid w:val="001C28DB"/>
    <w:rsid w:val="001C2A1C"/>
    <w:rsid w:val="001C3922"/>
    <w:rsid w:val="001C49AB"/>
    <w:rsid w:val="001C5D0E"/>
    <w:rsid w:val="001C68D6"/>
    <w:rsid w:val="001C6967"/>
    <w:rsid w:val="001D0008"/>
    <w:rsid w:val="001D0AA6"/>
    <w:rsid w:val="001D1156"/>
    <w:rsid w:val="001D1739"/>
    <w:rsid w:val="001D1E08"/>
    <w:rsid w:val="001D3CC7"/>
    <w:rsid w:val="001D4744"/>
    <w:rsid w:val="001D5975"/>
    <w:rsid w:val="001D68CB"/>
    <w:rsid w:val="001D705F"/>
    <w:rsid w:val="001E093D"/>
    <w:rsid w:val="001E0E0E"/>
    <w:rsid w:val="001E139E"/>
    <w:rsid w:val="001E2600"/>
    <w:rsid w:val="001E3532"/>
    <w:rsid w:val="001E3689"/>
    <w:rsid w:val="001E39C4"/>
    <w:rsid w:val="001E3A1F"/>
    <w:rsid w:val="001E3EBE"/>
    <w:rsid w:val="001E455A"/>
    <w:rsid w:val="001E5131"/>
    <w:rsid w:val="001E58E5"/>
    <w:rsid w:val="001E5F21"/>
    <w:rsid w:val="001E7AC1"/>
    <w:rsid w:val="001F10D1"/>
    <w:rsid w:val="001F1582"/>
    <w:rsid w:val="001F1931"/>
    <w:rsid w:val="001F3132"/>
    <w:rsid w:val="001F32E9"/>
    <w:rsid w:val="001F3DC4"/>
    <w:rsid w:val="001F623F"/>
    <w:rsid w:val="001F6578"/>
    <w:rsid w:val="001F6B41"/>
    <w:rsid w:val="001F6F9B"/>
    <w:rsid w:val="001F7CBA"/>
    <w:rsid w:val="00200A85"/>
    <w:rsid w:val="002013B9"/>
    <w:rsid w:val="0020310A"/>
    <w:rsid w:val="00204501"/>
    <w:rsid w:val="00204A14"/>
    <w:rsid w:val="00204BD3"/>
    <w:rsid w:val="0020604E"/>
    <w:rsid w:val="0020670C"/>
    <w:rsid w:val="00206877"/>
    <w:rsid w:val="00207A69"/>
    <w:rsid w:val="00207E0C"/>
    <w:rsid w:val="00210DF2"/>
    <w:rsid w:val="00212317"/>
    <w:rsid w:val="0021284C"/>
    <w:rsid w:val="00213338"/>
    <w:rsid w:val="002133AC"/>
    <w:rsid w:val="00214AA5"/>
    <w:rsid w:val="00216671"/>
    <w:rsid w:val="00216E91"/>
    <w:rsid w:val="002211B1"/>
    <w:rsid w:val="00222ACF"/>
    <w:rsid w:val="00224398"/>
    <w:rsid w:val="00226331"/>
    <w:rsid w:val="0022653E"/>
    <w:rsid w:val="00227A37"/>
    <w:rsid w:val="00230564"/>
    <w:rsid w:val="002307F7"/>
    <w:rsid w:val="00231925"/>
    <w:rsid w:val="00231CA7"/>
    <w:rsid w:val="00232C8B"/>
    <w:rsid w:val="002347CF"/>
    <w:rsid w:val="00235654"/>
    <w:rsid w:val="00236696"/>
    <w:rsid w:val="00236D7E"/>
    <w:rsid w:val="002370F2"/>
    <w:rsid w:val="002374FD"/>
    <w:rsid w:val="0023775C"/>
    <w:rsid w:val="0024057D"/>
    <w:rsid w:val="00240D6A"/>
    <w:rsid w:val="00241928"/>
    <w:rsid w:val="002435AC"/>
    <w:rsid w:val="00244CE3"/>
    <w:rsid w:val="00244E63"/>
    <w:rsid w:val="00245B73"/>
    <w:rsid w:val="002507A2"/>
    <w:rsid w:val="0025113E"/>
    <w:rsid w:val="00251888"/>
    <w:rsid w:val="00251C26"/>
    <w:rsid w:val="0025277B"/>
    <w:rsid w:val="0025351C"/>
    <w:rsid w:val="00254031"/>
    <w:rsid w:val="0025525B"/>
    <w:rsid w:val="00255658"/>
    <w:rsid w:val="00255B7B"/>
    <w:rsid w:val="00255E32"/>
    <w:rsid w:val="00256034"/>
    <w:rsid w:val="00260927"/>
    <w:rsid w:val="00260D2D"/>
    <w:rsid w:val="002668C5"/>
    <w:rsid w:val="002702E8"/>
    <w:rsid w:val="00272C4A"/>
    <w:rsid w:val="002740BE"/>
    <w:rsid w:val="002743D0"/>
    <w:rsid w:val="002749B1"/>
    <w:rsid w:val="002758CD"/>
    <w:rsid w:val="00275AF0"/>
    <w:rsid w:val="002771A5"/>
    <w:rsid w:val="00277EF1"/>
    <w:rsid w:val="0028065C"/>
    <w:rsid w:val="00280CC0"/>
    <w:rsid w:val="00281BB2"/>
    <w:rsid w:val="00282239"/>
    <w:rsid w:val="00282933"/>
    <w:rsid w:val="00284BBC"/>
    <w:rsid w:val="00285259"/>
    <w:rsid w:val="002861F2"/>
    <w:rsid w:val="00286D75"/>
    <w:rsid w:val="00290612"/>
    <w:rsid w:val="00290DDB"/>
    <w:rsid w:val="002926BB"/>
    <w:rsid w:val="00292C0E"/>
    <w:rsid w:val="002931A5"/>
    <w:rsid w:val="00294373"/>
    <w:rsid w:val="00294882"/>
    <w:rsid w:val="00294DEC"/>
    <w:rsid w:val="0029543B"/>
    <w:rsid w:val="00296088"/>
    <w:rsid w:val="0029638F"/>
    <w:rsid w:val="002A1EC5"/>
    <w:rsid w:val="002A2B93"/>
    <w:rsid w:val="002A3A4E"/>
    <w:rsid w:val="002A49A3"/>
    <w:rsid w:val="002A4C56"/>
    <w:rsid w:val="002B03A8"/>
    <w:rsid w:val="002B0826"/>
    <w:rsid w:val="002B111A"/>
    <w:rsid w:val="002B2863"/>
    <w:rsid w:val="002B5D0D"/>
    <w:rsid w:val="002B6A1F"/>
    <w:rsid w:val="002B6EBA"/>
    <w:rsid w:val="002B7FCC"/>
    <w:rsid w:val="002C1413"/>
    <w:rsid w:val="002C3636"/>
    <w:rsid w:val="002C401E"/>
    <w:rsid w:val="002C43E3"/>
    <w:rsid w:val="002C62D6"/>
    <w:rsid w:val="002C6BC3"/>
    <w:rsid w:val="002C6C83"/>
    <w:rsid w:val="002C74F6"/>
    <w:rsid w:val="002C7F45"/>
    <w:rsid w:val="002D036A"/>
    <w:rsid w:val="002D06E6"/>
    <w:rsid w:val="002D1034"/>
    <w:rsid w:val="002D14BE"/>
    <w:rsid w:val="002D17AD"/>
    <w:rsid w:val="002D1DA0"/>
    <w:rsid w:val="002D2FAB"/>
    <w:rsid w:val="002D3F6F"/>
    <w:rsid w:val="002D45BC"/>
    <w:rsid w:val="002D5481"/>
    <w:rsid w:val="002D583B"/>
    <w:rsid w:val="002D5BBD"/>
    <w:rsid w:val="002D6A09"/>
    <w:rsid w:val="002D6F8B"/>
    <w:rsid w:val="002E122A"/>
    <w:rsid w:val="002E1B31"/>
    <w:rsid w:val="002E282F"/>
    <w:rsid w:val="002E2C7D"/>
    <w:rsid w:val="002E34E7"/>
    <w:rsid w:val="002E51A1"/>
    <w:rsid w:val="002E57CE"/>
    <w:rsid w:val="002E711D"/>
    <w:rsid w:val="002F07FB"/>
    <w:rsid w:val="002F1522"/>
    <w:rsid w:val="002F2C70"/>
    <w:rsid w:val="002F3141"/>
    <w:rsid w:val="002F58C7"/>
    <w:rsid w:val="002F5BF3"/>
    <w:rsid w:val="003014CF"/>
    <w:rsid w:val="0030238D"/>
    <w:rsid w:val="003032AA"/>
    <w:rsid w:val="003044DF"/>
    <w:rsid w:val="00304AC1"/>
    <w:rsid w:val="00305D4E"/>
    <w:rsid w:val="003068AE"/>
    <w:rsid w:val="003122B1"/>
    <w:rsid w:val="0031233D"/>
    <w:rsid w:val="003148DF"/>
    <w:rsid w:val="00316F6D"/>
    <w:rsid w:val="00317018"/>
    <w:rsid w:val="00320276"/>
    <w:rsid w:val="00322146"/>
    <w:rsid w:val="00323603"/>
    <w:rsid w:val="00325C5B"/>
    <w:rsid w:val="00325CA8"/>
    <w:rsid w:val="00327232"/>
    <w:rsid w:val="0032773E"/>
    <w:rsid w:val="0033135A"/>
    <w:rsid w:val="00332A63"/>
    <w:rsid w:val="00335E24"/>
    <w:rsid w:val="00336D65"/>
    <w:rsid w:val="00340448"/>
    <w:rsid w:val="003409F1"/>
    <w:rsid w:val="00340DD5"/>
    <w:rsid w:val="00341832"/>
    <w:rsid w:val="00343E9D"/>
    <w:rsid w:val="00344BB9"/>
    <w:rsid w:val="00344C44"/>
    <w:rsid w:val="00345176"/>
    <w:rsid w:val="0034578D"/>
    <w:rsid w:val="00345FE9"/>
    <w:rsid w:val="003469B7"/>
    <w:rsid w:val="0035252D"/>
    <w:rsid w:val="00356D77"/>
    <w:rsid w:val="003579C0"/>
    <w:rsid w:val="00357CD8"/>
    <w:rsid w:val="00360EBA"/>
    <w:rsid w:val="00360FC2"/>
    <w:rsid w:val="00362601"/>
    <w:rsid w:val="0036295F"/>
    <w:rsid w:val="00363884"/>
    <w:rsid w:val="00363B5A"/>
    <w:rsid w:val="00363DAF"/>
    <w:rsid w:val="0036597A"/>
    <w:rsid w:val="00366194"/>
    <w:rsid w:val="00366B91"/>
    <w:rsid w:val="0036724D"/>
    <w:rsid w:val="0037059A"/>
    <w:rsid w:val="00370B82"/>
    <w:rsid w:val="00372932"/>
    <w:rsid w:val="00372C8C"/>
    <w:rsid w:val="003733CD"/>
    <w:rsid w:val="00373FE8"/>
    <w:rsid w:val="003759AE"/>
    <w:rsid w:val="0037640D"/>
    <w:rsid w:val="00377232"/>
    <w:rsid w:val="00377837"/>
    <w:rsid w:val="00377DA4"/>
    <w:rsid w:val="003802D5"/>
    <w:rsid w:val="00380451"/>
    <w:rsid w:val="00382022"/>
    <w:rsid w:val="00382C0A"/>
    <w:rsid w:val="00383113"/>
    <w:rsid w:val="0038313C"/>
    <w:rsid w:val="0039042C"/>
    <w:rsid w:val="003913C7"/>
    <w:rsid w:val="00395CC9"/>
    <w:rsid w:val="003962A7"/>
    <w:rsid w:val="00396826"/>
    <w:rsid w:val="00397F76"/>
    <w:rsid w:val="003A068A"/>
    <w:rsid w:val="003A0AF0"/>
    <w:rsid w:val="003A0FC8"/>
    <w:rsid w:val="003A2C29"/>
    <w:rsid w:val="003A55F8"/>
    <w:rsid w:val="003A5A3F"/>
    <w:rsid w:val="003A60C1"/>
    <w:rsid w:val="003A674C"/>
    <w:rsid w:val="003A739F"/>
    <w:rsid w:val="003B011B"/>
    <w:rsid w:val="003B0769"/>
    <w:rsid w:val="003B07EE"/>
    <w:rsid w:val="003B0A0F"/>
    <w:rsid w:val="003B233A"/>
    <w:rsid w:val="003B475B"/>
    <w:rsid w:val="003B4D16"/>
    <w:rsid w:val="003B66B6"/>
    <w:rsid w:val="003C1119"/>
    <w:rsid w:val="003C1132"/>
    <w:rsid w:val="003C18C5"/>
    <w:rsid w:val="003C2222"/>
    <w:rsid w:val="003C2E87"/>
    <w:rsid w:val="003C341B"/>
    <w:rsid w:val="003C3615"/>
    <w:rsid w:val="003C4376"/>
    <w:rsid w:val="003C47E4"/>
    <w:rsid w:val="003C48EF"/>
    <w:rsid w:val="003C4CCE"/>
    <w:rsid w:val="003C5B07"/>
    <w:rsid w:val="003C6DAF"/>
    <w:rsid w:val="003C6EEF"/>
    <w:rsid w:val="003C7993"/>
    <w:rsid w:val="003D0FA1"/>
    <w:rsid w:val="003D2933"/>
    <w:rsid w:val="003D3B79"/>
    <w:rsid w:val="003D550C"/>
    <w:rsid w:val="003D5A9A"/>
    <w:rsid w:val="003D682B"/>
    <w:rsid w:val="003D6C0F"/>
    <w:rsid w:val="003D6E80"/>
    <w:rsid w:val="003D75AB"/>
    <w:rsid w:val="003D75C7"/>
    <w:rsid w:val="003D7A19"/>
    <w:rsid w:val="003E0442"/>
    <w:rsid w:val="003E0D60"/>
    <w:rsid w:val="003E16D8"/>
    <w:rsid w:val="003E2091"/>
    <w:rsid w:val="003E22C9"/>
    <w:rsid w:val="003E37B6"/>
    <w:rsid w:val="003E3DE6"/>
    <w:rsid w:val="003E4270"/>
    <w:rsid w:val="003E4417"/>
    <w:rsid w:val="003E4C68"/>
    <w:rsid w:val="003E6FA8"/>
    <w:rsid w:val="003E7750"/>
    <w:rsid w:val="003E7B05"/>
    <w:rsid w:val="003F03BD"/>
    <w:rsid w:val="003F0D1F"/>
    <w:rsid w:val="003F10A3"/>
    <w:rsid w:val="003F4003"/>
    <w:rsid w:val="003F4673"/>
    <w:rsid w:val="003F55CE"/>
    <w:rsid w:val="003F5B3C"/>
    <w:rsid w:val="003F5BDB"/>
    <w:rsid w:val="003F7C45"/>
    <w:rsid w:val="003F7DCF"/>
    <w:rsid w:val="00400FE6"/>
    <w:rsid w:val="004037D8"/>
    <w:rsid w:val="004046F0"/>
    <w:rsid w:val="004047E1"/>
    <w:rsid w:val="00410057"/>
    <w:rsid w:val="004103CB"/>
    <w:rsid w:val="00411B7B"/>
    <w:rsid w:val="00411D6C"/>
    <w:rsid w:val="00414FFC"/>
    <w:rsid w:val="0041598E"/>
    <w:rsid w:val="004164E9"/>
    <w:rsid w:val="0041764B"/>
    <w:rsid w:val="00417AC0"/>
    <w:rsid w:val="00420A8F"/>
    <w:rsid w:val="00420BC8"/>
    <w:rsid w:val="004214A2"/>
    <w:rsid w:val="004214F0"/>
    <w:rsid w:val="00422260"/>
    <w:rsid w:val="004232D9"/>
    <w:rsid w:val="00423818"/>
    <w:rsid w:val="00423C1F"/>
    <w:rsid w:val="00424649"/>
    <w:rsid w:val="004247AF"/>
    <w:rsid w:val="00424F3A"/>
    <w:rsid w:val="00425180"/>
    <w:rsid w:val="00425324"/>
    <w:rsid w:val="00425461"/>
    <w:rsid w:val="00425E73"/>
    <w:rsid w:val="0042694B"/>
    <w:rsid w:val="004273A7"/>
    <w:rsid w:val="00430A0E"/>
    <w:rsid w:val="0043104E"/>
    <w:rsid w:val="00431D3B"/>
    <w:rsid w:val="00431F99"/>
    <w:rsid w:val="004327FD"/>
    <w:rsid w:val="004328E5"/>
    <w:rsid w:val="00433206"/>
    <w:rsid w:val="00433BB8"/>
    <w:rsid w:val="00434C3A"/>
    <w:rsid w:val="00434D49"/>
    <w:rsid w:val="00434EBC"/>
    <w:rsid w:val="00436B7A"/>
    <w:rsid w:val="00442D43"/>
    <w:rsid w:val="00442F1C"/>
    <w:rsid w:val="00444B00"/>
    <w:rsid w:val="00444E89"/>
    <w:rsid w:val="004459EC"/>
    <w:rsid w:val="00450742"/>
    <w:rsid w:val="004518B1"/>
    <w:rsid w:val="00451A57"/>
    <w:rsid w:val="00452B6A"/>
    <w:rsid w:val="00452DB7"/>
    <w:rsid w:val="00453E06"/>
    <w:rsid w:val="00453F2A"/>
    <w:rsid w:val="00453FD7"/>
    <w:rsid w:val="0045424D"/>
    <w:rsid w:val="004547B7"/>
    <w:rsid w:val="00455D8B"/>
    <w:rsid w:val="00455FD9"/>
    <w:rsid w:val="00456403"/>
    <w:rsid w:val="004569C0"/>
    <w:rsid w:val="00456FE0"/>
    <w:rsid w:val="004576C4"/>
    <w:rsid w:val="00461166"/>
    <w:rsid w:val="0046157C"/>
    <w:rsid w:val="00461A7B"/>
    <w:rsid w:val="0046391B"/>
    <w:rsid w:val="00465A86"/>
    <w:rsid w:val="00466E5A"/>
    <w:rsid w:val="00466ED7"/>
    <w:rsid w:val="00467D85"/>
    <w:rsid w:val="00471364"/>
    <w:rsid w:val="004719B6"/>
    <w:rsid w:val="00471C71"/>
    <w:rsid w:val="00473433"/>
    <w:rsid w:val="00474823"/>
    <w:rsid w:val="00474957"/>
    <w:rsid w:val="00475115"/>
    <w:rsid w:val="00476D6D"/>
    <w:rsid w:val="0048014E"/>
    <w:rsid w:val="0048149C"/>
    <w:rsid w:val="00481783"/>
    <w:rsid w:val="004821EB"/>
    <w:rsid w:val="004841F3"/>
    <w:rsid w:val="00484A49"/>
    <w:rsid w:val="00485C0D"/>
    <w:rsid w:val="00487938"/>
    <w:rsid w:val="00487D90"/>
    <w:rsid w:val="00490453"/>
    <w:rsid w:val="00490ACD"/>
    <w:rsid w:val="00490F80"/>
    <w:rsid w:val="00491BE7"/>
    <w:rsid w:val="00491E26"/>
    <w:rsid w:val="004927B9"/>
    <w:rsid w:val="00493C4E"/>
    <w:rsid w:val="004956A6"/>
    <w:rsid w:val="004957B3"/>
    <w:rsid w:val="004973E5"/>
    <w:rsid w:val="00497975"/>
    <w:rsid w:val="004A4E1A"/>
    <w:rsid w:val="004A69CD"/>
    <w:rsid w:val="004A73B4"/>
    <w:rsid w:val="004A762A"/>
    <w:rsid w:val="004B0BD9"/>
    <w:rsid w:val="004B1FFD"/>
    <w:rsid w:val="004B2F03"/>
    <w:rsid w:val="004B5412"/>
    <w:rsid w:val="004B7A6C"/>
    <w:rsid w:val="004C2FB1"/>
    <w:rsid w:val="004C39C1"/>
    <w:rsid w:val="004C42E9"/>
    <w:rsid w:val="004C4C4F"/>
    <w:rsid w:val="004C54E1"/>
    <w:rsid w:val="004C5E0D"/>
    <w:rsid w:val="004C65FB"/>
    <w:rsid w:val="004C6C4B"/>
    <w:rsid w:val="004C6D7C"/>
    <w:rsid w:val="004C75B6"/>
    <w:rsid w:val="004D0981"/>
    <w:rsid w:val="004D1451"/>
    <w:rsid w:val="004D17E8"/>
    <w:rsid w:val="004D2720"/>
    <w:rsid w:val="004D4495"/>
    <w:rsid w:val="004D4AAD"/>
    <w:rsid w:val="004E0CE3"/>
    <w:rsid w:val="004E149C"/>
    <w:rsid w:val="004E1872"/>
    <w:rsid w:val="004E1F9C"/>
    <w:rsid w:val="004E211D"/>
    <w:rsid w:val="004E4050"/>
    <w:rsid w:val="004E4E97"/>
    <w:rsid w:val="004E51EE"/>
    <w:rsid w:val="004E57FE"/>
    <w:rsid w:val="004E6076"/>
    <w:rsid w:val="004E68F5"/>
    <w:rsid w:val="004E77E9"/>
    <w:rsid w:val="004E7C07"/>
    <w:rsid w:val="004E7E8C"/>
    <w:rsid w:val="004F02C5"/>
    <w:rsid w:val="004F0A35"/>
    <w:rsid w:val="004F1D0C"/>
    <w:rsid w:val="004F2330"/>
    <w:rsid w:val="004F2BF1"/>
    <w:rsid w:val="004F2F10"/>
    <w:rsid w:val="004F31D0"/>
    <w:rsid w:val="004F33E7"/>
    <w:rsid w:val="004F417C"/>
    <w:rsid w:val="004F4510"/>
    <w:rsid w:val="004F534D"/>
    <w:rsid w:val="004F5809"/>
    <w:rsid w:val="004F5EB6"/>
    <w:rsid w:val="004F6191"/>
    <w:rsid w:val="00501722"/>
    <w:rsid w:val="00503326"/>
    <w:rsid w:val="0050343B"/>
    <w:rsid w:val="00503E24"/>
    <w:rsid w:val="00503EAF"/>
    <w:rsid w:val="0050478D"/>
    <w:rsid w:val="00504984"/>
    <w:rsid w:val="00505CC4"/>
    <w:rsid w:val="00506AEB"/>
    <w:rsid w:val="00507E08"/>
    <w:rsid w:val="005113DC"/>
    <w:rsid w:val="00511B71"/>
    <w:rsid w:val="0051220C"/>
    <w:rsid w:val="005122F9"/>
    <w:rsid w:val="00513E6D"/>
    <w:rsid w:val="00514259"/>
    <w:rsid w:val="00515278"/>
    <w:rsid w:val="005157DD"/>
    <w:rsid w:val="00515D93"/>
    <w:rsid w:val="005166CD"/>
    <w:rsid w:val="0051730F"/>
    <w:rsid w:val="00520191"/>
    <w:rsid w:val="0052059A"/>
    <w:rsid w:val="005217A4"/>
    <w:rsid w:val="005224E4"/>
    <w:rsid w:val="005231D6"/>
    <w:rsid w:val="00523350"/>
    <w:rsid w:val="00524A4C"/>
    <w:rsid w:val="0052572B"/>
    <w:rsid w:val="00526E00"/>
    <w:rsid w:val="00527180"/>
    <w:rsid w:val="00527215"/>
    <w:rsid w:val="00527661"/>
    <w:rsid w:val="00527AEA"/>
    <w:rsid w:val="005301F9"/>
    <w:rsid w:val="00530F5F"/>
    <w:rsid w:val="00531666"/>
    <w:rsid w:val="00532980"/>
    <w:rsid w:val="00533090"/>
    <w:rsid w:val="00535B53"/>
    <w:rsid w:val="005368DE"/>
    <w:rsid w:val="00536EB8"/>
    <w:rsid w:val="0053707B"/>
    <w:rsid w:val="00537BAB"/>
    <w:rsid w:val="00537EC6"/>
    <w:rsid w:val="005405E0"/>
    <w:rsid w:val="005456BA"/>
    <w:rsid w:val="00545A61"/>
    <w:rsid w:val="005465A4"/>
    <w:rsid w:val="00546972"/>
    <w:rsid w:val="005469DA"/>
    <w:rsid w:val="00550265"/>
    <w:rsid w:val="00550573"/>
    <w:rsid w:val="005507DA"/>
    <w:rsid w:val="00550E98"/>
    <w:rsid w:val="00552022"/>
    <w:rsid w:val="00553FEB"/>
    <w:rsid w:val="00556834"/>
    <w:rsid w:val="00560ACE"/>
    <w:rsid w:val="005636B8"/>
    <w:rsid w:val="00563A3F"/>
    <w:rsid w:val="00564247"/>
    <w:rsid w:val="005647AB"/>
    <w:rsid w:val="00564C07"/>
    <w:rsid w:val="00565834"/>
    <w:rsid w:val="00565FD6"/>
    <w:rsid w:val="00566AB7"/>
    <w:rsid w:val="00567349"/>
    <w:rsid w:val="00567D7D"/>
    <w:rsid w:val="005709C8"/>
    <w:rsid w:val="00571C74"/>
    <w:rsid w:val="005757FD"/>
    <w:rsid w:val="00575820"/>
    <w:rsid w:val="005758EC"/>
    <w:rsid w:val="00577044"/>
    <w:rsid w:val="00577B80"/>
    <w:rsid w:val="0058020C"/>
    <w:rsid w:val="005818AE"/>
    <w:rsid w:val="00582013"/>
    <w:rsid w:val="005821EC"/>
    <w:rsid w:val="00582B59"/>
    <w:rsid w:val="0058378F"/>
    <w:rsid w:val="00584B2B"/>
    <w:rsid w:val="00584FD4"/>
    <w:rsid w:val="00587307"/>
    <w:rsid w:val="005875BB"/>
    <w:rsid w:val="00593255"/>
    <w:rsid w:val="00595256"/>
    <w:rsid w:val="00595615"/>
    <w:rsid w:val="0059564A"/>
    <w:rsid w:val="00595AE1"/>
    <w:rsid w:val="00596C72"/>
    <w:rsid w:val="00596D33"/>
    <w:rsid w:val="0059742E"/>
    <w:rsid w:val="005A0392"/>
    <w:rsid w:val="005A20D9"/>
    <w:rsid w:val="005A3AD4"/>
    <w:rsid w:val="005A68AA"/>
    <w:rsid w:val="005A7278"/>
    <w:rsid w:val="005B0139"/>
    <w:rsid w:val="005B04B2"/>
    <w:rsid w:val="005B0A90"/>
    <w:rsid w:val="005B16D7"/>
    <w:rsid w:val="005B272D"/>
    <w:rsid w:val="005B2A71"/>
    <w:rsid w:val="005B314E"/>
    <w:rsid w:val="005B74DC"/>
    <w:rsid w:val="005B7A1D"/>
    <w:rsid w:val="005C0FD2"/>
    <w:rsid w:val="005C1614"/>
    <w:rsid w:val="005C2762"/>
    <w:rsid w:val="005C338B"/>
    <w:rsid w:val="005C3BDF"/>
    <w:rsid w:val="005C4790"/>
    <w:rsid w:val="005C519E"/>
    <w:rsid w:val="005C5A01"/>
    <w:rsid w:val="005C6204"/>
    <w:rsid w:val="005C6253"/>
    <w:rsid w:val="005C655A"/>
    <w:rsid w:val="005C73E8"/>
    <w:rsid w:val="005C740E"/>
    <w:rsid w:val="005C78FA"/>
    <w:rsid w:val="005C7E7E"/>
    <w:rsid w:val="005D0B45"/>
    <w:rsid w:val="005D0CE4"/>
    <w:rsid w:val="005D20D2"/>
    <w:rsid w:val="005D386E"/>
    <w:rsid w:val="005D4BBB"/>
    <w:rsid w:val="005D57E1"/>
    <w:rsid w:val="005E02FE"/>
    <w:rsid w:val="005E322E"/>
    <w:rsid w:val="005E4EDC"/>
    <w:rsid w:val="005E723F"/>
    <w:rsid w:val="005E77CE"/>
    <w:rsid w:val="005F398C"/>
    <w:rsid w:val="005F3C08"/>
    <w:rsid w:val="005F4A64"/>
    <w:rsid w:val="005F6F0B"/>
    <w:rsid w:val="005F7A85"/>
    <w:rsid w:val="005F7D66"/>
    <w:rsid w:val="0060045F"/>
    <w:rsid w:val="00601419"/>
    <w:rsid w:val="00602209"/>
    <w:rsid w:val="00602CC1"/>
    <w:rsid w:val="006036E4"/>
    <w:rsid w:val="00606C55"/>
    <w:rsid w:val="006073B1"/>
    <w:rsid w:val="00607E1E"/>
    <w:rsid w:val="00611461"/>
    <w:rsid w:val="00611543"/>
    <w:rsid w:val="00611F98"/>
    <w:rsid w:val="00612707"/>
    <w:rsid w:val="00612E12"/>
    <w:rsid w:val="00612E15"/>
    <w:rsid w:val="0061309F"/>
    <w:rsid w:val="00613498"/>
    <w:rsid w:val="00614D96"/>
    <w:rsid w:val="00614EA6"/>
    <w:rsid w:val="0061575C"/>
    <w:rsid w:val="00615E3B"/>
    <w:rsid w:val="0062064B"/>
    <w:rsid w:val="00620929"/>
    <w:rsid w:val="00621302"/>
    <w:rsid w:val="00621479"/>
    <w:rsid w:val="00621509"/>
    <w:rsid w:val="00621A71"/>
    <w:rsid w:val="0062254C"/>
    <w:rsid w:val="00624210"/>
    <w:rsid w:val="00624E34"/>
    <w:rsid w:val="00624F41"/>
    <w:rsid w:val="0062550C"/>
    <w:rsid w:val="006265DA"/>
    <w:rsid w:val="0062697A"/>
    <w:rsid w:val="00627D95"/>
    <w:rsid w:val="006304FD"/>
    <w:rsid w:val="00630F46"/>
    <w:rsid w:val="00632A0F"/>
    <w:rsid w:val="00633E4C"/>
    <w:rsid w:val="00633FB4"/>
    <w:rsid w:val="00634B2B"/>
    <w:rsid w:val="0063592E"/>
    <w:rsid w:val="00635CED"/>
    <w:rsid w:val="00635D97"/>
    <w:rsid w:val="00636B46"/>
    <w:rsid w:val="00636FA6"/>
    <w:rsid w:val="00641063"/>
    <w:rsid w:val="00641EF8"/>
    <w:rsid w:val="00641F93"/>
    <w:rsid w:val="0064232D"/>
    <w:rsid w:val="00642440"/>
    <w:rsid w:val="00642AE8"/>
    <w:rsid w:val="00644171"/>
    <w:rsid w:val="00644177"/>
    <w:rsid w:val="006456F5"/>
    <w:rsid w:val="00645A30"/>
    <w:rsid w:val="00646999"/>
    <w:rsid w:val="00646ABF"/>
    <w:rsid w:val="00646ED4"/>
    <w:rsid w:val="006474BC"/>
    <w:rsid w:val="00647A57"/>
    <w:rsid w:val="00647A75"/>
    <w:rsid w:val="00647B0E"/>
    <w:rsid w:val="00647F39"/>
    <w:rsid w:val="00650E1A"/>
    <w:rsid w:val="00652752"/>
    <w:rsid w:val="00652AE1"/>
    <w:rsid w:val="00652E7F"/>
    <w:rsid w:val="00654078"/>
    <w:rsid w:val="00655343"/>
    <w:rsid w:val="00655E71"/>
    <w:rsid w:val="00662A62"/>
    <w:rsid w:val="006631AF"/>
    <w:rsid w:val="0066329B"/>
    <w:rsid w:val="00663450"/>
    <w:rsid w:val="00665E87"/>
    <w:rsid w:val="00666718"/>
    <w:rsid w:val="00666F38"/>
    <w:rsid w:val="00671A8D"/>
    <w:rsid w:val="00672402"/>
    <w:rsid w:val="00672460"/>
    <w:rsid w:val="006763EF"/>
    <w:rsid w:val="006765AE"/>
    <w:rsid w:val="00676A38"/>
    <w:rsid w:val="00677D1F"/>
    <w:rsid w:val="0068048D"/>
    <w:rsid w:val="00680E98"/>
    <w:rsid w:val="00683B78"/>
    <w:rsid w:val="00684061"/>
    <w:rsid w:val="00684258"/>
    <w:rsid w:val="006846D5"/>
    <w:rsid w:val="00685C55"/>
    <w:rsid w:val="00687199"/>
    <w:rsid w:val="00687AAD"/>
    <w:rsid w:val="00687BB6"/>
    <w:rsid w:val="00687E77"/>
    <w:rsid w:val="006915BC"/>
    <w:rsid w:val="006945B8"/>
    <w:rsid w:val="00696380"/>
    <w:rsid w:val="006965AC"/>
    <w:rsid w:val="006969F4"/>
    <w:rsid w:val="006979DF"/>
    <w:rsid w:val="00697C35"/>
    <w:rsid w:val="006A11E9"/>
    <w:rsid w:val="006A1D05"/>
    <w:rsid w:val="006A2CE3"/>
    <w:rsid w:val="006A3611"/>
    <w:rsid w:val="006A3BF0"/>
    <w:rsid w:val="006B0F3E"/>
    <w:rsid w:val="006B15B7"/>
    <w:rsid w:val="006B176C"/>
    <w:rsid w:val="006B1F53"/>
    <w:rsid w:val="006B2413"/>
    <w:rsid w:val="006B2802"/>
    <w:rsid w:val="006B51A0"/>
    <w:rsid w:val="006B549C"/>
    <w:rsid w:val="006B6D6E"/>
    <w:rsid w:val="006B7DBA"/>
    <w:rsid w:val="006C16B5"/>
    <w:rsid w:val="006C1DBC"/>
    <w:rsid w:val="006C2872"/>
    <w:rsid w:val="006C342F"/>
    <w:rsid w:val="006C3E71"/>
    <w:rsid w:val="006C5ADE"/>
    <w:rsid w:val="006C6859"/>
    <w:rsid w:val="006C68AE"/>
    <w:rsid w:val="006C6A9F"/>
    <w:rsid w:val="006C7CA3"/>
    <w:rsid w:val="006D1585"/>
    <w:rsid w:val="006D36BF"/>
    <w:rsid w:val="006D6638"/>
    <w:rsid w:val="006D7F5D"/>
    <w:rsid w:val="006E07AC"/>
    <w:rsid w:val="006E111C"/>
    <w:rsid w:val="006E306C"/>
    <w:rsid w:val="006E35CE"/>
    <w:rsid w:val="006E38B5"/>
    <w:rsid w:val="006E46D5"/>
    <w:rsid w:val="006E49F4"/>
    <w:rsid w:val="006E5AB4"/>
    <w:rsid w:val="006E6A60"/>
    <w:rsid w:val="006F1087"/>
    <w:rsid w:val="006F1308"/>
    <w:rsid w:val="006F1976"/>
    <w:rsid w:val="006F22AE"/>
    <w:rsid w:val="006F516E"/>
    <w:rsid w:val="006F6519"/>
    <w:rsid w:val="006F7207"/>
    <w:rsid w:val="0070015F"/>
    <w:rsid w:val="00701BC9"/>
    <w:rsid w:val="007027D4"/>
    <w:rsid w:val="007046C8"/>
    <w:rsid w:val="0070492B"/>
    <w:rsid w:val="007049DD"/>
    <w:rsid w:val="0070588C"/>
    <w:rsid w:val="007069BF"/>
    <w:rsid w:val="00710F8F"/>
    <w:rsid w:val="00710F98"/>
    <w:rsid w:val="0071140E"/>
    <w:rsid w:val="007133FD"/>
    <w:rsid w:val="00713A1E"/>
    <w:rsid w:val="0071401E"/>
    <w:rsid w:val="00714C31"/>
    <w:rsid w:val="00715402"/>
    <w:rsid w:val="00716CEF"/>
    <w:rsid w:val="00720019"/>
    <w:rsid w:val="00721C4A"/>
    <w:rsid w:val="00723C4A"/>
    <w:rsid w:val="0072460C"/>
    <w:rsid w:val="007249BF"/>
    <w:rsid w:val="0072633E"/>
    <w:rsid w:val="00727578"/>
    <w:rsid w:val="00730BB6"/>
    <w:rsid w:val="00733344"/>
    <w:rsid w:val="007334C1"/>
    <w:rsid w:val="007335FA"/>
    <w:rsid w:val="007337DD"/>
    <w:rsid w:val="00733A16"/>
    <w:rsid w:val="0073424E"/>
    <w:rsid w:val="0073433C"/>
    <w:rsid w:val="00734A99"/>
    <w:rsid w:val="00735397"/>
    <w:rsid w:val="00735401"/>
    <w:rsid w:val="00737EB5"/>
    <w:rsid w:val="0074062E"/>
    <w:rsid w:val="00742CA0"/>
    <w:rsid w:val="007437E4"/>
    <w:rsid w:val="007440A5"/>
    <w:rsid w:val="00744116"/>
    <w:rsid w:val="00747296"/>
    <w:rsid w:val="007506F0"/>
    <w:rsid w:val="00750FC1"/>
    <w:rsid w:val="00751661"/>
    <w:rsid w:val="00752AA2"/>
    <w:rsid w:val="00755090"/>
    <w:rsid w:val="007552DE"/>
    <w:rsid w:val="00755649"/>
    <w:rsid w:val="00756259"/>
    <w:rsid w:val="00757007"/>
    <w:rsid w:val="007600B1"/>
    <w:rsid w:val="007614C0"/>
    <w:rsid w:val="00762859"/>
    <w:rsid w:val="00763DDD"/>
    <w:rsid w:val="0076535A"/>
    <w:rsid w:val="00765A69"/>
    <w:rsid w:val="00765EAA"/>
    <w:rsid w:val="00766C35"/>
    <w:rsid w:val="00767947"/>
    <w:rsid w:val="00772EB6"/>
    <w:rsid w:val="00773810"/>
    <w:rsid w:val="00773F88"/>
    <w:rsid w:val="00774983"/>
    <w:rsid w:val="0077553E"/>
    <w:rsid w:val="00775931"/>
    <w:rsid w:val="007764B4"/>
    <w:rsid w:val="00776912"/>
    <w:rsid w:val="007772CB"/>
    <w:rsid w:val="00777B57"/>
    <w:rsid w:val="00777D83"/>
    <w:rsid w:val="0078099B"/>
    <w:rsid w:val="007840A6"/>
    <w:rsid w:val="00784917"/>
    <w:rsid w:val="00784FD6"/>
    <w:rsid w:val="0078617D"/>
    <w:rsid w:val="00786339"/>
    <w:rsid w:val="0078644A"/>
    <w:rsid w:val="00790296"/>
    <w:rsid w:val="00792DDC"/>
    <w:rsid w:val="00792F25"/>
    <w:rsid w:val="0079316E"/>
    <w:rsid w:val="00793657"/>
    <w:rsid w:val="0079454F"/>
    <w:rsid w:val="007956E1"/>
    <w:rsid w:val="0079577B"/>
    <w:rsid w:val="007A0B2F"/>
    <w:rsid w:val="007A0CE5"/>
    <w:rsid w:val="007A16B7"/>
    <w:rsid w:val="007A19F4"/>
    <w:rsid w:val="007A277C"/>
    <w:rsid w:val="007A69EA"/>
    <w:rsid w:val="007A7903"/>
    <w:rsid w:val="007B11C0"/>
    <w:rsid w:val="007B14B8"/>
    <w:rsid w:val="007B1C49"/>
    <w:rsid w:val="007B2F3D"/>
    <w:rsid w:val="007B3619"/>
    <w:rsid w:val="007B3A25"/>
    <w:rsid w:val="007B4745"/>
    <w:rsid w:val="007B6C37"/>
    <w:rsid w:val="007B7905"/>
    <w:rsid w:val="007B7CAA"/>
    <w:rsid w:val="007C075E"/>
    <w:rsid w:val="007C35FD"/>
    <w:rsid w:val="007C4110"/>
    <w:rsid w:val="007C5BF1"/>
    <w:rsid w:val="007C6771"/>
    <w:rsid w:val="007C680D"/>
    <w:rsid w:val="007C6A3A"/>
    <w:rsid w:val="007C701F"/>
    <w:rsid w:val="007C717C"/>
    <w:rsid w:val="007C7250"/>
    <w:rsid w:val="007D00B5"/>
    <w:rsid w:val="007D1940"/>
    <w:rsid w:val="007D2282"/>
    <w:rsid w:val="007D28E6"/>
    <w:rsid w:val="007D3293"/>
    <w:rsid w:val="007D329C"/>
    <w:rsid w:val="007D3C50"/>
    <w:rsid w:val="007D418C"/>
    <w:rsid w:val="007D4618"/>
    <w:rsid w:val="007D497F"/>
    <w:rsid w:val="007D4E4B"/>
    <w:rsid w:val="007D578C"/>
    <w:rsid w:val="007D5DB8"/>
    <w:rsid w:val="007E0946"/>
    <w:rsid w:val="007E2241"/>
    <w:rsid w:val="007E2BED"/>
    <w:rsid w:val="007E3AA0"/>
    <w:rsid w:val="007E5559"/>
    <w:rsid w:val="007E6AEF"/>
    <w:rsid w:val="007E7284"/>
    <w:rsid w:val="007E759E"/>
    <w:rsid w:val="007F0D11"/>
    <w:rsid w:val="007F1133"/>
    <w:rsid w:val="007F145C"/>
    <w:rsid w:val="007F1C6A"/>
    <w:rsid w:val="007F1E3A"/>
    <w:rsid w:val="007F2598"/>
    <w:rsid w:val="007F2EF9"/>
    <w:rsid w:val="007F5853"/>
    <w:rsid w:val="007F6202"/>
    <w:rsid w:val="007F7EC6"/>
    <w:rsid w:val="008006EC"/>
    <w:rsid w:val="008015BF"/>
    <w:rsid w:val="00801B27"/>
    <w:rsid w:val="0080221F"/>
    <w:rsid w:val="0080275D"/>
    <w:rsid w:val="008029BE"/>
    <w:rsid w:val="00802B24"/>
    <w:rsid w:val="00804655"/>
    <w:rsid w:val="0080549E"/>
    <w:rsid w:val="00805C09"/>
    <w:rsid w:val="00806243"/>
    <w:rsid w:val="0080775A"/>
    <w:rsid w:val="00807F76"/>
    <w:rsid w:val="00811E45"/>
    <w:rsid w:val="00813900"/>
    <w:rsid w:val="00814110"/>
    <w:rsid w:val="008155CF"/>
    <w:rsid w:val="00815E01"/>
    <w:rsid w:val="00816E24"/>
    <w:rsid w:val="00821F57"/>
    <w:rsid w:val="008251FD"/>
    <w:rsid w:val="00825D57"/>
    <w:rsid w:val="00826E9C"/>
    <w:rsid w:val="0082740E"/>
    <w:rsid w:val="00830288"/>
    <w:rsid w:val="00832429"/>
    <w:rsid w:val="00832E1F"/>
    <w:rsid w:val="0083373E"/>
    <w:rsid w:val="008337A6"/>
    <w:rsid w:val="00833F57"/>
    <w:rsid w:val="00834CA3"/>
    <w:rsid w:val="00835007"/>
    <w:rsid w:val="00835638"/>
    <w:rsid w:val="00835996"/>
    <w:rsid w:val="00835B09"/>
    <w:rsid w:val="00835B4C"/>
    <w:rsid w:val="00836514"/>
    <w:rsid w:val="00837BDB"/>
    <w:rsid w:val="00844B0A"/>
    <w:rsid w:val="00845E50"/>
    <w:rsid w:val="008477DB"/>
    <w:rsid w:val="00847BB3"/>
    <w:rsid w:val="00860222"/>
    <w:rsid w:val="00862E66"/>
    <w:rsid w:val="00863BF1"/>
    <w:rsid w:val="00864247"/>
    <w:rsid w:val="008645D4"/>
    <w:rsid w:val="0086611C"/>
    <w:rsid w:val="008662CC"/>
    <w:rsid w:val="00866AA8"/>
    <w:rsid w:val="00866B55"/>
    <w:rsid w:val="008670ED"/>
    <w:rsid w:val="0087110D"/>
    <w:rsid w:val="00871C49"/>
    <w:rsid w:val="00871E00"/>
    <w:rsid w:val="00872262"/>
    <w:rsid w:val="008723D7"/>
    <w:rsid w:val="00874104"/>
    <w:rsid w:val="0087498D"/>
    <w:rsid w:val="00874E9C"/>
    <w:rsid w:val="00875140"/>
    <w:rsid w:val="00875955"/>
    <w:rsid w:val="00876307"/>
    <w:rsid w:val="0087750D"/>
    <w:rsid w:val="00877618"/>
    <w:rsid w:val="00877DBF"/>
    <w:rsid w:val="00881256"/>
    <w:rsid w:val="00881B34"/>
    <w:rsid w:val="00884208"/>
    <w:rsid w:val="00884B01"/>
    <w:rsid w:val="00885ADF"/>
    <w:rsid w:val="00890153"/>
    <w:rsid w:val="00890BF1"/>
    <w:rsid w:val="00894D07"/>
    <w:rsid w:val="0089517C"/>
    <w:rsid w:val="0089539E"/>
    <w:rsid w:val="008954A9"/>
    <w:rsid w:val="00895546"/>
    <w:rsid w:val="0089651F"/>
    <w:rsid w:val="008973EC"/>
    <w:rsid w:val="008A0701"/>
    <w:rsid w:val="008A0778"/>
    <w:rsid w:val="008A1758"/>
    <w:rsid w:val="008A2A3B"/>
    <w:rsid w:val="008A2D66"/>
    <w:rsid w:val="008A386C"/>
    <w:rsid w:val="008A3BC7"/>
    <w:rsid w:val="008A431A"/>
    <w:rsid w:val="008A5216"/>
    <w:rsid w:val="008A630C"/>
    <w:rsid w:val="008A700C"/>
    <w:rsid w:val="008B029E"/>
    <w:rsid w:val="008B17F3"/>
    <w:rsid w:val="008B215E"/>
    <w:rsid w:val="008B2CF3"/>
    <w:rsid w:val="008B2F31"/>
    <w:rsid w:val="008B5605"/>
    <w:rsid w:val="008B5EC7"/>
    <w:rsid w:val="008C0440"/>
    <w:rsid w:val="008C22D5"/>
    <w:rsid w:val="008C2629"/>
    <w:rsid w:val="008C32A9"/>
    <w:rsid w:val="008C3899"/>
    <w:rsid w:val="008C43F8"/>
    <w:rsid w:val="008C4BF9"/>
    <w:rsid w:val="008C6D98"/>
    <w:rsid w:val="008D237A"/>
    <w:rsid w:val="008D376E"/>
    <w:rsid w:val="008D3CD9"/>
    <w:rsid w:val="008D48A5"/>
    <w:rsid w:val="008D5437"/>
    <w:rsid w:val="008D5F87"/>
    <w:rsid w:val="008D7F02"/>
    <w:rsid w:val="008E05E0"/>
    <w:rsid w:val="008E0BD8"/>
    <w:rsid w:val="008E2C9D"/>
    <w:rsid w:val="008E5A18"/>
    <w:rsid w:val="008E6C5A"/>
    <w:rsid w:val="008E6FFD"/>
    <w:rsid w:val="008E7A44"/>
    <w:rsid w:val="008E7E7B"/>
    <w:rsid w:val="008F038F"/>
    <w:rsid w:val="008F2A12"/>
    <w:rsid w:val="008F65DA"/>
    <w:rsid w:val="008F75FB"/>
    <w:rsid w:val="00900A85"/>
    <w:rsid w:val="00902ACC"/>
    <w:rsid w:val="00903C20"/>
    <w:rsid w:val="00904613"/>
    <w:rsid w:val="00906C29"/>
    <w:rsid w:val="00906FFE"/>
    <w:rsid w:val="00907C1B"/>
    <w:rsid w:val="009109B6"/>
    <w:rsid w:val="00910BC5"/>
    <w:rsid w:val="0091177F"/>
    <w:rsid w:val="00911BC2"/>
    <w:rsid w:val="009147D0"/>
    <w:rsid w:val="00915DEB"/>
    <w:rsid w:val="00916D5E"/>
    <w:rsid w:val="00917F9C"/>
    <w:rsid w:val="009200DC"/>
    <w:rsid w:val="00920D1C"/>
    <w:rsid w:val="00920F24"/>
    <w:rsid w:val="009216E0"/>
    <w:rsid w:val="00922685"/>
    <w:rsid w:val="0092269D"/>
    <w:rsid w:val="009226E8"/>
    <w:rsid w:val="00922E4F"/>
    <w:rsid w:val="0092428C"/>
    <w:rsid w:val="00924E17"/>
    <w:rsid w:val="0092584B"/>
    <w:rsid w:val="009270CF"/>
    <w:rsid w:val="0092785F"/>
    <w:rsid w:val="00930365"/>
    <w:rsid w:val="00930B7C"/>
    <w:rsid w:val="0093101B"/>
    <w:rsid w:val="00931FED"/>
    <w:rsid w:val="009325B8"/>
    <w:rsid w:val="0093390D"/>
    <w:rsid w:val="00934AC3"/>
    <w:rsid w:val="0093643D"/>
    <w:rsid w:val="00940D1B"/>
    <w:rsid w:val="0094291D"/>
    <w:rsid w:val="009442CD"/>
    <w:rsid w:val="00944512"/>
    <w:rsid w:val="00944E79"/>
    <w:rsid w:val="009454EC"/>
    <w:rsid w:val="009468CE"/>
    <w:rsid w:val="009528FB"/>
    <w:rsid w:val="00952D61"/>
    <w:rsid w:val="00955CA6"/>
    <w:rsid w:val="00956491"/>
    <w:rsid w:val="00956719"/>
    <w:rsid w:val="00956D80"/>
    <w:rsid w:val="009632D2"/>
    <w:rsid w:val="00963928"/>
    <w:rsid w:val="0096402B"/>
    <w:rsid w:val="00965123"/>
    <w:rsid w:val="00966D64"/>
    <w:rsid w:val="009679CA"/>
    <w:rsid w:val="00967A65"/>
    <w:rsid w:val="0097025C"/>
    <w:rsid w:val="00970C04"/>
    <w:rsid w:val="00971CD3"/>
    <w:rsid w:val="00972E41"/>
    <w:rsid w:val="00973B51"/>
    <w:rsid w:val="00974581"/>
    <w:rsid w:val="00974B4A"/>
    <w:rsid w:val="00974BAD"/>
    <w:rsid w:val="009756FC"/>
    <w:rsid w:val="00977AAD"/>
    <w:rsid w:val="00981222"/>
    <w:rsid w:val="00981A0C"/>
    <w:rsid w:val="0098227C"/>
    <w:rsid w:val="0098358A"/>
    <w:rsid w:val="0098433C"/>
    <w:rsid w:val="009875EB"/>
    <w:rsid w:val="00990402"/>
    <w:rsid w:val="00992553"/>
    <w:rsid w:val="009936EB"/>
    <w:rsid w:val="00993FD8"/>
    <w:rsid w:val="00996CAA"/>
    <w:rsid w:val="00996E79"/>
    <w:rsid w:val="009A0482"/>
    <w:rsid w:val="009A0A50"/>
    <w:rsid w:val="009A0FB0"/>
    <w:rsid w:val="009A1D32"/>
    <w:rsid w:val="009A296C"/>
    <w:rsid w:val="009A3A25"/>
    <w:rsid w:val="009A416F"/>
    <w:rsid w:val="009A5382"/>
    <w:rsid w:val="009A53C1"/>
    <w:rsid w:val="009A5EEE"/>
    <w:rsid w:val="009A5FAE"/>
    <w:rsid w:val="009A7A45"/>
    <w:rsid w:val="009A7CE2"/>
    <w:rsid w:val="009B11BF"/>
    <w:rsid w:val="009B18D5"/>
    <w:rsid w:val="009B1F73"/>
    <w:rsid w:val="009B20BA"/>
    <w:rsid w:val="009B225A"/>
    <w:rsid w:val="009B29AC"/>
    <w:rsid w:val="009B4A2B"/>
    <w:rsid w:val="009B4C26"/>
    <w:rsid w:val="009B5056"/>
    <w:rsid w:val="009B5122"/>
    <w:rsid w:val="009B7311"/>
    <w:rsid w:val="009C0160"/>
    <w:rsid w:val="009C02AE"/>
    <w:rsid w:val="009C22B8"/>
    <w:rsid w:val="009C3376"/>
    <w:rsid w:val="009C439A"/>
    <w:rsid w:val="009C4793"/>
    <w:rsid w:val="009C5CCF"/>
    <w:rsid w:val="009C5EC7"/>
    <w:rsid w:val="009C69DF"/>
    <w:rsid w:val="009C6B0A"/>
    <w:rsid w:val="009C6D7E"/>
    <w:rsid w:val="009C7C2C"/>
    <w:rsid w:val="009C7F71"/>
    <w:rsid w:val="009D13B4"/>
    <w:rsid w:val="009D1BE5"/>
    <w:rsid w:val="009D3777"/>
    <w:rsid w:val="009D4758"/>
    <w:rsid w:val="009D4B9A"/>
    <w:rsid w:val="009E34C8"/>
    <w:rsid w:val="009E3790"/>
    <w:rsid w:val="009E401F"/>
    <w:rsid w:val="009E5CFD"/>
    <w:rsid w:val="009E624F"/>
    <w:rsid w:val="009E766D"/>
    <w:rsid w:val="009F0603"/>
    <w:rsid w:val="009F0934"/>
    <w:rsid w:val="009F096C"/>
    <w:rsid w:val="009F0B30"/>
    <w:rsid w:val="009F142A"/>
    <w:rsid w:val="009F1BC5"/>
    <w:rsid w:val="009F1BC8"/>
    <w:rsid w:val="009F2362"/>
    <w:rsid w:val="009F2376"/>
    <w:rsid w:val="009F3512"/>
    <w:rsid w:val="009F3F7F"/>
    <w:rsid w:val="009F4E9E"/>
    <w:rsid w:val="009F54E3"/>
    <w:rsid w:val="009F5A34"/>
    <w:rsid w:val="009F6272"/>
    <w:rsid w:val="009F67CA"/>
    <w:rsid w:val="00A014CC"/>
    <w:rsid w:val="00A01995"/>
    <w:rsid w:val="00A01D7F"/>
    <w:rsid w:val="00A028D1"/>
    <w:rsid w:val="00A03A49"/>
    <w:rsid w:val="00A043C0"/>
    <w:rsid w:val="00A04B6F"/>
    <w:rsid w:val="00A07C9D"/>
    <w:rsid w:val="00A115D3"/>
    <w:rsid w:val="00A125CB"/>
    <w:rsid w:val="00A12798"/>
    <w:rsid w:val="00A1573B"/>
    <w:rsid w:val="00A171C4"/>
    <w:rsid w:val="00A20E12"/>
    <w:rsid w:val="00A2145E"/>
    <w:rsid w:val="00A21B33"/>
    <w:rsid w:val="00A229F2"/>
    <w:rsid w:val="00A23518"/>
    <w:rsid w:val="00A25C8E"/>
    <w:rsid w:val="00A303AA"/>
    <w:rsid w:val="00A30811"/>
    <w:rsid w:val="00A3119A"/>
    <w:rsid w:val="00A3194D"/>
    <w:rsid w:val="00A31B27"/>
    <w:rsid w:val="00A3234A"/>
    <w:rsid w:val="00A32EFC"/>
    <w:rsid w:val="00A33802"/>
    <w:rsid w:val="00A338A5"/>
    <w:rsid w:val="00A34813"/>
    <w:rsid w:val="00A34A0B"/>
    <w:rsid w:val="00A34D2A"/>
    <w:rsid w:val="00A35379"/>
    <w:rsid w:val="00A36086"/>
    <w:rsid w:val="00A362C5"/>
    <w:rsid w:val="00A36B33"/>
    <w:rsid w:val="00A37A40"/>
    <w:rsid w:val="00A412F3"/>
    <w:rsid w:val="00A41842"/>
    <w:rsid w:val="00A41CA4"/>
    <w:rsid w:val="00A4231C"/>
    <w:rsid w:val="00A42782"/>
    <w:rsid w:val="00A42CA2"/>
    <w:rsid w:val="00A42F2A"/>
    <w:rsid w:val="00A44770"/>
    <w:rsid w:val="00A4489D"/>
    <w:rsid w:val="00A45198"/>
    <w:rsid w:val="00A46238"/>
    <w:rsid w:val="00A4664B"/>
    <w:rsid w:val="00A47D53"/>
    <w:rsid w:val="00A526A2"/>
    <w:rsid w:val="00A53B81"/>
    <w:rsid w:val="00A53C2B"/>
    <w:rsid w:val="00A53D48"/>
    <w:rsid w:val="00A5434A"/>
    <w:rsid w:val="00A557BD"/>
    <w:rsid w:val="00A571E1"/>
    <w:rsid w:val="00A5745C"/>
    <w:rsid w:val="00A57EEF"/>
    <w:rsid w:val="00A61ABA"/>
    <w:rsid w:val="00A630D5"/>
    <w:rsid w:val="00A63DAA"/>
    <w:rsid w:val="00A6475C"/>
    <w:rsid w:val="00A64C87"/>
    <w:rsid w:val="00A65DE6"/>
    <w:rsid w:val="00A66D31"/>
    <w:rsid w:val="00A71E47"/>
    <w:rsid w:val="00A7206B"/>
    <w:rsid w:val="00A72CB8"/>
    <w:rsid w:val="00A73999"/>
    <w:rsid w:val="00A73C17"/>
    <w:rsid w:val="00A73E48"/>
    <w:rsid w:val="00A74305"/>
    <w:rsid w:val="00A744DF"/>
    <w:rsid w:val="00A7579B"/>
    <w:rsid w:val="00A77619"/>
    <w:rsid w:val="00A80C92"/>
    <w:rsid w:val="00A813BB"/>
    <w:rsid w:val="00A82A5D"/>
    <w:rsid w:val="00A831E0"/>
    <w:rsid w:val="00A832C0"/>
    <w:rsid w:val="00A83396"/>
    <w:rsid w:val="00A84030"/>
    <w:rsid w:val="00A8474F"/>
    <w:rsid w:val="00A84A0D"/>
    <w:rsid w:val="00A84C11"/>
    <w:rsid w:val="00A86CAF"/>
    <w:rsid w:val="00A87DD0"/>
    <w:rsid w:val="00A9038A"/>
    <w:rsid w:val="00A90E1D"/>
    <w:rsid w:val="00A9124F"/>
    <w:rsid w:val="00A9313A"/>
    <w:rsid w:val="00A94048"/>
    <w:rsid w:val="00A958E2"/>
    <w:rsid w:val="00A9646B"/>
    <w:rsid w:val="00A97704"/>
    <w:rsid w:val="00AA0F07"/>
    <w:rsid w:val="00AA111B"/>
    <w:rsid w:val="00AA12B0"/>
    <w:rsid w:val="00AA179D"/>
    <w:rsid w:val="00AA17CF"/>
    <w:rsid w:val="00AA2A7A"/>
    <w:rsid w:val="00AA3064"/>
    <w:rsid w:val="00AA3325"/>
    <w:rsid w:val="00AA349D"/>
    <w:rsid w:val="00AA4A8C"/>
    <w:rsid w:val="00AA7028"/>
    <w:rsid w:val="00AA7873"/>
    <w:rsid w:val="00AB010D"/>
    <w:rsid w:val="00AB07C3"/>
    <w:rsid w:val="00AB0CE2"/>
    <w:rsid w:val="00AB19E6"/>
    <w:rsid w:val="00AB1B58"/>
    <w:rsid w:val="00AB2367"/>
    <w:rsid w:val="00AB3E7B"/>
    <w:rsid w:val="00AB461B"/>
    <w:rsid w:val="00AB7188"/>
    <w:rsid w:val="00AB7CC8"/>
    <w:rsid w:val="00AC305A"/>
    <w:rsid w:val="00AC3F48"/>
    <w:rsid w:val="00AC4E22"/>
    <w:rsid w:val="00AC7D2B"/>
    <w:rsid w:val="00AD0A0B"/>
    <w:rsid w:val="00AD2336"/>
    <w:rsid w:val="00AD2A91"/>
    <w:rsid w:val="00AD30A2"/>
    <w:rsid w:val="00AD33AD"/>
    <w:rsid w:val="00AD377F"/>
    <w:rsid w:val="00AD576C"/>
    <w:rsid w:val="00AD5C97"/>
    <w:rsid w:val="00AD7808"/>
    <w:rsid w:val="00AE0187"/>
    <w:rsid w:val="00AE15EA"/>
    <w:rsid w:val="00AE2286"/>
    <w:rsid w:val="00AE3AD1"/>
    <w:rsid w:val="00AE45B6"/>
    <w:rsid w:val="00AE4ACC"/>
    <w:rsid w:val="00AE5099"/>
    <w:rsid w:val="00AE7E32"/>
    <w:rsid w:val="00AE7FAE"/>
    <w:rsid w:val="00AF01C9"/>
    <w:rsid w:val="00AF069F"/>
    <w:rsid w:val="00AF17BB"/>
    <w:rsid w:val="00AF1CEE"/>
    <w:rsid w:val="00AF34E3"/>
    <w:rsid w:val="00AF62A2"/>
    <w:rsid w:val="00AF6B2B"/>
    <w:rsid w:val="00AF71AB"/>
    <w:rsid w:val="00B00301"/>
    <w:rsid w:val="00B01027"/>
    <w:rsid w:val="00B01F7D"/>
    <w:rsid w:val="00B0267C"/>
    <w:rsid w:val="00B02D55"/>
    <w:rsid w:val="00B04EC2"/>
    <w:rsid w:val="00B05B79"/>
    <w:rsid w:val="00B05D6A"/>
    <w:rsid w:val="00B06771"/>
    <w:rsid w:val="00B06B1B"/>
    <w:rsid w:val="00B06E6B"/>
    <w:rsid w:val="00B07C3F"/>
    <w:rsid w:val="00B07E46"/>
    <w:rsid w:val="00B11027"/>
    <w:rsid w:val="00B111ED"/>
    <w:rsid w:val="00B112E6"/>
    <w:rsid w:val="00B1297C"/>
    <w:rsid w:val="00B1564E"/>
    <w:rsid w:val="00B22941"/>
    <w:rsid w:val="00B22CC6"/>
    <w:rsid w:val="00B24470"/>
    <w:rsid w:val="00B24B55"/>
    <w:rsid w:val="00B25B60"/>
    <w:rsid w:val="00B265CF"/>
    <w:rsid w:val="00B2796C"/>
    <w:rsid w:val="00B30C9C"/>
    <w:rsid w:val="00B30F8C"/>
    <w:rsid w:val="00B3261F"/>
    <w:rsid w:val="00B33470"/>
    <w:rsid w:val="00B33BEE"/>
    <w:rsid w:val="00B34263"/>
    <w:rsid w:val="00B3445E"/>
    <w:rsid w:val="00B354DD"/>
    <w:rsid w:val="00B35B41"/>
    <w:rsid w:val="00B37796"/>
    <w:rsid w:val="00B37B13"/>
    <w:rsid w:val="00B401F7"/>
    <w:rsid w:val="00B40DFB"/>
    <w:rsid w:val="00B41FE5"/>
    <w:rsid w:val="00B42834"/>
    <w:rsid w:val="00B430AC"/>
    <w:rsid w:val="00B43DCF"/>
    <w:rsid w:val="00B452B1"/>
    <w:rsid w:val="00B45CD5"/>
    <w:rsid w:val="00B46BB3"/>
    <w:rsid w:val="00B47B17"/>
    <w:rsid w:val="00B510E8"/>
    <w:rsid w:val="00B513A7"/>
    <w:rsid w:val="00B515CA"/>
    <w:rsid w:val="00B51D46"/>
    <w:rsid w:val="00B51FC1"/>
    <w:rsid w:val="00B5236A"/>
    <w:rsid w:val="00B52562"/>
    <w:rsid w:val="00B52C0F"/>
    <w:rsid w:val="00B53B53"/>
    <w:rsid w:val="00B53C3E"/>
    <w:rsid w:val="00B54B4C"/>
    <w:rsid w:val="00B56148"/>
    <w:rsid w:val="00B5623F"/>
    <w:rsid w:val="00B5687E"/>
    <w:rsid w:val="00B57572"/>
    <w:rsid w:val="00B62274"/>
    <w:rsid w:val="00B63A6E"/>
    <w:rsid w:val="00B64710"/>
    <w:rsid w:val="00B6542B"/>
    <w:rsid w:val="00B66124"/>
    <w:rsid w:val="00B67C3C"/>
    <w:rsid w:val="00B67FFC"/>
    <w:rsid w:val="00B708B7"/>
    <w:rsid w:val="00B722FA"/>
    <w:rsid w:val="00B726A9"/>
    <w:rsid w:val="00B726E4"/>
    <w:rsid w:val="00B73052"/>
    <w:rsid w:val="00B75317"/>
    <w:rsid w:val="00B759E7"/>
    <w:rsid w:val="00B76155"/>
    <w:rsid w:val="00B76585"/>
    <w:rsid w:val="00B7677A"/>
    <w:rsid w:val="00B767D3"/>
    <w:rsid w:val="00B77008"/>
    <w:rsid w:val="00B77523"/>
    <w:rsid w:val="00B80582"/>
    <w:rsid w:val="00B81732"/>
    <w:rsid w:val="00B81B54"/>
    <w:rsid w:val="00B81DA8"/>
    <w:rsid w:val="00B81F47"/>
    <w:rsid w:val="00B83500"/>
    <w:rsid w:val="00B85A8F"/>
    <w:rsid w:val="00B91E90"/>
    <w:rsid w:val="00B91FC7"/>
    <w:rsid w:val="00B924EC"/>
    <w:rsid w:val="00B932ED"/>
    <w:rsid w:val="00B94938"/>
    <w:rsid w:val="00B95AB9"/>
    <w:rsid w:val="00B961BE"/>
    <w:rsid w:val="00B965B8"/>
    <w:rsid w:val="00B96C07"/>
    <w:rsid w:val="00B978FB"/>
    <w:rsid w:val="00BA01F6"/>
    <w:rsid w:val="00BA04DB"/>
    <w:rsid w:val="00BA0878"/>
    <w:rsid w:val="00BA0F81"/>
    <w:rsid w:val="00BA2CA3"/>
    <w:rsid w:val="00BA3F32"/>
    <w:rsid w:val="00BA422D"/>
    <w:rsid w:val="00BA5FE8"/>
    <w:rsid w:val="00BA6184"/>
    <w:rsid w:val="00BA64D2"/>
    <w:rsid w:val="00BA6CE0"/>
    <w:rsid w:val="00BA7111"/>
    <w:rsid w:val="00BB0E46"/>
    <w:rsid w:val="00BB1F46"/>
    <w:rsid w:val="00BB2ECF"/>
    <w:rsid w:val="00BB461B"/>
    <w:rsid w:val="00BB5EF0"/>
    <w:rsid w:val="00BB6606"/>
    <w:rsid w:val="00BB6825"/>
    <w:rsid w:val="00BB6FDB"/>
    <w:rsid w:val="00BC0A17"/>
    <w:rsid w:val="00BC0C3D"/>
    <w:rsid w:val="00BC1A52"/>
    <w:rsid w:val="00BC40BE"/>
    <w:rsid w:val="00BC7EDE"/>
    <w:rsid w:val="00BD1585"/>
    <w:rsid w:val="00BD1DDA"/>
    <w:rsid w:val="00BD1F73"/>
    <w:rsid w:val="00BD467B"/>
    <w:rsid w:val="00BD54D2"/>
    <w:rsid w:val="00BD59FB"/>
    <w:rsid w:val="00BD76DE"/>
    <w:rsid w:val="00BD7EB6"/>
    <w:rsid w:val="00BE2EFE"/>
    <w:rsid w:val="00BE7169"/>
    <w:rsid w:val="00BE7388"/>
    <w:rsid w:val="00BF0791"/>
    <w:rsid w:val="00BF1690"/>
    <w:rsid w:val="00BF1A08"/>
    <w:rsid w:val="00BF41D5"/>
    <w:rsid w:val="00BF50C8"/>
    <w:rsid w:val="00C00532"/>
    <w:rsid w:val="00C01618"/>
    <w:rsid w:val="00C01A2D"/>
    <w:rsid w:val="00C0317E"/>
    <w:rsid w:val="00C034FA"/>
    <w:rsid w:val="00C03CE4"/>
    <w:rsid w:val="00C06F37"/>
    <w:rsid w:val="00C10145"/>
    <w:rsid w:val="00C13DAE"/>
    <w:rsid w:val="00C14159"/>
    <w:rsid w:val="00C14935"/>
    <w:rsid w:val="00C15AB9"/>
    <w:rsid w:val="00C1651B"/>
    <w:rsid w:val="00C1655A"/>
    <w:rsid w:val="00C17888"/>
    <w:rsid w:val="00C2090A"/>
    <w:rsid w:val="00C2149B"/>
    <w:rsid w:val="00C219BF"/>
    <w:rsid w:val="00C235AA"/>
    <w:rsid w:val="00C23A37"/>
    <w:rsid w:val="00C23E4D"/>
    <w:rsid w:val="00C246B6"/>
    <w:rsid w:val="00C24A4A"/>
    <w:rsid w:val="00C26899"/>
    <w:rsid w:val="00C27928"/>
    <w:rsid w:val="00C27CCE"/>
    <w:rsid w:val="00C27FC2"/>
    <w:rsid w:val="00C30C0E"/>
    <w:rsid w:val="00C311F1"/>
    <w:rsid w:val="00C31492"/>
    <w:rsid w:val="00C335AC"/>
    <w:rsid w:val="00C33D2B"/>
    <w:rsid w:val="00C3429C"/>
    <w:rsid w:val="00C37037"/>
    <w:rsid w:val="00C412C2"/>
    <w:rsid w:val="00C41A3D"/>
    <w:rsid w:val="00C41D66"/>
    <w:rsid w:val="00C42540"/>
    <w:rsid w:val="00C4434A"/>
    <w:rsid w:val="00C44A84"/>
    <w:rsid w:val="00C44C18"/>
    <w:rsid w:val="00C4541C"/>
    <w:rsid w:val="00C45521"/>
    <w:rsid w:val="00C45B79"/>
    <w:rsid w:val="00C45C3A"/>
    <w:rsid w:val="00C475CC"/>
    <w:rsid w:val="00C501A6"/>
    <w:rsid w:val="00C50D7D"/>
    <w:rsid w:val="00C51CFA"/>
    <w:rsid w:val="00C53D9C"/>
    <w:rsid w:val="00C5463B"/>
    <w:rsid w:val="00C55788"/>
    <w:rsid w:val="00C567E3"/>
    <w:rsid w:val="00C57572"/>
    <w:rsid w:val="00C60EC9"/>
    <w:rsid w:val="00C61964"/>
    <w:rsid w:val="00C6230C"/>
    <w:rsid w:val="00C62AE0"/>
    <w:rsid w:val="00C6384A"/>
    <w:rsid w:val="00C64AB8"/>
    <w:rsid w:val="00C64F6B"/>
    <w:rsid w:val="00C676D1"/>
    <w:rsid w:val="00C67E10"/>
    <w:rsid w:val="00C71C1D"/>
    <w:rsid w:val="00C72C52"/>
    <w:rsid w:val="00C73353"/>
    <w:rsid w:val="00C7339D"/>
    <w:rsid w:val="00C7581D"/>
    <w:rsid w:val="00C776F4"/>
    <w:rsid w:val="00C77918"/>
    <w:rsid w:val="00C77CB3"/>
    <w:rsid w:val="00C77EE2"/>
    <w:rsid w:val="00C81C38"/>
    <w:rsid w:val="00C82F29"/>
    <w:rsid w:val="00C84AE7"/>
    <w:rsid w:val="00C84B88"/>
    <w:rsid w:val="00C86490"/>
    <w:rsid w:val="00C8660F"/>
    <w:rsid w:val="00C86658"/>
    <w:rsid w:val="00C8678A"/>
    <w:rsid w:val="00C86D88"/>
    <w:rsid w:val="00C90676"/>
    <w:rsid w:val="00C90916"/>
    <w:rsid w:val="00C91865"/>
    <w:rsid w:val="00C93BE9"/>
    <w:rsid w:val="00C962BF"/>
    <w:rsid w:val="00C97772"/>
    <w:rsid w:val="00CA1047"/>
    <w:rsid w:val="00CA13DD"/>
    <w:rsid w:val="00CA1670"/>
    <w:rsid w:val="00CA1BF3"/>
    <w:rsid w:val="00CA1C7D"/>
    <w:rsid w:val="00CA1F8F"/>
    <w:rsid w:val="00CA1FAE"/>
    <w:rsid w:val="00CA3B32"/>
    <w:rsid w:val="00CA407C"/>
    <w:rsid w:val="00CA5EC5"/>
    <w:rsid w:val="00CA7640"/>
    <w:rsid w:val="00CB051E"/>
    <w:rsid w:val="00CB094B"/>
    <w:rsid w:val="00CB0F0E"/>
    <w:rsid w:val="00CB22B9"/>
    <w:rsid w:val="00CB4298"/>
    <w:rsid w:val="00CB43E0"/>
    <w:rsid w:val="00CB4976"/>
    <w:rsid w:val="00CB4E82"/>
    <w:rsid w:val="00CB5651"/>
    <w:rsid w:val="00CB5E61"/>
    <w:rsid w:val="00CB64B0"/>
    <w:rsid w:val="00CB7D39"/>
    <w:rsid w:val="00CC0B05"/>
    <w:rsid w:val="00CC1235"/>
    <w:rsid w:val="00CC2109"/>
    <w:rsid w:val="00CC37E4"/>
    <w:rsid w:val="00CC393C"/>
    <w:rsid w:val="00CC4815"/>
    <w:rsid w:val="00CC4F5D"/>
    <w:rsid w:val="00CC71EC"/>
    <w:rsid w:val="00CC7CC4"/>
    <w:rsid w:val="00CD04B1"/>
    <w:rsid w:val="00CD1273"/>
    <w:rsid w:val="00CD1A57"/>
    <w:rsid w:val="00CD218A"/>
    <w:rsid w:val="00CD3197"/>
    <w:rsid w:val="00CD4C2A"/>
    <w:rsid w:val="00CD5E00"/>
    <w:rsid w:val="00CD6F4B"/>
    <w:rsid w:val="00CD7157"/>
    <w:rsid w:val="00CE0579"/>
    <w:rsid w:val="00CE127B"/>
    <w:rsid w:val="00CE1E4F"/>
    <w:rsid w:val="00CE1F3B"/>
    <w:rsid w:val="00CE2621"/>
    <w:rsid w:val="00CE37BD"/>
    <w:rsid w:val="00CE3EEB"/>
    <w:rsid w:val="00CE4DA1"/>
    <w:rsid w:val="00CE5826"/>
    <w:rsid w:val="00CE5E07"/>
    <w:rsid w:val="00CE6AFA"/>
    <w:rsid w:val="00CE7E98"/>
    <w:rsid w:val="00CE7F0F"/>
    <w:rsid w:val="00CF0C75"/>
    <w:rsid w:val="00CF100C"/>
    <w:rsid w:val="00CF240F"/>
    <w:rsid w:val="00CF2983"/>
    <w:rsid w:val="00CF29FF"/>
    <w:rsid w:val="00CF31FC"/>
    <w:rsid w:val="00CF3E3A"/>
    <w:rsid w:val="00CF493D"/>
    <w:rsid w:val="00CF4AC8"/>
    <w:rsid w:val="00CF6021"/>
    <w:rsid w:val="00CF6432"/>
    <w:rsid w:val="00CF6D3C"/>
    <w:rsid w:val="00CF6E82"/>
    <w:rsid w:val="00CF7FC0"/>
    <w:rsid w:val="00D00832"/>
    <w:rsid w:val="00D0266B"/>
    <w:rsid w:val="00D02E64"/>
    <w:rsid w:val="00D04DB5"/>
    <w:rsid w:val="00D05279"/>
    <w:rsid w:val="00D06250"/>
    <w:rsid w:val="00D1017A"/>
    <w:rsid w:val="00D106E1"/>
    <w:rsid w:val="00D11066"/>
    <w:rsid w:val="00D12300"/>
    <w:rsid w:val="00D13A8C"/>
    <w:rsid w:val="00D144D2"/>
    <w:rsid w:val="00D155EE"/>
    <w:rsid w:val="00D15FE0"/>
    <w:rsid w:val="00D16F97"/>
    <w:rsid w:val="00D204ED"/>
    <w:rsid w:val="00D23471"/>
    <w:rsid w:val="00D2462E"/>
    <w:rsid w:val="00D26309"/>
    <w:rsid w:val="00D304B8"/>
    <w:rsid w:val="00D3116D"/>
    <w:rsid w:val="00D339D5"/>
    <w:rsid w:val="00D34442"/>
    <w:rsid w:val="00D34553"/>
    <w:rsid w:val="00D354A9"/>
    <w:rsid w:val="00D35C29"/>
    <w:rsid w:val="00D375EC"/>
    <w:rsid w:val="00D37EE5"/>
    <w:rsid w:val="00D40D34"/>
    <w:rsid w:val="00D4541E"/>
    <w:rsid w:val="00D4706A"/>
    <w:rsid w:val="00D506CD"/>
    <w:rsid w:val="00D51837"/>
    <w:rsid w:val="00D5213A"/>
    <w:rsid w:val="00D55810"/>
    <w:rsid w:val="00D56E65"/>
    <w:rsid w:val="00D56ED9"/>
    <w:rsid w:val="00D57928"/>
    <w:rsid w:val="00D57F2F"/>
    <w:rsid w:val="00D642FB"/>
    <w:rsid w:val="00D6530D"/>
    <w:rsid w:val="00D656C9"/>
    <w:rsid w:val="00D65E77"/>
    <w:rsid w:val="00D66D99"/>
    <w:rsid w:val="00D70C85"/>
    <w:rsid w:val="00D70EB7"/>
    <w:rsid w:val="00D73178"/>
    <w:rsid w:val="00D7329D"/>
    <w:rsid w:val="00D733DE"/>
    <w:rsid w:val="00D73FC2"/>
    <w:rsid w:val="00D753E1"/>
    <w:rsid w:val="00D768DE"/>
    <w:rsid w:val="00D77152"/>
    <w:rsid w:val="00D771C0"/>
    <w:rsid w:val="00D77395"/>
    <w:rsid w:val="00D80104"/>
    <w:rsid w:val="00D810D4"/>
    <w:rsid w:val="00D81AFB"/>
    <w:rsid w:val="00D84AD4"/>
    <w:rsid w:val="00D84BF6"/>
    <w:rsid w:val="00D8546F"/>
    <w:rsid w:val="00D8619A"/>
    <w:rsid w:val="00D86801"/>
    <w:rsid w:val="00D87E5D"/>
    <w:rsid w:val="00D90398"/>
    <w:rsid w:val="00D904D3"/>
    <w:rsid w:val="00D907D6"/>
    <w:rsid w:val="00D91F64"/>
    <w:rsid w:val="00D92BBE"/>
    <w:rsid w:val="00D95845"/>
    <w:rsid w:val="00D95CD8"/>
    <w:rsid w:val="00D96919"/>
    <w:rsid w:val="00DA05D1"/>
    <w:rsid w:val="00DA081F"/>
    <w:rsid w:val="00DA0A5C"/>
    <w:rsid w:val="00DA0F0D"/>
    <w:rsid w:val="00DA1E16"/>
    <w:rsid w:val="00DA1E68"/>
    <w:rsid w:val="00DA2DE3"/>
    <w:rsid w:val="00DA47B7"/>
    <w:rsid w:val="00DA752E"/>
    <w:rsid w:val="00DB0CCC"/>
    <w:rsid w:val="00DB1584"/>
    <w:rsid w:val="00DB181C"/>
    <w:rsid w:val="00DB2C84"/>
    <w:rsid w:val="00DB5E68"/>
    <w:rsid w:val="00DB7899"/>
    <w:rsid w:val="00DB7A86"/>
    <w:rsid w:val="00DB7F84"/>
    <w:rsid w:val="00DC132B"/>
    <w:rsid w:val="00DC1A3C"/>
    <w:rsid w:val="00DC60C3"/>
    <w:rsid w:val="00DC68BD"/>
    <w:rsid w:val="00DC7970"/>
    <w:rsid w:val="00DD1436"/>
    <w:rsid w:val="00DD1525"/>
    <w:rsid w:val="00DD280E"/>
    <w:rsid w:val="00DD357D"/>
    <w:rsid w:val="00DD3FC0"/>
    <w:rsid w:val="00DD50E4"/>
    <w:rsid w:val="00DD59DA"/>
    <w:rsid w:val="00DD5F68"/>
    <w:rsid w:val="00DD5F81"/>
    <w:rsid w:val="00DE23DD"/>
    <w:rsid w:val="00DE2D36"/>
    <w:rsid w:val="00DE3A44"/>
    <w:rsid w:val="00DE40B9"/>
    <w:rsid w:val="00DE51C3"/>
    <w:rsid w:val="00DE6005"/>
    <w:rsid w:val="00DE654D"/>
    <w:rsid w:val="00DE7941"/>
    <w:rsid w:val="00DF3AC6"/>
    <w:rsid w:val="00DF3C0C"/>
    <w:rsid w:val="00DF4648"/>
    <w:rsid w:val="00DF47FA"/>
    <w:rsid w:val="00DF5E9B"/>
    <w:rsid w:val="00DF721C"/>
    <w:rsid w:val="00DF7B5F"/>
    <w:rsid w:val="00E0434C"/>
    <w:rsid w:val="00E058BB"/>
    <w:rsid w:val="00E05EA7"/>
    <w:rsid w:val="00E10C81"/>
    <w:rsid w:val="00E10EA9"/>
    <w:rsid w:val="00E10FCB"/>
    <w:rsid w:val="00E13120"/>
    <w:rsid w:val="00E13EDA"/>
    <w:rsid w:val="00E143C8"/>
    <w:rsid w:val="00E1495B"/>
    <w:rsid w:val="00E153B3"/>
    <w:rsid w:val="00E155DB"/>
    <w:rsid w:val="00E164EA"/>
    <w:rsid w:val="00E173F4"/>
    <w:rsid w:val="00E17BDF"/>
    <w:rsid w:val="00E17C78"/>
    <w:rsid w:val="00E2168A"/>
    <w:rsid w:val="00E23D45"/>
    <w:rsid w:val="00E25CDC"/>
    <w:rsid w:val="00E2634A"/>
    <w:rsid w:val="00E26DCF"/>
    <w:rsid w:val="00E2793F"/>
    <w:rsid w:val="00E30456"/>
    <w:rsid w:val="00E309CB"/>
    <w:rsid w:val="00E31603"/>
    <w:rsid w:val="00E31BAB"/>
    <w:rsid w:val="00E328CE"/>
    <w:rsid w:val="00E33784"/>
    <w:rsid w:val="00E34F0C"/>
    <w:rsid w:val="00E3515B"/>
    <w:rsid w:val="00E35166"/>
    <w:rsid w:val="00E3560B"/>
    <w:rsid w:val="00E37D0B"/>
    <w:rsid w:val="00E40D2D"/>
    <w:rsid w:val="00E43568"/>
    <w:rsid w:val="00E4525D"/>
    <w:rsid w:val="00E4529F"/>
    <w:rsid w:val="00E456D9"/>
    <w:rsid w:val="00E47250"/>
    <w:rsid w:val="00E4788D"/>
    <w:rsid w:val="00E509A6"/>
    <w:rsid w:val="00E513D9"/>
    <w:rsid w:val="00E52018"/>
    <w:rsid w:val="00E53E8C"/>
    <w:rsid w:val="00E55081"/>
    <w:rsid w:val="00E5649C"/>
    <w:rsid w:val="00E6041C"/>
    <w:rsid w:val="00E604BE"/>
    <w:rsid w:val="00E6121E"/>
    <w:rsid w:val="00E61785"/>
    <w:rsid w:val="00E62C38"/>
    <w:rsid w:val="00E62F88"/>
    <w:rsid w:val="00E6332A"/>
    <w:rsid w:val="00E63E4B"/>
    <w:rsid w:val="00E66BFE"/>
    <w:rsid w:val="00E72679"/>
    <w:rsid w:val="00E7339E"/>
    <w:rsid w:val="00E73644"/>
    <w:rsid w:val="00E73ED3"/>
    <w:rsid w:val="00E7464B"/>
    <w:rsid w:val="00E74AA4"/>
    <w:rsid w:val="00E76292"/>
    <w:rsid w:val="00E76305"/>
    <w:rsid w:val="00E76322"/>
    <w:rsid w:val="00E773D3"/>
    <w:rsid w:val="00E800BA"/>
    <w:rsid w:val="00E80ED9"/>
    <w:rsid w:val="00E80FD0"/>
    <w:rsid w:val="00E810CA"/>
    <w:rsid w:val="00E8298D"/>
    <w:rsid w:val="00E83545"/>
    <w:rsid w:val="00E840EF"/>
    <w:rsid w:val="00E858AF"/>
    <w:rsid w:val="00E902AE"/>
    <w:rsid w:val="00E915E4"/>
    <w:rsid w:val="00E93052"/>
    <w:rsid w:val="00E930E3"/>
    <w:rsid w:val="00E93364"/>
    <w:rsid w:val="00E94DF4"/>
    <w:rsid w:val="00E95180"/>
    <w:rsid w:val="00E95E0A"/>
    <w:rsid w:val="00E963BB"/>
    <w:rsid w:val="00EA037A"/>
    <w:rsid w:val="00EA06E5"/>
    <w:rsid w:val="00EA1229"/>
    <w:rsid w:val="00EA2457"/>
    <w:rsid w:val="00EA6788"/>
    <w:rsid w:val="00EA6A5C"/>
    <w:rsid w:val="00EB0678"/>
    <w:rsid w:val="00EB0A13"/>
    <w:rsid w:val="00EB204B"/>
    <w:rsid w:val="00EB2760"/>
    <w:rsid w:val="00EB3F9A"/>
    <w:rsid w:val="00EB4E3B"/>
    <w:rsid w:val="00EB7906"/>
    <w:rsid w:val="00EB7E38"/>
    <w:rsid w:val="00EC0A58"/>
    <w:rsid w:val="00EC0B36"/>
    <w:rsid w:val="00EC15E1"/>
    <w:rsid w:val="00EC3EF5"/>
    <w:rsid w:val="00EC3F04"/>
    <w:rsid w:val="00EC56A0"/>
    <w:rsid w:val="00EC6ED1"/>
    <w:rsid w:val="00EC7B9D"/>
    <w:rsid w:val="00ED014D"/>
    <w:rsid w:val="00ED0602"/>
    <w:rsid w:val="00ED099F"/>
    <w:rsid w:val="00ED2EBC"/>
    <w:rsid w:val="00ED3AA5"/>
    <w:rsid w:val="00ED46B0"/>
    <w:rsid w:val="00ED478A"/>
    <w:rsid w:val="00ED4E45"/>
    <w:rsid w:val="00ED5294"/>
    <w:rsid w:val="00ED6CB0"/>
    <w:rsid w:val="00ED7300"/>
    <w:rsid w:val="00ED7D5E"/>
    <w:rsid w:val="00ED7F57"/>
    <w:rsid w:val="00EE01C2"/>
    <w:rsid w:val="00EE1367"/>
    <w:rsid w:val="00EE2E16"/>
    <w:rsid w:val="00EE47B1"/>
    <w:rsid w:val="00EE491C"/>
    <w:rsid w:val="00EE4A8F"/>
    <w:rsid w:val="00EE4FD7"/>
    <w:rsid w:val="00EE556F"/>
    <w:rsid w:val="00EE5CE7"/>
    <w:rsid w:val="00EF0F1A"/>
    <w:rsid w:val="00EF1100"/>
    <w:rsid w:val="00EF1736"/>
    <w:rsid w:val="00EF32F6"/>
    <w:rsid w:val="00EF5082"/>
    <w:rsid w:val="00EF5E7A"/>
    <w:rsid w:val="00EF776B"/>
    <w:rsid w:val="00F006D5"/>
    <w:rsid w:val="00F00AF4"/>
    <w:rsid w:val="00F01D14"/>
    <w:rsid w:val="00F02B8D"/>
    <w:rsid w:val="00F033BA"/>
    <w:rsid w:val="00F036EC"/>
    <w:rsid w:val="00F03DD3"/>
    <w:rsid w:val="00F03EF1"/>
    <w:rsid w:val="00F04846"/>
    <w:rsid w:val="00F04AEA"/>
    <w:rsid w:val="00F050E1"/>
    <w:rsid w:val="00F06F05"/>
    <w:rsid w:val="00F07A43"/>
    <w:rsid w:val="00F11B63"/>
    <w:rsid w:val="00F131D1"/>
    <w:rsid w:val="00F13237"/>
    <w:rsid w:val="00F15764"/>
    <w:rsid w:val="00F157CE"/>
    <w:rsid w:val="00F15930"/>
    <w:rsid w:val="00F16A7F"/>
    <w:rsid w:val="00F16B20"/>
    <w:rsid w:val="00F16B27"/>
    <w:rsid w:val="00F172B4"/>
    <w:rsid w:val="00F218CE"/>
    <w:rsid w:val="00F24A53"/>
    <w:rsid w:val="00F24CB7"/>
    <w:rsid w:val="00F27038"/>
    <w:rsid w:val="00F27367"/>
    <w:rsid w:val="00F27EE2"/>
    <w:rsid w:val="00F308C5"/>
    <w:rsid w:val="00F30C2A"/>
    <w:rsid w:val="00F31B65"/>
    <w:rsid w:val="00F33155"/>
    <w:rsid w:val="00F347A5"/>
    <w:rsid w:val="00F4048A"/>
    <w:rsid w:val="00F40FAD"/>
    <w:rsid w:val="00F41737"/>
    <w:rsid w:val="00F42362"/>
    <w:rsid w:val="00F42E05"/>
    <w:rsid w:val="00F433A2"/>
    <w:rsid w:val="00F45F18"/>
    <w:rsid w:val="00F47214"/>
    <w:rsid w:val="00F50272"/>
    <w:rsid w:val="00F5042D"/>
    <w:rsid w:val="00F518E5"/>
    <w:rsid w:val="00F533C8"/>
    <w:rsid w:val="00F56B1C"/>
    <w:rsid w:val="00F62F5F"/>
    <w:rsid w:val="00F63250"/>
    <w:rsid w:val="00F6387D"/>
    <w:rsid w:val="00F650AA"/>
    <w:rsid w:val="00F651F1"/>
    <w:rsid w:val="00F653CE"/>
    <w:rsid w:val="00F6562A"/>
    <w:rsid w:val="00F65660"/>
    <w:rsid w:val="00F6584A"/>
    <w:rsid w:val="00F703CC"/>
    <w:rsid w:val="00F7155D"/>
    <w:rsid w:val="00F71599"/>
    <w:rsid w:val="00F7196E"/>
    <w:rsid w:val="00F7311C"/>
    <w:rsid w:val="00F739E3"/>
    <w:rsid w:val="00F7610B"/>
    <w:rsid w:val="00F768F6"/>
    <w:rsid w:val="00F805DD"/>
    <w:rsid w:val="00F826B8"/>
    <w:rsid w:val="00F82847"/>
    <w:rsid w:val="00F83CC2"/>
    <w:rsid w:val="00F85161"/>
    <w:rsid w:val="00F87ADE"/>
    <w:rsid w:val="00F93340"/>
    <w:rsid w:val="00F93BB9"/>
    <w:rsid w:val="00F93F1A"/>
    <w:rsid w:val="00F94DC1"/>
    <w:rsid w:val="00F95F0C"/>
    <w:rsid w:val="00FA18C0"/>
    <w:rsid w:val="00FA1BF1"/>
    <w:rsid w:val="00FA22C4"/>
    <w:rsid w:val="00FA42E3"/>
    <w:rsid w:val="00FA4367"/>
    <w:rsid w:val="00FA5351"/>
    <w:rsid w:val="00FA648C"/>
    <w:rsid w:val="00FA64D6"/>
    <w:rsid w:val="00FA65FA"/>
    <w:rsid w:val="00FA671F"/>
    <w:rsid w:val="00FA6BE9"/>
    <w:rsid w:val="00FB0CCC"/>
    <w:rsid w:val="00FB1B98"/>
    <w:rsid w:val="00FB2CE0"/>
    <w:rsid w:val="00FB378D"/>
    <w:rsid w:val="00FC45A6"/>
    <w:rsid w:val="00FC5AD0"/>
    <w:rsid w:val="00FC6740"/>
    <w:rsid w:val="00FC6811"/>
    <w:rsid w:val="00FD03DE"/>
    <w:rsid w:val="00FD1542"/>
    <w:rsid w:val="00FD17B6"/>
    <w:rsid w:val="00FD1BCA"/>
    <w:rsid w:val="00FD3424"/>
    <w:rsid w:val="00FD48C3"/>
    <w:rsid w:val="00FD55A7"/>
    <w:rsid w:val="00FD59BB"/>
    <w:rsid w:val="00FD5BDB"/>
    <w:rsid w:val="00FD5C17"/>
    <w:rsid w:val="00FD5CB4"/>
    <w:rsid w:val="00FD791A"/>
    <w:rsid w:val="00FE2421"/>
    <w:rsid w:val="00FE2C46"/>
    <w:rsid w:val="00FE40F6"/>
    <w:rsid w:val="00FE57D8"/>
    <w:rsid w:val="00FF04A1"/>
    <w:rsid w:val="00FF4469"/>
    <w:rsid w:val="00FF471B"/>
    <w:rsid w:val="00FF49D7"/>
    <w:rsid w:val="00FF4EB1"/>
    <w:rsid w:val="00FF61D5"/>
    <w:rsid w:val="00FF704D"/>
    <w:rsid w:val="00FF756D"/>
    <w:rsid w:val="00FF7B1B"/>
  </w:rsids>
  <m:mathPr>
    <m:mathFont m:val="Cambria Math"/>
    <m:brkBin m:val="before"/>
    <m:brkBinSub m:val="--"/>
    <m:smallFrac m:val="0"/>
    <m:dispDef/>
    <m:lMargin m:val="0"/>
    <m:rMargin m:val="0"/>
    <m:defJc m:val="centerGroup"/>
    <m:wrapIndent m:val="1440"/>
    <m:intLim m:val="subSup"/>
    <m:naryLim m:val="undOvr"/>
  </m:mathPr>
  <w:themeFontLang w:val="da-DK"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CE5A2AE"/>
  <w15:docId w15:val="{8CCB9A33-7C44-F142-8506-FB345FB46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47CF"/>
    <w:rPr>
      <w:lang w:val="en-US"/>
    </w:rPr>
  </w:style>
  <w:style w:type="paragraph" w:styleId="Heading1">
    <w:name w:val="heading 1"/>
    <w:basedOn w:val="Normal"/>
    <w:next w:val="Normal"/>
    <w:link w:val="Heading1Char"/>
    <w:uiPriority w:val="9"/>
    <w:qFormat/>
    <w:rsid w:val="00AE5099"/>
    <w:pPr>
      <w:keepNext/>
      <w:keepLines/>
      <w:spacing w:before="480"/>
      <w:outlineLvl w:val="0"/>
    </w:pPr>
    <w:rPr>
      <w:rFonts w:ascii="Times New Roman" w:eastAsiaTheme="majorEastAsia" w:hAnsi="Times New Roman" w:cstheme="majorBidi"/>
      <w:b/>
      <w:bCs/>
      <w:color w:val="365F91" w:themeColor="accent1" w:themeShade="BF"/>
      <w:sz w:val="27"/>
      <w:szCs w:val="28"/>
    </w:rPr>
  </w:style>
  <w:style w:type="paragraph" w:styleId="Heading2">
    <w:name w:val="heading 2"/>
    <w:basedOn w:val="Normal"/>
    <w:next w:val="Normal"/>
    <w:link w:val="Heading2Char"/>
    <w:uiPriority w:val="9"/>
    <w:unhideWhenUsed/>
    <w:qFormat/>
    <w:rsid w:val="00CD3197"/>
    <w:pPr>
      <w:keepNext/>
      <w:keepLines/>
      <w:spacing w:before="200"/>
      <w:outlineLvl w:val="1"/>
    </w:pPr>
    <w:rPr>
      <w:rFonts w:ascii="Times New Roman" w:eastAsiaTheme="majorEastAsia" w:hAnsi="Times New Roman" w:cstheme="majorBidi"/>
      <w:b/>
      <w:bCs/>
      <w:color w:val="365F91" w:themeColor="accent1" w:themeShade="BF"/>
      <w:sz w:val="27"/>
      <w:szCs w:val="26"/>
    </w:rPr>
  </w:style>
  <w:style w:type="paragraph" w:styleId="Heading3">
    <w:name w:val="heading 3"/>
    <w:basedOn w:val="Normal"/>
    <w:link w:val="Heading3Char"/>
    <w:uiPriority w:val="9"/>
    <w:qFormat/>
    <w:rsid w:val="00642440"/>
    <w:pPr>
      <w:spacing w:before="100" w:beforeAutospacing="1" w:after="100" w:afterAutospacing="1"/>
      <w:outlineLvl w:val="2"/>
    </w:pPr>
    <w:rPr>
      <w:rFonts w:ascii="Times New Roman" w:eastAsia="Times New Roman" w:hAnsi="Times New Roman" w:cs="Times New Roman"/>
      <w:b/>
      <w:bCs/>
      <w:color w:val="365F91" w:themeColor="accent1" w:themeShade="BF"/>
      <w:sz w:val="27"/>
      <w:szCs w:val="27"/>
      <w:lang w:eastAsia="da-DK"/>
    </w:rPr>
  </w:style>
  <w:style w:type="paragraph" w:styleId="Heading6">
    <w:name w:val="heading 6"/>
    <w:basedOn w:val="Normal"/>
    <w:next w:val="Normal"/>
    <w:link w:val="Heading6Char"/>
    <w:uiPriority w:val="9"/>
    <w:semiHidden/>
    <w:unhideWhenUsed/>
    <w:qFormat/>
    <w:rsid w:val="008477DB"/>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42782"/>
    <w:pPr>
      <w:autoSpaceDE w:val="0"/>
      <w:autoSpaceDN w:val="0"/>
      <w:adjustRightInd w:val="0"/>
    </w:pPr>
    <w:rPr>
      <w:rFonts w:ascii="Times New Roman" w:hAnsi="Times New Roman" w:cs="Times New Roman"/>
      <w:color w:val="000000"/>
      <w:sz w:val="24"/>
      <w:szCs w:val="24"/>
    </w:rPr>
  </w:style>
  <w:style w:type="paragraph" w:customStyle="1" w:styleId="glossary">
    <w:name w:val="glossary"/>
    <w:basedOn w:val="Default"/>
    <w:next w:val="Default"/>
    <w:uiPriority w:val="99"/>
    <w:rsid w:val="00A42782"/>
    <w:rPr>
      <w:color w:val="auto"/>
    </w:rPr>
  </w:style>
  <w:style w:type="paragraph" w:styleId="ListParagraph">
    <w:name w:val="List Paragraph"/>
    <w:basedOn w:val="Normal"/>
    <w:uiPriority w:val="34"/>
    <w:qFormat/>
    <w:rsid w:val="00A42782"/>
    <w:pPr>
      <w:ind w:left="720"/>
      <w:contextualSpacing/>
    </w:pPr>
  </w:style>
  <w:style w:type="character" w:styleId="PlaceholderText">
    <w:name w:val="Placeholder Text"/>
    <w:basedOn w:val="DefaultParagraphFont"/>
    <w:uiPriority w:val="99"/>
    <w:semiHidden/>
    <w:rsid w:val="00F172B4"/>
    <w:rPr>
      <w:color w:val="808080"/>
    </w:rPr>
  </w:style>
  <w:style w:type="paragraph" w:styleId="BalloonText">
    <w:name w:val="Balloon Text"/>
    <w:basedOn w:val="Normal"/>
    <w:link w:val="BalloonTextChar"/>
    <w:uiPriority w:val="99"/>
    <w:semiHidden/>
    <w:unhideWhenUsed/>
    <w:rsid w:val="00F172B4"/>
    <w:rPr>
      <w:rFonts w:ascii="Tahoma" w:hAnsi="Tahoma" w:cs="Tahoma"/>
      <w:sz w:val="16"/>
      <w:szCs w:val="16"/>
    </w:rPr>
  </w:style>
  <w:style w:type="character" w:customStyle="1" w:styleId="BalloonTextChar">
    <w:name w:val="Balloon Text Char"/>
    <w:basedOn w:val="DefaultParagraphFont"/>
    <w:link w:val="BalloonText"/>
    <w:uiPriority w:val="99"/>
    <w:semiHidden/>
    <w:rsid w:val="00F172B4"/>
    <w:rPr>
      <w:rFonts w:ascii="Tahoma" w:hAnsi="Tahoma" w:cs="Tahoma"/>
      <w:sz w:val="16"/>
      <w:szCs w:val="16"/>
    </w:rPr>
  </w:style>
  <w:style w:type="paragraph" w:styleId="ListBullet">
    <w:name w:val="List Bullet"/>
    <w:basedOn w:val="Default"/>
    <w:next w:val="Default"/>
    <w:uiPriority w:val="99"/>
    <w:rsid w:val="004328E5"/>
    <w:rPr>
      <w:color w:val="auto"/>
    </w:rPr>
  </w:style>
  <w:style w:type="paragraph" w:customStyle="1" w:styleId="A-Unassigned">
    <w:name w:val="A-Unassigned"/>
    <w:basedOn w:val="Default"/>
    <w:next w:val="Default"/>
    <w:uiPriority w:val="99"/>
    <w:rsid w:val="004328E5"/>
    <w:rPr>
      <w:color w:val="auto"/>
    </w:rPr>
  </w:style>
  <w:style w:type="character" w:styleId="CommentReference">
    <w:name w:val="annotation reference"/>
    <w:basedOn w:val="DefaultParagraphFont"/>
    <w:uiPriority w:val="99"/>
    <w:semiHidden/>
    <w:unhideWhenUsed/>
    <w:rsid w:val="00CD5E00"/>
    <w:rPr>
      <w:sz w:val="16"/>
      <w:szCs w:val="16"/>
    </w:rPr>
  </w:style>
  <w:style w:type="paragraph" w:styleId="CommentText">
    <w:name w:val="annotation text"/>
    <w:basedOn w:val="Normal"/>
    <w:link w:val="CommentTextChar"/>
    <w:uiPriority w:val="99"/>
    <w:unhideWhenUsed/>
    <w:rsid w:val="00CD5E00"/>
    <w:rPr>
      <w:sz w:val="20"/>
      <w:szCs w:val="20"/>
    </w:rPr>
  </w:style>
  <w:style w:type="character" w:customStyle="1" w:styleId="CommentTextChar">
    <w:name w:val="Comment Text Char"/>
    <w:basedOn w:val="DefaultParagraphFont"/>
    <w:link w:val="CommentText"/>
    <w:uiPriority w:val="99"/>
    <w:rsid w:val="00CD5E00"/>
    <w:rPr>
      <w:sz w:val="20"/>
      <w:szCs w:val="20"/>
    </w:rPr>
  </w:style>
  <w:style w:type="paragraph" w:styleId="CommentSubject">
    <w:name w:val="annotation subject"/>
    <w:basedOn w:val="CommentText"/>
    <w:next w:val="CommentText"/>
    <w:link w:val="CommentSubjectChar"/>
    <w:uiPriority w:val="99"/>
    <w:semiHidden/>
    <w:unhideWhenUsed/>
    <w:rsid w:val="00CD5E00"/>
    <w:rPr>
      <w:b/>
      <w:bCs/>
    </w:rPr>
  </w:style>
  <w:style w:type="character" w:customStyle="1" w:styleId="CommentSubjectChar">
    <w:name w:val="Comment Subject Char"/>
    <w:basedOn w:val="CommentTextChar"/>
    <w:link w:val="CommentSubject"/>
    <w:uiPriority w:val="99"/>
    <w:semiHidden/>
    <w:rsid w:val="00CD5E00"/>
    <w:rPr>
      <w:b/>
      <w:bCs/>
      <w:sz w:val="20"/>
      <w:szCs w:val="20"/>
    </w:rPr>
  </w:style>
  <w:style w:type="paragraph" w:styleId="Header">
    <w:name w:val="header"/>
    <w:basedOn w:val="Normal"/>
    <w:link w:val="HeaderChar"/>
    <w:uiPriority w:val="99"/>
    <w:unhideWhenUsed/>
    <w:rsid w:val="00135EE1"/>
    <w:pPr>
      <w:tabs>
        <w:tab w:val="center" w:pos="4819"/>
        <w:tab w:val="right" w:pos="9638"/>
      </w:tabs>
    </w:pPr>
  </w:style>
  <w:style w:type="character" w:customStyle="1" w:styleId="HeaderChar">
    <w:name w:val="Header Char"/>
    <w:basedOn w:val="DefaultParagraphFont"/>
    <w:link w:val="Header"/>
    <w:uiPriority w:val="99"/>
    <w:rsid w:val="00135EE1"/>
  </w:style>
  <w:style w:type="paragraph" w:styleId="Footer">
    <w:name w:val="footer"/>
    <w:basedOn w:val="Normal"/>
    <w:link w:val="FooterChar"/>
    <w:uiPriority w:val="99"/>
    <w:unhideWhenUsed/>
    <w:rsid w:val="00135EE1"/>
    <w:pPr>
      <w:tabs>
        <w:tab w:val="center" w:pos="4819"/>
        <w:tab w:val="right" w:pos="9638"/>
      </w:tabs>
    </w:pPr>
  </w:style>
  <w:style w:type="character" w:customStyle="1" w:styleId="FooterChar">
    <w:name w:val="Footer Char"/>
    <w:basedOn w:val="DefaultParagraphFont"/>
    <w:link w:val="Footer"/>
    <w:uiPriority w:val="99"/>
    <w:rsid w:val="00135EE1"/>
  </w:style>
  <w:style w:type="character" w:customStyle="1" w:styleId="st1">
    <w:name w:val="st1"/>
    <w:basedOn w:val="DefaultParagraphFont"/>
    <w:rsid w:val="006E46D5"/>
  </w:style>
  <w:style w:type="character" w:customStyle="1" w:styleId="Heading3Char">
    <w:name w:val="Heading 3 Char"/>
    <w:basedOn w:val="DefaultParagraphFont"/>
    <w:link w:val="Heading3"/>
    <w:uiPriority w:val="9"/>
    <w:rsid w:val="00642440"/>
    <w:rPr>
      <w:rFonts w:ascii="Times New Roman" w:eastAsia="Times New Roman" w:hAnsi="Times New Roman" w:cs="Times New Roman"/>
      <w:b/>
      <w:bCs/>
      <w:color w:val="365F91" w:themeColor="accent1" w:themeShade="BF"/>
      <w:sz w:val="27"/>
      <w:szCs w:val="27"/>
      <w:lang w:val="en-US" w:eastAsia="da-DK"/>
    </w:rPr>
  </w:style>
  <w:style w:type="paragraph" w:styleId="NormalWeb">
    <w:name w:val="Normal (Web)"/>
    <w:basedOn w:val="Normal"/>
    <w:uiPriority w:val="99"/>
    <w:unhideWhenUsed/>
    <w:rsid w:val="00FD791A"/>
    <w:pPr>
      <w:spacing w:before="100" w:beforeAutospacing="1" w:after="100" w:afterAutospacing="1"/>
    </w:pPr>
    <w:rPr>
      <w:rFonts w:ascii="Times New Roman" w:eastAsia="Times New Roman" w:hAnsi="Times New Roman" w:cs="Times New Roman"/>
      <w:sz w:val="24"/>
      <w:szCs w:val="24"/>
      <w:lang w:eastAsia="da-DK"/>
    </w:rPr>
  </w:style>
  <w:style w:type="character" w:styleId="Hyperlink">
    <w:name w:val="Hyperlink"/>
    <w:basedOn w:val="DefaultParagraphFont"/>
    <w:uiPriority w:val="99"/>
    <w:unhideWhenUsed/>
    <w:rsid w:val="00B25B60"/>
    <w:rPr>
      <w:color w:val="0000FF"/>
      <w:u w:val="single"/>
    </w:rPr>
  </w:style>
  <w:style w:type="character" w:customStyle="1" w:styleId="apple-converted-space">
    <w:name w:val="apple-converted-space"/>
    <w:basedOn w:val="DefaultParagraphFont"/>
    <w:rsid w:val="00630F46"/>
  </w:style>
  <w:style w:type="character" w:customStyle="1" w:styleId="apple-style-span">
    <w:name w:val="apple-style-span"/>
    <w:basedOn w:val="DefaultParagraphFont"/>
    <w:rsid w:val="009E5CFD"/>
  </w:style>
  <w:style w:type="character" w:customStyle="1" w:styleId="Heading1Char">
    <w:name w:val="Heading 1 Char"/>
    <w:basedOn w:val="DefaultParagraphFont"/>
    <w:link w:val="Heading1"/>
    <w:uiPriority w:val="9"/>
    <w:rsid w:val="00AE5099"/>
    <w:rPr>
      <w:rFonts w:ascii="Times New Roman" w:eastAsiaTheme="majorEastAsia" w:hAnsi="Times New Roman" w:cstheme="majorBidi"/>
      <w:b/>
      <w:bCs/>
      <w:color w:val="365F91" w:themeColor="accent1" w:themeShade="BF"/>
      <w:sz w:val="27"/>
      <w:szCs w:val="28"/>
      <w:lang w:val="en-US"/>
    </w:rPr>
  </w:style>
  <w:style w:type="character" w:styleId="LineNumber">
    <w:name w:val="line number"/>
    <w:basedOn w:val="DefaultParagraphFont"/>
    <w:uiPriority w:val="99"/>
    <w:semiHidden/>
    <w:unhideWhenUsed/>
    <w:rsid w:val="00E7464B"/>
  </w:style>
  <w:style w:type="table" w:styleId="TableGrid">
    <w:name w:val="Table Grid"/>
    <w:basedOn w:val="TableNormal"/>
    <w:uiPriority w:val="59"/>
    <w:rsid w:val="00E7464B"/>
    <w:rPr>
      <w:rFonts w:eastAsiaTheme="minorEastAsia"/>
      <w:sz w:val="24"/>
      <w:szCs w:val="24"/>
      <w:lang w:eastAsia="da-D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
    <w:name w:val="TableText"/>
    <w:basedOn w:val="Normal"/>
    <w:next w:val="Normal"/>
    <w:uiPriority w:val="99"/>
    <w:rsid w:val="00E7464B"/>
    <w:pPr>
      <w:autoSpaceDE w:val="0"/>
      <w:autoSpaceDN w:val="0"/>
      <w:adjustRightInd w:val="0"/>
    </w:pPr>
    <w:rPr>
      <w:rFonts w:ascii="Times New Roman" w:eastAsiaTheme="minorEastAsia" w:hAnsi="Times New Roman" w:cs="Times New Roman"/>
      <w:sz w:val="24"/>
      <w:szCs w:val="24"/>
      <w:lang w:val="da-DK" w:eastAsia="da-DK"/>
    </w:rPr>
  </w:style>
  <w:style w:type="paragraph" w:styleId="EndnoteText">
    <w:name w:val="endnote text"/>
    <w:basedOn w:val="Normal"/>
    <w:link w:val="EndnoteTextChar"/>
    <w:uiPriority w:val="99"/>
    <w:unhideWhenUsed/>
    <w:rsid w:val="00E7464B"/>
    <w:rPr>
      <w:rFonts w:eastAsiaTheme="minorEastAsia"/>
      <w:sz w:val="20"/>
      <w:szCs w:val="20"/>
      <w:lang w:val="da-DK" w:eastAsia="da-DK"/>
    </w:rPr>
  </w:style>
  <w:style w:type="character" w:customStyle="1" w:styleId="EndnoteTextChar">
    <w:name w:val="Endnote Text Char"/>
    <w:basedOn w:val="DefaultParagraphFont"/>
    <w:link w:val="EndnoteText"/>
    <w:uiPriority w:val="99"/>
    <w:rsid w:val="00E7464B"/>
    <w:rPr>
      <w:rFonts w:eastAsiaTheme="minorEastAsia"/>
      <w:sz w:val="20"/>
      <w:szCs w:val="20"/>
      <w:lang w:eastAsia="da-DK"/>
    </w:rPr>
  </w:style>
  <w:style w:type="character" w:styleId="EndnoteReference">
    <w:name w:val="endnote reference"/>
    <w:basedOn w:val="DefaultParagraphFont"/>
    <w:uiPriority w:val="99"/>
    <w:semiHidden/>
    <w:unhideWhenUsed/>
    <w:rsid w:val="00E7464B"/>
    <w:rPr>
      <w:vertAlign w:val="superscript"/>
    </w:rPr>
  </w:style>
  <w:style w:type="paragraph" w:styleId="Revision">
    <w:name w:val="Revision"/>
    <w:hidden/>
    <w:uiPriority w:val="99"/>
    <w:semiHidden/>
    <w:rsid w:val="002926BB"/>
    <w:rPr>
      <w:lang w:val="en-US"/>
    </w:rPr>
  </w:style>
  <w:style w:type="character" w:customStyle="1" w:styleId="Heading2Char">
    <w:name w:val="Heading 2 Char"/>
    <w:basedOn w:val="DefaultParagraphFont"/>
    <w:link w:val="Heading2"/>
    <w:uiPriority w:val="9"/>
    <w:rsid w:val="00CD3197"/>
    <w:rPr>
      <w:rFonts w:ascii="Times New Roman" w:eastAsiaTheme="majorEastAsia" w:hAnsi="Times New Roman" w:cstheme="majorBidi"/>
      <w:b/>
      <w:bCs/>
      <w:color w:val="365F91" w:themeColor="accent1" w:themeShade="BF"/>
      <w:sz w:val="27"/>
      <w:szCs w:val="26"/>
      <w:lang w:val="en-US"/>
    </w:rPr>
  </w:style>
  <w:style w:type="paragraph" w:styleId="Title">
    <w:name w:val="Title"/>
    <w:basedOn w:val="Normal"/>
    <w:next w:val="Normal"/>
    <w:link w:val="TitleChar"/>
    <w:uiPriority w:val="10"/>
    <w:qFormat/>
    <w:rsid w:val="00D02E64"/>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02E64"/>
    <w:rPr>
      <w:rFonts w:asciiTheme="majorHAnsi" w:eastAsiaTheme="majorEastAsia" w:hAnsiTheme="majorHAnsi" w:cstheme="majorBidi"/>
      <w:color w:val="17365D" w:themeColor="text2" w:themeShade="BF"/>
      <w:spacing w:val="5"/>
      <w:kern w:val="28"/>
      <w:sz w:val="52"/>
      <w:szCs w:val="52"/>
      <w:lang w:val="en-US"/>
    </w:rPr>
  </w:style>
  <w:style w:type="paragraph" w:styleId="Subtitle">
    <w:name w:val="Subtitle"/>
    <w:basedOn w:val="Normal"/>
    <w:next w:val="Normal"/>
    <w:link w:val="SubtitleChar"/>
    <w:uiPriority w:val="11"/>
    <w:qFormat/>
    <w:rsid w:val="00D02E64"/>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D02E64"/>
    <w:rPr>
      <w:rFonts w:asciiTheme="majorHAnsi" w:eastAsiaTheme="majorEastAsia" w:hAnsiTheme="majorHAnsi" w:cstheme="majorBidi"/>
      <w:i/>
      <w:iCs/>
      <w:color w:val="4F81BD" w:themeColor="accent1"/>
      <w:spacing w:val="15"/>
      <w:sz w:val="24"/>
      <w:szCs w:val="24"/>
      <w:lang w:val="en-US"/>
    </w:rPr>
  </w:style>
  <w:style w:type="paragraph" w:styleId="TOCHeading">
    <w:name w:val="TOC Heading"/>
    <w:basedOn w:val="Heading1"/>
    <w:next w:val="Normal"/>
    <w:uiPriority w:val="39"/>
    <w:semiHidden/>
    <w:unhideWhenUsed/>
    <w:qFormat/>
    <w:rsid w:val="0025525B"/>
    <w:pPr>
      <w:spacing w:line="276" w:lineRule="auto"/>
      <w:outlineLvl w:val="9"/>
    </w:pPr>
    <w:rPr>
      <w:lang w:val="da-DK"/>
    </w:rPr>
  </w:style>
  <w:style w:type="paragraph" w:styleId="TOC1">
    <w:name w:val="toc 1"/>
    <w:basedOn w:val="Normal"/>
    <w:next w:val="Normal"/>
    <w:autoRedefine/>
    <w:uiPriority w:val="39"/>
    <w:unhideWhenUsed/>
    <w:rsid w:val="0025525B"/>
    <w:pPr>
      <w:spacing w:after="100"/>
    </w:pPr>
  </w:style>
  <w:style w:type="paragraph" w:styleId="TOC2">
    <w:name w:val="toc 2"/>
    <w:basedOn w:val="Normal"/>
    <w:next w:val="Normal"/>
    <w:autoRedefine/>
    <w:uiPriority w:val="39"/>
    <w:unhideWhenUsed/>
    <w:rsid w:val="00832E1F"/>
    <w:pPr>
      <w:spacing w:after="100"/>
      <w:ind w:left="220"/>
    </w:pPr>
  </w:style>
  <w:style w:type="paragraph" w:styleId="TOC3">
    <w:name w:val="toc 3"/>
    <w:basedOn w:val="Normal"/>
    <w:next w:val="Normal"/>
    <w:autoRedefine/>
    <w:uiPriority w:val="39"/>
    <w:unhideWhenUsed/>
    <w:rsid w:val="00A34A0B"/>
    <w:pPr>
      <w:spacing w:after="100"/>
      <w:ind w:left="440"/>
    </w:pPr>
  </w:style>
  <w:style w:type="character" w:customStyle="1" w:styleId="Heading6Char">
    <w:name w:val="Heading 6 Char"/>
    <w:basedOn w:val="DefaultParagraphFont"/>
    <w:link w:val="Heading6"/>
    <w:uiPriority w:val="9"/>
    <w:semiHidden/>
    <w:rsid w:val="008477DB"/>
    <w:rPr>
      <w:rFonts w:asciiTheme="majorHAnsi" w:eastAsiaTheme="majorEastAsia" w:hAnsiTheme="majorHAnsi" w:cstheme="majorBidi"/>
      <w:i/>
      <w:iCs/>
      <w:color w:val="243F60" w:themeColor="accent1" w:themeShade="7F"/>
      <w:lang w:val="en-US"/>
    </w:rPr>
  </w:style>
  <w:style w:type="paragraph" w:styleId="BodyText">
    <w:name w:val="Body Text"/>
    <w:aliases w:val="Body Text Char1 Char,Body Text Char Char Char,Char1 Char Char Char1,Body Text Char2 Char Char Char,Body Text Char1 Char Char Char Char,Body Text Char Char Char Char Char Char,Body Text Char1 Char Char1 Char Char Char Char"/>
    <w:basedOn w:val="Normal"/>
    <w:link w:val="BodyTextChar"/>
    <w:uiPriority w:val="99"/>
    <w:rsid w:val="00CE6AFA"/>
    <w:pPr>
      <w:spacing w:after="240" w:line="264" w:lineRule="auto"/>
    </w:pPr>
    <w:rPr>
      <w:rFonts w:ascii="Times New Roman" w:eastAsia="MS ??" w:hAnsi="Times New Roman" w:cs="Times New Roman"/>
      <w:sz w:val="24"/>
      <w:szCs w:val="24"/>
      <w:lang w:val="en-GB"/>
    </w:rPr>
  </w:style>
  <w:style w:type="character" w:customStyle="1" w:styleId="BodyTextChar">
    <w:name w:val="Body Text Char"/>
    <w:aliases w:val="Body Text Char1 Char Char,Body Text Char Char Char Char,Char1 Char Char Char1 Char,Body Text Char2 Char Char Char Char,Body Text Char1 Char Char Char Char Char,Body Text Char Char Char Char Char Char Char"/>
    <w:basedOn w:val="DefaultParagraphFont"/>
    <w:link w:val="BodyText"/>
    <w:uiPriority w:val="99"/>
    <w:rsid w:val="00CE6AFA"/>
    <w:rPr>
      <w:rFonts w:ascii="Times New Roman" w:eastAsia="MS ??" w:hAnsi="Times New Roman" w:cs="Times New Roman"/>
      <w:sz w:val="24"/>
      <w:szCs w:val="24"/>
      <w:lang w:val="en-GB"/>
    </w:rPr>
  </w:style>
  <w:style w:type="character" w:styleId="Emphasis">
    <w:name w:val="Emphasis"/>
    <w:basedOn w:val="DefaultParagraphFont"/>
    <w:uiPriority w:val="20"/>
    <w:qFormat/>
    <w:rsid w:val="005B16D7"/>
    <w:rPr>
      <w:i/>
      <w:iCs/>
    </w:rPr>
  </w:style>
  <w:style w:type="table" w:styleId="MediumShading1-Accent2">
    <w:name w:val="Medium Shading 1 Accent 2"/>
    <w:basedOn w:val="TableNormal"/>
    <w:uiPriority w:val="63"/>
    <w:rsid w:val="00E34F0C"/>
    <w:rPr>
      <w:rFonts w:eastAsiaTheme="majorEastAsia"/>
      <w:sz w:val="24"/>
      <w:szCs w:val="24"/>
      <w:lang w:eastAsia="da-DK"/>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customStyle="1" w:styleId="Tabelgitter-lys1">
    <w:name w:val="Tabelgitter - lys1"/>
    <w:basedOn w:val="TableNormal"/>
    <w:uiPriority w:val="40"/>
    <w:rsid w:val="00E34F0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Gittertabel1-lys1">
    <w:name w:val="Gittertabel 1 - lys1"/>
    <w:basedOn w:val="TableNormal"/>
    <w:uiPriority w:val="46"/>
    <w:rsid w:val="00E34F0C"/>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FollowedHyperlink">
    <w:name w:val="FollowedHyperlink"/>
    <w:basedOn w:val="DefaultParagraphFont"/>
    <w:uiPriority w:val="99"/>
    <w:semiHidden/>
    <w:unhideWhenUsed/>
    <w:rsid w:val="001B297B"/>
    <w:rPr>
      <w:color w:val="800080" w:themeColor="followedHyperlink"/>
      <w:u w:val="single"/>
    </w:rPr>
  </w:style>
  <w:style w:type="character" w:styleId="UnresolvedMention">
    <w:name w:val="Unresolved Mention"/>
    <w:basedOn w:val="DefaultParagraphFont"/>
    <w:uiPriority w:val="99"/>
    <w:semiHidden/>
    <w:unhideWhenUsed/>
    <w:rsid w:val="001B297B"/>
    <w:rPr>
      <w:color w:val="605E5C"/>
      <w:shd w:val="clear" w:color="auto" w:fill="E1DFDD"/>
    </w:rPr>
  </w:style>
  <w:style w:type="character" w:styleId="Strong">
    <w:name w:val="Strong"/>
    <w:basedOn w:val="DefaultParagraphFont"/>
    <w:uiPriority w:val="22"/>
    <w:qFormat/>
    <w:rsid w:val="0018638E"/>
    <w:rPr>
      <w:b/>
      <w:bCs/>
    </w:rPr>
  </w:style>
  <w:style w:type="character" w:styleId="PageNumber">
    <w:name w:val="page number"/>
    <w:basedOn w:val="DefaultParagraphFont"/>
    <w:uiPriority w:val="99"/>
    <w:semiHidden/>
    <w:unhideWhenUsed/>
    <w:rsid w:val="008E7E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78267">
      <w:bodyDiv w:val="1"/>
      <w:marLeft w:val="0"/>
      <w:marRight w:val="0"/>
      <w:marTop w:val="0"/>
      <w:marBottom w:val="0"/>
      <w:divBdr>
        <w:top w:val="none" w:sz="0" w:space="0" w:color="auto"/>
        <w:left w:val="none" w:sz="0" w:space="0" w:color="auto"/>
        <w:bottom w:val="none" w:sz="0" w:space="0" w:color="auto"/>
        <w:right w:val="none" w:sz="0" w:space="0" w:color="auto"/>
      </w:divBdr>
      <w:divsChild>
        <w:div w:id="1388920793">
          <w:marLeft w:val="0"/>
          <w:marRight w:val="0"/>
          <w:marTop w:val="0"/>
          <w:marBottom w:val="0"/>
          <w:divBdr>
            <w:top w:val="none" w:sz="0" w:space="0" w:color="auto"/>
            <w:left w:val="none" w:sz="0" w:space="0" w:color="auto"/>
            <w:bottom w:val="none" w:sz="0" w:space="0" w:color="auto"/>
            <w:right w:val="none" w:sz="0" w:space="0" w:color="auto"/>
          </w:divBdr>
          <w:divsChild>
            <w:div w:id="1092779482">
              <w:marLeft w:val="0"/>
              <w:marRight w:val="0"/>
              <w:marTop w:val="0"/>
              <w:marBottom w:val="0"/>
              <w:divBdr>
                <w:top w:val="none" w:sz="0" w:space="0" w:color="auto"/>
                <w:left w:val="none" w:sz="0" w:space="0" w:color="auto"/>
                <w:bottom w:val="none" w:sz="0" w:space="0" w:color="auto"/>
                <w:right w:val="none" w:sz="0" w:space="0" w:color="auto"/>
              </w:divBdr>
              <w:divsChild>
                <w:div w:id="575239785">
                  <w:marLeft w:val="0"/>
                  <w:marRight w:val="0"/>
                  <w:marTop w:val="0"/>
                  <w:marBottom w:val="0"/>
                  <w:divBdr>
                    <w:top w:val="none" w:sz="0" w:space="0" w:color="auto"/>
                    <w:left w:val="none" w:sz="0" w:space="0" w:color="auto"/>
                    <w:bottom w:val="none" w:sz="0" w:space="0" w:color="auto"/>
                    <w:right w:val="none" w:sz="0" w:space="0" w:color="auto"/>
                  </w:divBdr>
                  <w:divsChild>
                    <w:div w:id="502554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7445">
      <w:bodyDiv w:val="1"/>
      <w:marLeft w:val="0"/>
      <w:marRight w:val="0"/>
      <w:marTop w:val="0"/>
      <w:marBottom w:val="0"/>
      <w:divBdr>
        <w:top w:val="none" w:sz="0" w:space="0" w:color="auto"/>
        <w:left w:val="none" w:sz="0" w:space="0" w:color="auto"/>
        <w:bottom w:val="none" w:sz="0" w:space="0" w:color="auto"/>
        <w:right w:val="none" w:sz="0" w:space="0" w:color="auto"/>
      </w:divBdr>
    </w:div>
    <w:div w:id="13966640">
      <w:bodyDiv w:val="1"/>
      <w:marLeft w:val="0"/>
      <w:marRight w:val="0"/>
      <w:marTop w:val="0"/>
      <w:marBottom w:val="0"/>
      <w:divBdr>
        <w:top w:val="none" w:sz="0" w:space="0" w:color="auto"/>
        <w:left w:val="none" w:sz="0" w:space="0" w:color="auto"/>
        <w:bottom w:val="none" w:sz="0" w:space="0" w:color="auto"/>
        <w:right w:val="none" w:sz="0" w:space="0" w:color="auto"/>
      </w:divBdr>
    </w:div>
    <w:div w:id="15742916">
      <w:bodyDiv w:val="1"/>
      <w:marLeft w:val="0"/>
      <w:marRight w:val="0"/>
      <w:marTop w:val="0"/>
      <w:marBottom w:val="0"/>
      <w:divBdr>
        <w:top w:val="none" w:sz="0" w:space="0" w:color="auto"/>
        <w:left w:val="none" w:sz="0" w:space="0" w:color="auto"/>
        <w:bottom w:val="none" w:sz="0" w:space="0" w:color="auto"/>
        <w:right w:val="none" w:sz="0" w:space="0" w:color="auto"/>
      </w:divBdr>
    </w:div>
    <w:div w:id="24184556">
      <w:bodyDiv w:val="1"/>
      <w:marLeft w:val="0"/>
      <w:marRight w:val="0"/>
      <w:marTop w:val="0"/>
      <w:marBottom w:val="0"/>
      <w:divBdr>
        <w:top w:val="none" w:sz="0" w:space="0" w:color="auto"/>
        <w:left w:val="none" w:sz="0" w:space="0" w:color="auto"/>
        <w:bottom w:val="none" w:sz="0" w:space="0" w:color="auto"/>
        <w:right w:val="none" w:sz="0" w:space="0" w:color="auto"/>
      </w:divBdr>
    </w:div>
    <w:div w:id="31155145">
      <w:bodyDiv w:val="1"/>
      <w:marLeft w:val="0"/>
      <w:marRight w:val="0"/>
      <w:marTop w:val="0"/>
      <w:marBottom w:val="0"/>
      <w:divBdr>
        <w:top w:val="none" w:sz="0" w:space="0" w:color="auto"/>
        <w:left w:val="none" w:sz="0" w:space="0" w:color="auto"/>
        <w:bottom w:val="none" w:sz="0" w:space="0" w:color="auto"/>
        <w:right w:val="none" w:sz="0" w:space="0" w:color="auto"/>
      </w:divBdr>
    </w:div>
    <w:div w:id="36783610">
      <w:bodyDiv w:val="1"/>
      <w:marLeft w:val="0"/>
      <w:marRight w:val="0"/>
      <w:marTop w:val="0"/>
      <w:marBottom w:val="0"/>
      <w:divBdr>
        <w:top w:val="none" w:sz="0" w:space="0" w:color="auto"/>
        <w:left w:val="none" w:sz="0" w:space="0" w:color="auto"/>
        <w:bottom w:val="none" w:sz="0" w:space="0" w:color="auto"/>
        <w:right w:val="none" w:sz="0" w:space="0" w:color="auto"/>
      </w:divBdr>
    </w:div>
    <w:div w:id="39208026">
      <w:bodyDiv w:val="1"/>
      <w:marLeft w:val="0"/>
      <w:marRight w:val="0"/>
      <w:marTop w:val="0"/>
      <w:marBottom w:val="0"/>
      <w:divBdr>
        <w:top w:val="none" w:sz="0" w:space="0" w:color="auto"/>
        <w:left w:val="none" w:sz="0" w:space="0" w:color="auto"/>
        <w:bottom w:val="none" w:sz="0" w:space="0" w:color="auto"/>
        <w:right w:val="none" w:sz="0" w:space="0" w:color="auto"/>
      </w:divBdr>
    </w:div>
    <w:div w:id="41177747">
      <w:bodyDiv w:val="1"/>
      <w:marLeft w:val="0"/>
      <w:marRight w:val="0"/>
      <w:marTop w:val="0"/>
      <w:marBottom w:val="0"/>
      <w:divBdr>
        <w:top w:val="none" w:sz="0" w:space="0" w:color="auto"/>
        <w:left w:val="none" w:sz="0" w:space="0" w:color="auto"/>
        <w:bottom w:val="none" w:sz="0" w:space="0" w:color="auto"/>
        <w:right w:val="none" w:sz="0" w:space="0" w:color="auto"/>
      </w:divBdr>
    </w:div>
    <w:div w:id="56172855">
      <w:bodyDiv w:val="1"/>
      <w:marLeft w:val="0"/>
      <w:marRight w:val="0"/>
      <w:marTop w:val="0"/>
      <w:marBottom w:val="0"/>
      <w:divBdr>
        <w:top w:val="none" w:sz="0" w:space="0" w:color="auto"/>
        <w:left w:val="none" w:sz="0" w:space="0" w:color="auto"/>
        <w:bottom w:val="none" w:sz="0" w:space="0" w:color="auto"/>
        <w:right w:val="none" w:sz="0" w:space="0" w:color="auto"/>
      </w:divBdr>
    </w:div>
    <w:div w:id="61372563">
      <w:bodyDiv w:val="1"/>
      <w:marLeft w:val="0"/>
      <w:marRight w:val="0"/>
      <w:marTop w:val="0"/>
      <w:marBottom w:val="0"/>
      <w:divBdr>
        <w:top w:val="none" w:sz="0" w:space="0" w:color="auto"/>
        <w:left w:val="none" w:sz="0" w:space="0" w:color="auto"/>
        <w:bottom w:val="none" w:sz="0" w:space="0" w:color="auto"/>
        <w:right w:val="none" w:sz="0" w:space="0" w:color="auto"/>
      </w:divBdr>
    </w:div>
    <w:div w:id="64766756">
      <w:bodyDiv w:val="1"/>
      <w:marLeft w:val="0"/>
      <w:marRight w:val="0"/>
      <w:marTop w:val="0"/>
      <w:marBottom w:val="0"/>
      <w:divBdr>
        <w:top w:val="none" w:sz="0" w:space="0" w:color="auto"/>
        <w:left w:val="none" w:sz="0" w:space="0" w:color="auto"/>
        <w:bottom w:val="none" w:sz="0" w:space="0" w:color="auto"/>
        <w:right w:val="none" w:sz="0" w:space="0" w:color="auto"/>
      </w:divBdr>
    </w:div>
    <w:div w:id="77212068">
      <w:bodyDiv w:val="1"/>
      <w:marLeft w:val="0"/>
      <w:marRight w:val="0"/>
      <w:marTop w:val="0"/>
      <w:marBottom w:val="0"/>
      <w:divBdr>
        <w:top w:val="none" w:sz="0" w:space="0" w:color="auto"/>
        <w:left w:val="none" w:sz="0" w:space="0" w:color="auto"/>
        <w:bottom w:val="none" w:sz="0" w:space="0" w:color="auto"/>
        <w:right w:val="none" w:sz="0" w:space="0" w:color="auto"/>
      </w:divBdr>
    </w:div>
    <w:div w:id="77823582">
      <w:bodyDiv w:val="1"/>
      <w:marLeft w:val="0"/>
      <w:marRight w:val="0"/>
      <w:marTop w:val="0"/>
      <w:marBottom w:val="0"/>
      <w:divBdr>
        <w:top w:val="none" w:sz="0" w:space="0" w:color="auto"/>
        <w:left w:val="none" w:sz="0" w:space="0" w:color="auto"/>
        <w:bottom w:val="none" w:sz="0" w:space="0" w:color="auto"/>
        <w:right w:val="none" w:sz="0" w:space="0" w:color="auto"/>
      </w:divBdr>
    </w:div>
    <w:div w:id="78453756">
      <w:bodyDiv w:val="1"/>
      <w:marLeft w:val="0"/>
      <w:marRight w:val="0"/>
      <w:marTop w:val="0"/>
      <w:marBottom w:val="0"/>
      <w:divBdr>
        <w:top w:val="none" w:sz="0" w:space="0" w:color="auto"/>
        <w:left w:val="none" w:sz="0" w:space="0" w:color="auto"/>
        <w:bottom w:val="none" w:sz="0" w:space="0" w:color="auto"/>
        <w:right w:val="none" w:sz="0" w:space="0" w:color="auto"/>
      </w:divBdr>
    </w:div>
    <w:div w:id="79640298">
      <w:bodyDiv w:val="1"/>
      <w:marLeft w:val="0"/>
      <w:marRight w:val="0"/>
      <w:marTop w:val="0"/>
      <w:marBottom w:val="0"/>
      <w:divBdr>
        <w:top w:val="none" w:sz="0" w:space="0" w:color="auto"/>
        <w:left w:val="none" w:sz="0" w:space="0" w:color="auto"/>
        <w:bottom w:val="none" w:sz="0" w:space="0" w:color="auto"/>
        <w:right w:val="none" w:sz="0" w:space="0" w:color="auto"/>
      </w:divBdr>
    </w:div>
    <w:div w:id="80571588">
      <w:bodyDiv w:val="1"/>
      <w:marLeft w:val="0"/>
      <w:marRight w:val="0"/>
      <w:marTop w:val="0"/>
      <w:marBottom w:val="0"/>
      <w:divBdr>
        <w:top w:val="none" w:sz="0" w:space="0" w:color="auto"/>
        <w:left w:val="none" w:sz="0" w:space="0" w:color="auto"/>
        <w:bottom w:val="none" w:sz="0" w:space="0" w:color="auto"/>
        <w:right w:val="none" w:sz="0" w:space="0" w:color="auto"/>
      </w:divBdr>
    </w:div>
    <w:div w:id="91167431">
      <w:bodyDiv w:val="1"/>
      <w:marLeft w:val="0"/>
      <w:marRight w:val="0"/>
      <w:marTop w:val="0"/>
      <w:marBottom w:val="0"/>
      <w:divBdr>
        <w:top w:val="none" w:sz="0" w:space="0" w:color="auto"/>
        <w:left w:val="none" w:sz="0" w:space="0" w:color="auto"/>
        <w:bottom w:val="none" w:sz="0" w:space="0" w:color="auto"/>
        <w:right w:val="none" w:sz="0" w:space="0" w:color="auto"/>
      </w:divBdr>
    </w:div>
    <w:div w:id="91978626">
      <w:bodyDiv w:val="1"/>
      <w:marLeft w:val="0"/>
      <w:marRight w:val="0"/>
      <w:marTop w:val="0"/>
      <w:marBottom w:val="0"/>
      <w:divBdr>
        <w:top w:val="none" w:sz="0" w:space="0" w:color="auto"/>
        <w:left w:val="none" w:sz="0" w:space="0" w:color="auto"/>
        <w:bottom w:val="none" w:sz="0" w:space="0" w:color="auto"/>
        <w:right w:val="none" w:sz="0" w:space="0" w:color="auto"/>
      </w:divBdr>
    </w:div>
    <w:div w:id="92945328">
      <w:bodyDiv w:val="1"/>
      <w:marLeft w:val="0"/>
      <w:marRight w:val="0"/>
      <w:marTop w:val="0"/>
      <w:marBottom w:val="0"/>
      <w:divBdr>
        <w:top w:val="none" w:sz="0" w:space="0" w:color="auto"/>
        <w:left w:val="none" w:sz="0" w:space="0" w:color="auto"/>
        <w:bottom w:val="none" w:sz="0" w:space="0" w:color="auto"/>
        <w:right w:val="none" w:sz="0" w:space="0" w:color="auto"/>
      </w:divBdr>
    </w:div>
    <w:div w:id="94374417">
      <w:bodyDiv w:val="1"/>
      <w:marLeft w:val="0"/>
      <w:marRight w:val="0"/>
      <w:marTop w:val="0"/>
      <w:marBottom w:val="0"/>
      <w:divBdr>
        <w:top w:val="none" w:sz="0" w:space="0" w:color="auto"/>
        <w:left w:val="none" w:sz="0" w:space="0" w:color="auto"/>
        <w:bottom w:val="none" w:sz="0" w:space="0" w:color="auto"/>
        <w:right w:val="none" w:sz="0" w:space="0" w:color="auto"/>
      </w:divBdr>
    </w:div>
    <w:div w:id="106244393">
      <w:bodyDiv w:val="1"/>
      <w:marLeft w:val="0"/>
      <w:marRight w:val="0"/>
      <w:marTop w:val="0"/>
      <w:marBottom w:val="0"/>
      <w:divBdr>
        <w:top w:val="none" w:sz="0" w:space="0" w:color="auto"/>
        <w:left w:val="none" w:sz="0" w:space="0" w:color="auto"/>
        <w:bottom w:val="none" w:sz="0" w:space="0" w:color="auto"/>
        <w:right w:val="none" w:sz="0" w:space="0" w:color="auto"/>
      </w:divBdr>
    </w:div>
    <w:div w:id="111898183">
      <w:bodyDiv w:val="1"/>
      <w:marLeft w:val="0"/>
      <w:marRight w:val="0"/>
      <w:marTop w:val="0"/>
      <w:marBottom w:val="0"/>
      <w:divBdr>
        <w:top w:val="none" w:sz="0" w:space="0" w:color="auto"/>
        <w:left w:val="none" w:sz="0" w:space="0" w:color="auto"/>
        <w:bottom w:val="none" w:sz="0" w:space="0" w:color="auto"/>
        <w:right w:val="none" w:sz="0" w:space="0" w:color="auto"/>
      </w:divBdr>
    </w:div>
    <w:div w:id="112407403">
      <w:bodyDiv w:val="1"/>
      <w:marLeft w:val="0"/>
      <w:marRight w:val="0"/>
      <w:marTop w:val="0"/>
      <w:marBottom w:val="0"/>
      <w:divBdr>
        <w:top w:val="none" w:sz="0" w:space="0" w:color="auto"/>
        <w:left w:val="none" w:sz="0" w:space="0" w:color="auto"/>
        <w:bottom w:val="none" w:sz="0" w:space="0" w:color="auto"/>
        <w:right w:val="none" w:sz="0" w:space="0" w:color="auto"/>
      </w:divBdr>
    </w:div>
    <w:div w:id="116878870">
      <w:bodyDiv w:val="1"/>
      <w:marLeft w:val="0"/>
      <w:marRight w:val="0"/>
      <w:marTop w:val="0"/>
      <w:marBottom w:val="0"/>
      <w:divBdr>
        <w:top w:val="none" w:sz="0" w:space="0" w:color="auto"/>
        <w:left w:val="none" w:sz="0" w:space="0" w:color="auto"/>
        <w:bottom w:val="none" w:sz="0" w:space="0" w:color="auto"/>
        <w:right w:val="none" w:sz="0" w:space="0" w:color="auto"/>
      </w:divBdr>
    </w:div>
    <w:div w:id="117376174">
      <w:bodyDiv w:val="1"/>
      <w:marLeft w:val="0"/>
      <w:marRight w:val="0"/>
      <w:marTop w:val="0"/>
      <w:marBottom w:val="0"/>
      <w:divBdr>
        <w:top w:val="none" w:sz="0" w:space="0" w:color="auto"/>
        <w:left w:val="none" w:sz="0" w:space="0" w:color="auto"/>
        <w:bottom w:val="none" w:sz="0" w:space="0" w:color="auto"/>
        <w:right w:val="none" w:sz="0" w:space="0" w:color="auto"/>
      </w:divBdr>
    </w:div>
    <w:div w:id="117914754">
      <w:bodyDiv w:val="1"/>
      <w:marLeft w:val="0"/>
      <w:marRight w:val="0"/>
      <w:marTop w:val="0"/>
      <w:marBottom w:val="0"/>
      <w:divBdr>
        <w:top w:val="none" w:sz="0" w:space="0" w:color="auto"/>
        <w:left w:val="none" w:sz="0" w:space="0" w:color="auto"/>
        <w:bottom w:val="none" w:sz="0" w:space="0" w:color="auto"/>
        <w:right w:val="none" w:sz="0" w:space="0" w:color="auto"/>
      </w:divBdr>
    </w:div>
    <w:div w:id="125128501">
      <w:bodyDiv w:val="1"/>
      <w:marLeft w:val="0"/>
      <w:marRight w:val="0"/>
      <w:marTop w:val="0"/>
      <w:marBottom w:val="0"/>
      <w:divBdr>
        <w:top w:val="none" w:sz="0" w:space="0" w:color="auto"/>
        <w:left w:val="none" w:sz="0" w:space="0" w:color="auto"/>
        <w:bottom w:val="none" w:sz="0" w:space="0" w:color="auto"/>
        <w:right w:val="none" w:sz="0" w:space="0" w:color="auto"/>
      </w:divBdr>
    </w:div>
    <w:div w:id="126289657">
      <w:bodyDiv w:val="1"/>
      <w:marLeft w:val="0"/>
      <w:marRight w:val="0"/>
      <w:marTop w:val="0"/>
      <w:marBottom w:val="0"/>
      <w:divBdr>
        <w:top w:val="none" w:sz="0" w:space="0" w:color="auto"/>
        <w:left w:val="none" w:sz="0" w:space="0" w:color="auto"/>
        <w:bottom w:val="none" w:sz="0" w:space="0" w:color="auto"/>
        <w:right w:val="none" w:sz="0" w:space="0" w:color="auto"/>
      </w:divBdr>
    </w:div>
    <w:div w:id="136145917">
      <w:bodyDiv w:val="1"/>
      <w:marLeft w:val="0"/>
      <w:marRight w:val="0"/>
      <w:marTop w:val="0"/>
      <w:marBottom w:val="0"/>
      <w:divBdr>
        <w:top w:val="none" w:sz="0" w:space="0" w:color="auto"/>
        <w:left w:val="none" w:sz="0" w:space="0" w:color="auto"/>
        <w:bottom w:val="none" w:sz="0" w:space="0" w:color="auto"/>
        <w:right w:val="none" w:sz="0" w:space="0" w:color="auto"/>
      </w:divBdr>
    </w:div>
    <w:div w:id="137117024">
      <w:bodyDiv w:val="1"/>
      <w:marLeft w:val="0"/>
      <w:marRight w:val="0"/>
      <w:marTop w:val="0"/>
      <w:marBottom w:val="0"/>
      <w:divBdr>
        <w:top w:val="none" w:sz="0" w:space="0" w:color="auto"/>
        <w:left w:val="none" w:sz="0" w:space="0" w:color="auto"/>
        <w:bottom w:val="none" w:sz="0" w:space="0" w:color="auto"/>
        <w:right w:val="none" w:sz="0" w:space="0" w:color="auto"/>
      </w:divBdr>
    </w:div>
    <w:div w:id="142814522">
      <w:bodyDiv w:val="1"/>
      <w:marLeft w:val="0"/>
      <w:marRight w:val="0"/>
      <w:marTop w:val="0"/>
      <w:marBottom w:val="0"/>
      <w:divBdr>
        <w:top w:val="none" w:sz="0" w:space="0" w:color="auto"/>
        <w:left w:val="none" w:sz="0" w:space="0" w:color="auto"/>
        <w:bottom w:val="none" w:sz="0" w:space="0" w:color="auto"/>
        <w:right w:val="none" w:sz="0" w:space="0" w:color="auto"/>
      </w:divBdr>
    </w:div>
    <w:div w:id="145897326">
      <w:bodyDiv w:val="1"/>
      <w:marLeft w:val="0"/>
      <w:marRight w:val="0"/>
      <w:marTop w:val="0"/>
      <w:marBottom w:val="0"/>
      <w:divBdr>
        <w:top w:val="none" w:sz="0" w:space="0" w:color="auto"/>
        <w:left w:val="none" w:sz="0" w:space="0" w:color="auto"/>
        <w:bottom w:val="none" w:sz="0" w:space="0" w:color="auto"/>
        <w:right w:val="none" w:sz="0" w:space="0" w:color="auto"/>
      </w:divBdr>
      <w:divsChild>
        <w:div w:id="1359697045">
          <w:marLeft w:val="0"/>
          <w:marRight w:val="0"/>
          <w:marTop w:val="0"/>
          <w:marBottom w:val="0"/>
          <w:divBdr>
            <w:top w:val="none" w:sz="0" w:space="0" w:color="auto"/>
            <w:left w:val="none" w:sz="0" w:space="0" w:color="auto"/>
            <w:bottom w:val="none" w:sz="0" w:space="0" w:color="auto"/>
            <w:right w:val="none" w:sz="0" w:space="0" w:color="auto"/>
          </w:divBdr>
          <w:divsChild>
            <w:div w:id="63994437">
              <w:marLeft w:val="0"/>
              <w:marRight w:val="0"/>
              <w:marTop w:val="0"/>
              <w:marBottom w:val="0"/>
              <w:divBdr>
                <w:top w:val="none" w:sz="0" w:space="0" w:color="auto"/>
                <w:left w:val="none" w:sz="0" w:space="0" w:color="auto"/>
                <w:bottom w:val="none" w:sz="0" w:space="0" w:color="auto"/>
                <w:right w:val="none" w:sz="0" w:space="0" w:color="auto"/>
              </w:divBdr>
              <w:divsChild>
                <w:div w:id="1203594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177573">
      <w:bodyDiv w:val="1"/>
      <w:marLeft w:val="0"/>
      <w:marRight w:val="0"/>
      <w:marTop w:val="0"/>
      <w:marBottom w:val="0"/>
      <w:divBdr>
        <w:top w:val="none" w:sz="0" w:space="0" w:color="auto"/>
        <w:left w:val="none" w:sz="0" w:space="0" w:color="auto"/>
        <w:bottom w:val="none" w:sz="0" w:space="0" w:color="auto"/>
        <w:right w:val="none" w:sz="0" w:space="0" w:color="auto"/>
      </w:divBdr>
    </w:div>
    <w:div w:id="155807370">
      <w:bodyDiv w:val="1"/>
      <w:marLeft w:val="0"/>
      <w:marRight w:val="0"/>
      <w:marTop w:val="0"/>
      <w:marBottom w:val="0"/>
      <w:divBdr>
        <w:top w:val="none" w:sz="0" w:space="0" w:color="auto"/>
        <w:left w:val="none" w:sz="0" w:space="0" w:color="auto"/>
        <w:bottom w:val="none" w:sz="0" w:space="0" w:color="auto"/>
        <w:right w:val="none" w:sz="0" w:space="0" w:color="auto"/>
      </w:divBdr>
    </w:div>
    <w:div w:id="157578701">
      <w:bodyDiv w:val="1"/>
      <w:marLeft w:val="0"/>
      <w:marRight w:val="0"/>
      <w:marTop w:val="0"/>
      <w:marBottom w:val="0"/>
      <w:divBdr>
        <w:top w:val="none" w:sz="0" w:space="0" w:color="auto"/>
        <w:left w:val="none" w:sz="0" w:space="0" w:color="auto"/>
        <w:bottom w:val="none" w:sz="0" w:space="0" w:color="auto"/>
        <w:right w:val="none" w:sz="0" w:space="0" w:color="auto"/>
      </w:divBdr>
    </w:div>
    <w:div w:id="158273812">
      <w:bodyDiv w:val="1"/>
      <w:marLeft w:val="0"/>
      <w:marRight w:val="0"/>
      <w:marTop w:val="0"/>
      <w:marBottom w:val="0"/>
      <w:divBdr>
        <w:top w:val="none" w:sz="0" w:space="0" w:color="auto"/>
        <w:left w:val="none" w:sz="0" w:space="0" w:color="auto"/>
        <w:bottom w:val="none" w:sz="0" w:space="0" w:color="auto"/>
        <w:right w:val="none" w:sz="0" w:space="0" w:color="auto"/>
      </w:divBdr>
    </w:div>
    <w:div w:id="164055212">
      <w:bodyDiv w:val="1"/>
      <w:marLeft w:val="0"/>
      <w:marRight w:val="0"/>
      <w:marTop w:val="0"/>
      <w:marBottom w:val="0"/>
      <w:divBdr>
        <w:top w:val="none" w:sz="0" w:space="0" w:color="auto"/>
        <w:left w:val="none" w:sz="0" w:space="0" w:color="auto"/>
        <w:bottom w:val="none" w:sz="0" w:space="0" w:color="auto"/>
        <w:right w:val="none" w:sz="0" w:space="0" w:color="auto"/>
      </w:divBdr>
    </w:div>
    <w:div w:id="187380796">
      <w:bodyDiv w:val="1"/>
      <w:marLeft w:val="0"/>
      <w:marRight w:val="0"/>
      <w:marTop w:val="0"/>
      <w:marBottom w:val="0"/>
      <w:divBdr>
        <w:top w:val="none" w:sz="0" w:space="0" w:color="auto"/>
        <w:left w:val="none" w:sz="0" w:space="0" w:color="auto"/>
        <w:bottom w:val="none" w:sz="0" w:space="0" w:color="auto"/>
        <w:right w:val="none" w:sz="0" w:space="0" w:color="auto"/>
      </w:divBdr>
      <w:divsChild>
        <w:div w:id="918907658">
          <w:marLeft w:val="0"/>
          <w:marRight w:val="0"/>
          <w:marTop w:val="0"/>
          <w:marBottom w:val="0"/>
          <w:divBdr>
            <w:top w:val="none" w:sz="0" w:space="0" w:color="auto"/>
            <w:left w:val="none" w:sz="0" w:space="0" w:color="auto"/>
            <w:bottom w:val="none" w:sz="0" w:space="0" w:color="auto"/>
            <w:right w:val="none" w:sz="0" w:space="0" w:color="auto"/>
          </w:divBdr>
          <w:divsChild>
            <w:div w:id="1602102713">
              <w:marLeft w:val="0"/>
              <w:marRight w:val="0"/>
              <w:marTop w:val="0"/>
              <w:marBottom w:val="0"/>
              <w:divBdr>
                <w:top w:val="none" w:sz="0" w:space="0" w:color="auto"/>
                <w:left w:val="none" w:sz="0" w:space="0" w:color="auto"/>
                <w:bottom w:val="none" w:sz="0" w:space="0" w:color="auto"/>
                <w:right w:val="none" w:sz="0" w:space="0" w:color="auto"/>
              </w:divBdr>
              <w:divsChild>
                <w:div w:id="498693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91741">
      <w:bodyDiv w:val="1"/>
      <w:marLeft w:val="0"/>
      <w:marRight w:val="0"/>
      <w:marTop w:val="0"/>
      <w:marBottom w:val="0"/>
      <w:divBdr>
        <w:top w:val="none" w:sz="0" w:space="0" w:color="auto"/>
        <w:left w:val="none" w:sz="0" w:space="0" w:color="auto"/>
        <w:bottom w:val="none" w:sz="0" w:space="0" w:color="auto"/>
        <w:right w:val="none" w:sz="0" w:space="0" w:color="auto"/>
      </w:divBdr>
      <w:divsChild>
        <w:div w:id="841629344">
          <w:marLeft w:val="0"/>
          <w:marRight w:val="0"/>
          <w:marTop w:val="0"/>
          <w:marBottom w:val="0"/>
          <w:divBdr>
            <w:top w:val="none" w:sz="0" w:space="0" w:color="auto"/>
            <w:left w:val="none" w:sz="0" w:space="0" w:color="auto"/>
            <w:bottom w:val="none" w:sz="0" w:space="0" w:color="auto"/>
            <w:right w:val="none" w:sz="0" w:space="0" w:color="auto"/>
          </w:divBdr>
          <w:divsChild>
            <w:div w:id="976564702">
              <w:marLeft w:val="0"/>
              <w:marRight w:val="0"/>
              <w:marTop w:val="0"/>
              <w:marBottom w:val="0"/>
              <w:divBdr>
                <w:top w:val="none" w:sz="0" w:space="0" w:color="auto"/>
                <w:left w:val="none" w:sz="0" w:space="0" w:color="auto"/>
                <w:bottom w:val="none" w:sz="0" w:space="0" w:color="auto"/>
                <w:right w:val="none" w:sz="0" w:space="0" w:color="auto"/>
              </w:divBdr>
              <w:divsChild>
                <w:div w:id="2033603371">
                  <w:marLeft w:val="0"/>
                  <w:marRight w:val="0"/>
                  <w:marTop w:val="0"/>
                  <w:marBottom w:val="0"/>
                  <w:divBdr>
                    <w:top w:val="none" w:sz="0" w:space="0" w:color="auto"/>
                    <w:left w:val="none" w:sz="0" w:space="0" w:color="auto"/>
                    <w:bottom w:val="none" w:sz="0" w:space="0" w:color="auto"/>
                    <w:right w:val="none" w:sz="0" w:space="0" w:color="auto"/>
                  </w:divBdr>
                  <w:divsChild>
                    <w:div w:id="1761414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0237650">
      <w:bodyDiv w:val="1"/>
      <w:marLeft w:val="0"/>
      <w:marRight w:val="0"/>
      <w:marTop w:val="0"/>
      <w:marBottom w:val="0"/>
      <w:divBdr>
        <w:top w:val="none" w:sz="0" w:space="0" w:color="auto"/>
        <w:left w:val="none" w:sz="0" w:space="0" w:color="auto"/>
        <w:bottom w:val="none" w:sz="0" w:space="0" w:color="auto"/>
        <w:right w:val="none" w:sz="0" w:space="0" w:color="auto"/>
      </w:divBdr>
    </w:div>
    <w:div w:id="230652001">
      <w:bodyDiv w:val="1"/>
      <w:marLeft w:val="0"/>
      <w:marRight w:val="0"/>
      <w:marTop w:val="0"/>
      <w:marBottom w:val="0"/>
      <w:divBdr>
        <w:top w:val="none" w:sz="0" w:space="0" w:color="auto"/>
        <w:left w:val="none" w:sz="0" w:space="0" w:color="auto"/>
        <w:bottom w:val="none" w:sz="0" w:space="0" w:color="auto"/>
        <w:right w:val="none" w:sz="0" w:space="0" w:color="auto"/>
      </w:divBdr>
    </w:div>
    <w:div w:id="235365657">
      <w:bodyDiv w:val="1"/>
      <w:marLeft w:val="0"/>
      <w:marRight w:val="0"/>
      <w:marTop w:val="0"/>
      <w:marBottom w:val="0"/>
      <w:divBdr>
        <w:top w:val="none" w:sz="0" w:space="0" w:color="auto"/>
        <w:left w:val="none" w:sz="0" w:space="0" w:color="auto"/>
        <w:bottom w:val="none" w:sz="0" w:space="0" w:color="auto"/>
        <w:right w:val="none" w:sz="0" w:space="0" w:color="auto"/>
      </w:divBdr>
    </w:div>
    <w:div w:id="237179631">
      <w:bodyDiv w:val="1"/>
      <w:marLeft w:val="0"/>
      <w:marRight w:val="0"/>
      <w:marTop w:val="0"/>
      <w:marBottom w:val="0"/>
      <w:divBdr>
        <w:top w:val="none" w:sz="0" w:space="0" w:color="auto"/>
        <w:left w:val="none" w:sz="0" w:space="0" w:color="auto"/>
        <w:bottom w:val="none" w:sz="0" w:space="0" w:color="auto"/>
        <w:right w:val="none" w:sz="0" w:space="0" w:color="auto"/>
      </w:divBdr>
    </w:div>
    <w:div w:id="239364396">
      <w:bodyDiv w:val="1"/>
      <w:marLeft w:val="0"/>
      <w:marRight w:val="0"/>
      <w:marTop w:val="0"/>
      <w:marBottom w:val="0"/>
      <w:divBdr>
        <w:top w:val="none" w:sz="0" w:space="0" w:color="auto"/>
        <w:left w:val="none" w:sz="0" w:space="0" w:color="auto"/>
        <w:bottom w:val="none" w:sz="0" w:space="0" w:color="auto"/>
        <w:right w:val="none" w:sz="0" w:space="0" w:color="auto"/>
      </w:divBdr>
    </w:div>
    <w:div w:id="242036911">
      <w:bodyDiv w:val="1"/>
      <w:marLeft w:val="0"/>
      <w:marRight w:val="0"/>
      <w:marTop w:val="0"/>
      <w:marBottom w:val="0"/>
      <w:divBdr>
        <w:top w:val="none" w:sz="0" w:space="0" w:color="auto"/>
        <w:left w:val="none" w:sz="0" w:space="0" w:color="auto"/>
        <w:bottom w:val="none" w:sz="0" w:space="0" w:color="auto"/>
        <w:right w:val="none" w:sz="0" w:space="0" w:color="auto"/>
      </w:divBdr>
      <w:divsChild>
        <w:div w:id="1699817819">
          <w:marLeft w:val="0"/>
          <w:marRight w:val="0"/>
          <w:marTop w:val="0"/>
          <w:marBottom w:val="0"/>
          <w:divBdr>
            <w:top w:val="none" w:sz="0" w:space="0" w:color="auto"/>
            <w:left w:val="none" w:sz="0" w:space="0" w:color="auto"/>
            <w:bottom w:val="none" w:sz="0" w:space="0" w:color="auto"/>
            <w:right w:val="none" w:sz="0" w:space="0" w:color="auto"/>
          </w:divBdr>
          <w:divsChild>
            <w:div w:id="1151673442">
              <w:marLeft w:val="0"/>
              <w:marRight w:val="0"/>
              <w:marTop w:val="0"/>
              <w:marBottom w:val="0"/>
              <w:divBdr>
                <w:top w:val="none" w:sz="0" w:space="0" w:color="auto"/>
                <w:left w:val="none" w:sz="0" w:space="0" w:color="auto"/>
                <w:bottom w:val="none" w:sz="0" w:space="0" w:color="auto"/>
                <w:right w:val="none" w:sz="0" w:space="0" w:color="auto"/>
              </w:divBdr>
              <w:divsChild>
                <w:div w:id="1624381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496239">
      <w:bodyDiv w:val="1"/>
      <w:marLeft w:val="0"/>
      <w:marRight w:val="0"/>
      <w:marTop w:val="0"/>
      <w:marBottom w:val="0"/>
      <w:divBdr>
        <w:top w:val="none" w:sz="0" w:space="0" w:color="auto"/>
        <w:left w:val="none" w:sz="0" w:space="0" w:color="auto"/>
        <w:bottom w:val="none" w:sz="0" w:space="0" w:color="auto"/>
        <w:right w:val="none" w:sz="0" w:space="0" w:color="auto"/>
      </w:divBdr>
    </w:div>
    <w:div w:id="250432210">
      <w:bodyDiv w:val="1"/>
      <w:marLeft w:val="0"/>
      <w:marRight w:val="0"/>
      <w:marTop w:val="0"/>
      <w:marBottom w:val="0"/>
      <w:divBdr>
        <w:top w:val="none" w:sz="0" w:space="0" w:color="auto"/>
        <w:left w:val="none" w:sz="0" w:space="0" w:color="auto"/>
        <w:bottom w:val="none" w:sz="0" w:space="0" w:color="auto"/>
        <w:right w:val="none" w:sz="0" w:space="0" w:color="auto"/>
      </w:divBdr>
    </w:div>
    <w:div w:id="257953169">
      <w:bodyDiv w:val="1"/>
      <w:marLeft w:val="0"/>
      <w:marRight w:val="0"/>
      <w:marTop w:val="0"/>
      <w:marBottom w:val="0"/>
      <w:divBdr>
        <w:top w:val="none" w:sz="0" w:space="0" w:color="auto"/>
        <w:left w:val="none" w:sz="0" w:space="0" w:color="auto"/>
        <w:bottom w:val="none" w:sz="0" w:space="0" w:color="auto"/>
        <w:right w:val="none" w:sz="0" w:space="0" w:color="auto"/>
      </w:divBdr>
    </w:div>
    <w:div w:id="264307366">
      <w:bodyDiv w:val="1"/>
      <w:marLeft w:val="0"/>
      <w:marRight w:val="0"/>
      <w:marTop w:val="0"/>
      <w:marBottom w:val="0"/>
      <w:divBdr>
        <w:top w:val="none" w:sz="0" w:space="0" w:color="auto"/>
        <w:left w:val="none" w:sz="0" w:space="0" w:color="auto"/>
        <w:bottom w:val="none" w:sz="0" w:space="0" w:color="auto"/>
        <w:right w:val="none" w:sz="0" w:space="0" w:color="auto"/>
      </w:divBdr>
    </w:div>
    <w:div w:id="267273585">
      <w:bodyDiv w:val="1"/>
      <w:marLeft w:val="0"/>
      <w:marRight w:val="0"/>
      <w:marTop w:val="0"/>
      <w:marBottom w:val="0"/>
      <w:divBdr>
        <w:top w:val="none" w:sz="0" w:space="0" w:color="auto"/>
        <w:left w:val="none" w:sz="0" w:space="0" w:color="auto"/>
        <w:bottom w:val="none" w:sz="0" w:space="0" w:color="auto"/>
        <w:right w:val="none" w:sz="0" w:space="0" w:color="auto"/>
      </w:divBdr>
      <w:divsChild>
        <w:div w:id="1863587071">
          <w:marLeft w:val="0"/>
          <w:marRight w:val="0"/>
          <w:marTop w:val="0"/>
          <w:marBottom w:val="0"/>
          <w:divBdr>
            <w:top w:val="none" w:sz="0" w:space="0" w:color="auto"/>
            <w:left w:val="none" w:sz="0" w:space="0" w:color="auto"/>
            <w:bottom w:val="none" w:sz="0" w:space="0" w:color="auto"/>
            <w:right w:val="none" w:sz="0" w:space="0" w:color="auto"/>
          </w:divBdr>
          <w:divsChild>
            <w:div w:id="485317381">
              <w:marLeft w:val="0"/>
              <w:marRight w:val="0"/>
              <w:marTop w:val="0"/>
              <w:marBottom w:val="0"/>
              <w:divBdr>
                <w:top w:val="none" w:sz="0" w:space="0" w:color="auto"/>
                <w:left w:val="none" w:sz="0" w:space="0" w:color="auto"/>
                <w:bottom w:val="none" w:sz="0" w:space="0" w:color="auto"/>
                <w:right w:val="none" w:sz="0" w:space="0" w:color="auto"/>
              </w:divBdr>
              <w:divsChild>
                <w:div w:id="506604364">
                  <w:marLeft w:val="0"/>
                  <w:marRight w:val="0"/>
                  <w:marTop w:val="0"/>
                  <w:marBottom w:val="0"/>
                  <w:divBdr>
                    <w:top w:val="none" w:sz="0" w:space="0" w:color="auto"/>
                    <w:left w:val="none" w:sz="0" w:space="0" w:color="auto"/>
                    <w:bottom w:val="none" w:sz="0" w:space="0" w:color="auto"/>
                    <w:right w:val="none" w:sz="0" w:space="0" w:color="auto"/>
                  </w:divBdr>
                  <w:divsChild>
                    <w:div w:id="2003582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8972571">
      <w:bodyDiv w:val="1"/>
      <w:marLeft w:val="0"/>
      <w:marRight w:val="0"/>
      <w:marTop w:val="0"/>
      <w:marBottom w:val="0"/>
      <w:divBdr>
        <w:top w:val="none" w:sz="0" w:space="0" w:color="auto"/>
        <w:left w:val="none" w:sz="0" w:space="0" w:color="auto"/>
        <w:bottom w:val="none" w:sz="0" w:space="0" w:color="auto"/>
        <w:right w:val="none" w:sz="0" w:space="0" w:color="auto"/>
      </w:divBdr>
    </w:div>
    <w:div w:id="270472547">
      <w:bodyDiv w:val="1"/>
      <w:marLeft w:val="0"/>
      <w:marRight w:val="0"/>
      <w:marTop w:val="0"/>
      <w:marBottom w:val="0"/>
      <w:divBdr>
        <w:top w:val="none" w:sz="0" w:space="0" w:color="auto"/>
        <w:left w:val="none" w:sz="0" w:space="0" w:color="auto"/>
        <w:bottom w:val="none" w:sz="0" w:space="0" w:color="auto"/>
        <w:right w:val="none" w:sz="0" w:space="0" w:color="auto"/>
      </w:divBdr>
    </w:div>
    <w:div w:id="274756121">
      <w:bodyDiv w:val="1"/>
      <w:marLeft w:val="0"/>
      <w:marRight w:val="0"/>
      <w:marTop w:val="0"/>
      <w:marBottom w:val="0"/>
      <w:divBdr>
        <w:top w:val="none" w:sz="0" w:space="0" w:color="auto"/>
        <w:left w:val="none" w:sz="0" w:space="0" w:color="auto"/>
        <w:bottom w:val="none" w:sz="0" w:space="0" w:color="auto"/>
        <w:right w:val="none" w:sz="0" w:space="0" w:color="auto"/>
      </w:divBdr>
    </w:div>
    <w:div w:id="281349795">
      <w:bodyDiv w:val="1"/>
      <w:marLeft w:val="0"/>
      <w:marRight w:val="0"/>
      <w:marTop w:val="0"/>
      <w:marBottom w:val="0"/>
      <w:divBdr>
        <w:top w:val="none" w:sz="0" w:space="0" w:color="auto"/>
        <w:left w:val="none" w:sz="0" w:space="0" w:color="auto"/>
        <w:bottom w:val="none" w:sz="0" w:space="0" w:color="auto"/>
        <w:right w:val="none" w:sz="0" w:space="0" w:color="auto"/>
      </w:divBdr>
    </w:div>
    <w:div w:id="294795681">
      <w:bodyDiv w:val="1"/>
      <w:marLeft w:val="0"/>
      <w:marRight w:val="0"/>
      <w:marTop w:val="0"/>
      <w:marBottom w:val="0"/>
      <w:divBdr>
        <w:top w:val="none" w:sz="0" w:space="0" w:color="auto"/>
        <w:left w:val="none" w:sz="0" w:space="0" w:color="auto"/>
        <w:bottom w:val="none" w:sz="0" w:space="0" w:color="auto"/>
        <w:right w:val="none" w:sz="0" w:space="0" w:color="auto"/>
      </w:divBdr>
    </w:div>
    <w:div w:id="299381464">
      <w:bodyDiv w:val="1"/>
      <w:marLeft w:val="0"/>
      <w:marRight w:val="0"/>
      <w:marTop w:val="0"/>
      <w:marBottom w:val="0"/>
      <w:divBdr>
        <w:top w:val="none" w:sz="0" w:space="0" w:color="auto"/>
        <w:left w:val="none" w:sz="0" w:space="0" w:color="auto"/>
        <w:bottom w:val="none" w:sz="0" w:space="0" w:color="auto"/>
        <w:right w:val="none" w:sz="0" w:space="0" w:color="auto"/>
      </w:divBdr>
    </w:div>
    <w:div w:id="304554582">
      <w:bodyDiv w:val="1"/>
      <w:marLeft w:val="0"/>
      <w:marRight w:val="0"/>
      <w:marTop w:val="0"/>
      <w:marBottom w:val="0"/>
      <w:divBdr>
        <w:top w:val="none" w:sz="0" w:space="0" w:color="auto"/>
        <w:left w:val="none" w:sz="0" w:space="0" w:color="auto"/>
        <w:bottom w:val="none" w:sz="0" w:space="0" w:color="auto"/>
        <w:right w:val="none" w:sz="0" w:space="0" w:color="auto"/>
      </w:divBdr>
    </w:div>
    <w:div w:id="305163885">
      <w:bodyDiv w:val="1"/>
      <w:marLeft w:val="0"/>
      <w:marRight w:val="0"/>
      <w:marTop w:val="0"/>
      <w:marBottom w:val="0"/>
      <w:divBdr>
        <w:top w:val="none" w:sz="0" w:space="0" w:color="auto"/>
        <w:left w:val="none" w:sz="0" w:space="0" w:color="auto"/>
        <w:bottom w:val="none" w:sz="0" w:space="0" w:color="auto"/>
        <w:right w:val="none" w:sz="0" w:space="0" w:color="auto"/>
      </w:divBdr>
    </w:div>
    <w:div w:id="313026966">
      <w:bodyDiv w:val="1"/>
      <w:marLeft w:val="0"/>
      <w:marRight w:val="0"/>
      <w:marTop w:val="0"/>
      <w:marBottom w:val="0"/>
      <w:divBdr>
        <w:top w:val="none" w:sz="0" w:space="0" w:color="auto"/>
        <w:left w:val="none" w:sz="0" w:space="0" w:color="auto"/>
        <w:bottom w:val="none" w:sz="0" w:space="0" w:color="auto"/>
        <w:right w:val="none" w:sz="0" w:space="0" w:color="auto"/>
      </w:divBdr>
    </w:div>
    <w:div w:id="334304004">
      <w:bodyDiv w:val="1"/>
      <w:marLeft w:val="0"/>
      <w:marRight w:val="0"/>
      <w:marTop w:val="0"/>
      <w:marBottom w:val="0"/>
      <w:divBdr>
        <w:top w:val="none" w:sz="0" w:space="0" w:color="auto"/>
        <w:left w:val="none" w:sz="0" w:space="0" w:color="auto"/>
        <w:bottom w:val="none" w:sz="0" w:space="0" w:color="auto"/>
        <w:right w:val="none" w:sz="0" w:space="0" w:color="auto"/>
      </w:divBdr>
    </w:div>
    <w:div w:id="334965990">
      <w:bodyDiv w:val="1"/>
      <w:marLeft w:val="0"/>
      <w:marRight w:val="0"/>
      <w:marTop w:val="0"/>
      <w:marBottom w:val="0"/>
      <w:divBdr>
        <w:top w:val="none" w:sz="0" w:space="0" w:color="auto"/>
        <w:left w:val="none" w:sz="0" w:space="0" w:color="auto"/>
        <w:bottom w:val="none" w:sz="0" w:space="0" w:color="auto"/>
        <w:right w:val="none" w:sz="0" w:space="0" w:color="auto"/>
      </w:divBdr>
    </w:div>
    <w:div w:id="339162350">
      <w:bodyDiv w:val="1"/>
      <w:marLeft w:val="0"/>
      <w:marRight w:val="0"/>
      <w:marTop w:val="0"/>
      <w:marBottom w:val="0"/>
      <w:divBdr>
        <w:top w:val="none" w:sz="0" w:space="0" w:color="auto"/>
        <w:left w:val="none" w:sz="0" w:space="0" w:color="auto"/>
        <w:bottom w:val="none" w:sz="0" w:space="0" w:color="auto"/>
        <w:right w:val="none" w:sz="0" w:space="0" w:color="auto"/>
      </w:divBdr>
    </w:div>
    <w:div w:id="340742187">
      <w:bodyDiv w:val="1"/>
      <w:marLeft w:val="0"/>
      <w:marRight w:val="0"/>
      <w:marTop w:val="0"/>
      <w:marBottom w:val="0"/>
      <w:divBdr>
        <w:top w:val="none" w:sz="0" w:space="0" w:color="auto"/>
        <w:left w:val="none" w:sz="0" w:space="0" w:color="auto"/>
        <w:bottom w:val="none" w:sz="0" w:space="0" w:color="auto"/>
        <w:right w:val="none" w:sz="0" w:space="0" w:color="auto"/>
      </w:divBdr>
    </w:div>
    <w:div w:id="346635754">
      <w:bodyDiv w:val="1"/>
      <w:marLeft w:val="0"/>
      <w:marRight w:val="0"/>
      <w:marTop w:val="0"/>
      <w:marBottom w:val="0"/>
      <w:divBdr>
        <w:top w:val="none" w:sz="0" w:space="0" w:color="auto"/>
        <w:left w:val="none" w:sz="0" w:space="0" w:color="auto"/>
        <w:bottom w:val="none" w:sz="0" w:space="0" w:color="auto"/>
        <w:right w:val="none" w:sz="0" w:space="0" w:color="auto"/>
      </w:divBdr>
      <w:divsChild>
        <w:div w:id="1972513298">
          <w:marLeft w:val="0"/>
          <w:marRight w:val="0"/>
          <w:marTop w:val="0"/>
          <w:marBottom w:val="0"/>
          <w:divBdr>
            <w:top w:val="none" w:sz="0" w:space="0" w:color="auto"/>
            <w:left w:val="none" w:sz="0" w:space="0" w:color="auto"/>
            <w:bottom w:val="none" w:sz="0" w:space="0" w:color="auto"/>
            <w:right w:val="none" w:sz="0" w:space="0" w:color="auto"/>
          </w:divBdr>
          <w:divsChild>
            <w:div w:id="664744977">
              <w:marLeft w:val="0"/>
              <w:marRight w:val="0"/>
              <w:marTop w:val="0"/>
              <w:marBottom w:val="0"/>
              <w:divBdr>
                <w:top w:val="none" w:sz="0" w:space="0" w:color="auto"/>
                <w:left w:val="none" w:sz="0" w:space="0" w:color="auto"/>
                <w:bottom w:val="none" w:sz="0" w:space="0" w:color="auto"/>
                <w:right w:val="none" w:sz="0" w:space="0" w:color="auto"/>
              </w:divBdr>
              <w:divsChild>
                <w:div w:id="1784769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667338">
      <w:bodyDiv w:val="1"/>
      <w:marLeft w:val="0"/>
      <w:marRight w:val="0"/>
      <w:marTop w:val="0"/>
      <w:marBottom w:val="0"/>
      <w:divBdr>
        <w:top w:val="none" w:sz="0" w:space="0" w:color="auto"/>
        <w:left w:val="none" w:sz="0" w:space="0" w:color="auto"/>
        <w:bottom w:val="none" w:sz="0" w:space="0" w:color="auto"/>
        <w:right w:val="none" w:sz="0" w:space="0" w:color="auto"/>
      </w:divBdr>
    </w:div>
    <w:div w:id="361790089">
      <w:bodyDiv w:val="1"/>
      <w:marLeft w:val="0"/>
      <w:marRight w:val="0"/>
      <w:marTop w:val="0"/>
      <w:marBottom w:val="0"/>
      <w:divBdr>
        <w:top w:val="none" w:sz="0" w:space="0" w:color="auto"/>
        <w:left w:val="none" w:sz="0" w:space="0" w:color="auto"/>
        <w:bottom w:val="none" w:sz="0" w:space="0" w:color="auto"/>
        <w:right w:val="none" w:sz="0" w:space="0" w:color="auto"/>
      </w:divBdr>
    </w:div>
    <w:div w:id="367877268">
      <w:bodyDiv w:val="1"/>
      <w:marLeft w:val="0"/>
      <w:marRight w:val="0"/>
      <w:marTop w:val="0"/>
      <w:marBottom w:val="0"/>
      <w:divBdr>
        <w:top w:val="none" w:sz="0" w:space="0" w:color="auto"/>
        <w:left w:val="none" w:sz="0" w:space="0" w:color="auto"/>
        <w:bottom w:val="none" w:sz="0" w:space="0" w:color="auto"/>
        <w:right w:val="none" w:sz="0" w:space="0" w:color="auto"/>
      </w:divBdr>
      <w:divsChild>
        <w:div w:id="1723560471">
          <w:marLeft w:val="0"/>
          <w:marRight w:val="0"/>
          <w:marTop w:val="0"/>
          <w:marBottom w:val="0"/>
          <w:divBdr>
            <w:top w:val="none" w:sz="0" w:space="0" w:color="auto"/>
            <w:left w:val="none" w:sz="0" w:space="0" w:color="auto"/>
            <w:bottom w:val="none" w:sz="0" w:space="0" w:color="auto"/>
            <w:right w:val="none" w:sz="0" w:space="0" w:color="auto"/>
          </w:divBdr>
          <w:divsChild>
            <w:div w:id="1218321576">
              <w:marLeft w:val="0"/>
              <w:marRight w:val="0"/>
              <w:marTop w:val="0"/>
              <w:marBottom w:val="0"/>
              <w:divBdr>
                <w:top w:val="none" w:sz="0" w:space="0" w:color="auto"/>
                <w:left w:val="none" w:sz="0" w:space="0" w:color="auto"/>
                <w:bottom w:val="none" w:sz="0" w:space="0" w:color="auto"/>
                <w:right w:val="none" w:sz="0" w:space="0" w:color="auto"/>
              </w:divBdr>
              <w:divsChild>
                <w:div w:id="1947886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335580">
      <w:bodyDiv w:val="1"/>
      <w:marLeft w:val="0"/>
      <w:marRight w:val="0"/>
      <w:marTop w:val="0"/>
      <w:marBottom w:val="0"/>
      <w:divBdr>
        <w:top w:val="none" w:sz="0" w:space="0" w:color="auto"/>
        <w:left w:val="none" w:sz="0" w:space="0" w:color="auto"/>
        <w:bottom w:val="none" w:sz="0" w:space="0" w:color="auto"/>
        <w:right w:val="none" w:sz="0" w:space="0" w:color="auto"/>
      </w:divBdr>
    </w:div>
    <w:div w:id="370763362">
      <w:bodyDiv w:val="1"/>
      <w:marLeft w:val="0"/>
      <w:marRight w:val="0"/>
      <w:marTop w:val="0"/>
      <w:marBottom w:val="0"/>
      <w:divBdr>
        <w:top w:val="none" w:sz="0" w:space="0" w:color="auto"/>
        <w:left w:val="none" w:sz="0" w:space="0" w:color="auto"/>
        <w:bottom w:val="none" w:sz="0" w:space="0" w:color="auto"/>
        <w:right w:val="none" w:sz="0" w:space="0" w:color="auto"/>
      </w:divBdr>
    </w:div>
    <w:div w:id="375588732">
      <w:bodyDiv w:val="1"/>
      <w:marLeft w:val="0"/>
      <w:marRight w:val="0"/>
      <w:marTop w:val="0"/>
      <w:marBottom w:val="0"/>
      <w:divBdr>
        <w:top w:val="none" w:sz="0" w:space="0" w:color="auto"/>
        <w:left w:val="none" w:sz="0" w:space="0" w:color="auto"/>
        <w:bottom w:val="none" w:sz="0" w:space="0" w:color="auto"/>
        <w:right w:val="none" w:sz="0" w:space="0" w:color="auto"/>
      </w:divBdr>
    </w:div>
    <w:div w:id="375661172">
      <w:bodyDiv w:val="1"/>
      <w:marLeft w:val="0"/>
      <w:marRight w:val="0"/>
      <w:marTop w:val="0"/>
      <w:marBottom w:val="0"/>
      <w:divBdr>
        <w:top w:val="none" w:sz="0" w:space="0" w:color="auto"/>
        <w:left w:val="none" w:sz="0" w:space="0" w:color="auto"/>
        <w:bottom w:val="none" w:sz="0" w:space="0" w:color="auto"/>
        <w:right w:val="none" w:sz="0" w:space="0" w:color="auto"/>
      </w:divBdr>
      <w:divsChild>
        <w:div w:id="2122407670">
          <w:marLeft w:val="0"/>
          <w:marRight w:val="0"/>
          <w:marTop w:val="0"/>
          <w:marBottom w:val="0"/>
          <w:divBdr>
            <w:top w:val="none" w:sz="0" w:space="0" w:color="auto"/>
            <w:left w:val="none" w:sz="0" w:space="0" w:color="auto"/>
            <w:bottom w:val="none" w:sz="0" w:space="0" w:color="auto"/>
            <w:right w:val="none" w:sz="0" w:space="0" w:color="auto"/>
          </w:divBdr>
          <w:divsChild>
            <w:div w:id="1413310184">
              <w:marLeft w:val="0"/>
              <w:marRight w:val="0"/>
              <w:marTop w:val="0"/>
              <w:marBottom w:val="0"/>
              <w:divBdr>
                <w:top w:val="none" w:sz="0" w:space="0" w:color="auto"/>
                <w:left w:val="none" w:sz="0" w:space="0" w:color="auto"/>
                <w:bottom w:val="none" w:sz="0" w:space="0" w:color="auto"/>
                <w:right w:val="none" w:sz="0" w:space="0" w:color="auto"/>
              </w:divBdr>
              <w:divsChild>
                <w:div w:id="1968389970">
                  <w:marLeft w:val="0"/>
                  <w:marRight w:val="0"/>
                  <w:marTop w:val="0"/>
                  <w:marBottom w:val="0"/>
                  <w:divBdr>
                    <w:top w:val="none" w:sz="0" w:space="0" w:color="auto"/>
                    <w:left w:val="none" w:sz="0" w:space="0" w:color="auto"/>
                    <w:bottom w:val="none" w:sz="0" w:space="0" w:color="auto"/>
                    <w:right w:val="none" w:sz="0" w:space="0" w:color="auto"/>
                  </w:divBdr>
                  <w:divsChild>
                    <w:div w:id="1316180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6206281">
      <w:bodyDiv w:val="1"/>
      <w:marLeft w:val="0"/>
      <w:marRight w:val="0"/>
      <w:marTop w:val="0"/>
      <w:marBottom w:val="0"/>
      <w:divBdr>
        <w:top w:val="none" w:sz="0" w:space="0" w:color="auto"/>
        <w:left w:val="none" w:sz="0" w:space="0" w:color="auto"/>
        <w:bottom w:val="none" w:sz="0" w:space="0" w:color="auto"/>
        <w:right w:val="none" w:sz="0" w:space="0" w:color="auto"/>
      </w:divBdr>
    </w:div>
    <w:div w:id="378476804">
      <w:bodyDiv w:val="1"/>
      <w:marLeft w:val="0"/>
      <w:marRight w:val="0"/>
      <w:marTop w:val="0"/>
      <w:marBottom w:val="0"/>
      <w:divBdr>
        <w:top w:val="none" w:sz="0" w:space="0" w:color="auto"/>
        <w:left w:val="none" w:sz="0" w:space="0" w:color="auto"/>
        <w:bottom w:val="none" w:sz="0" w:space="0" w:color="auto"/>
        <w:right w:val="none" w:sz="0" w:space="0" w:color="auto"/>
      </w:divBdr>
      <w:divsChild>
        <w:div w:id="1021124093">
          <w:marLeft w:val="0"/>
          <w:marRight w:val="0"/>
          <w:marTop w:val="0"/>
          <w:marBottom w:val="0"/>
          <w:divBdr>
            <w:top w:val="none" w:sz="0" w:space="0" w:color="auto"/>
            <w:left w:val="none" w:sz="0" w:space="0" w:color="auto"/>
            <w:bottom w:val="none" w:sz="0" w:space="0" w:color="auto"/>
            <w:right w:val="none" w:sz="0" w:space="0" w:color="auto"/>
          </w:divBdr>
          <w:divsChild>
            <w:div w:id="1320117647">
              <w:marLeft w:val="0"/>
              <w:marRight w:val="0"/>
              <w:marTop w:val="0"/>
              <w:marBottom w:val="0"/>
              <w:divBdr>
                <w:top w:val="none" w:sz="0" w:space="0" w:color="auto"/>
                <w:left w:val="none" w:sz="0" w:space="0" w:color="auto"/>
                <w:bottom w:val="none" w:sz="0" w:space="0" w:color="auto"/>
                <w:right w:val="none" w:sz="0" w:space="0" w:color="auto"/>
              </w:divBdr>
              <w:divsChild>
                <w:div w:id="1702198109">
                  <w:marLeft w:val="0"/>
                  <w:marRight w:val="0"/>
                  <w:marTop w:val="0"/>
                  <w:marBottom w:val="0"/>
                  <w:divBdr>
                    <w:top w:val="none" w:sz="0" w:space="0" w:color="auto"/>
                    <w:left w:val="none" w:sz="0" w:space="0" w:color="auto"/>
                    <w:bottom w:val="none" w:sz="0" w:space="0" w:color="auto"/>
                    <w:right w:val="none" w:sz="0" w:space="0" w:color="auto"/>
                  </w:divBdr>
                  <w:divsChild>
                    <w:div w:id="1960643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9642772">
      <w:bodyDiv w:val="1"/>
      <w:marLeft w:val="0"/>
      <w:marRight w:val="0"/>
      <w:marTop w:val="0"/>
      <w:marBottom w:val="0"/>
      <w:divBdr>
        <w:top w:val="none" w:sz="0" w:space="0" w:color="auto"/>
        <w:left w:val="none" w:sz="0" w:space="0" w:color="auto"/>
        <w:bottom w:val="none" w:sz="0" w:space="0" w:color="auto"/>
        <w:right w:val="none" w:sz="0" w:space="0" w:color="auto"/>
      </w:divBdr>
    </w:div>
    <w:div w:id="411512195">
      <w:bodyDiv w:val="1"/>
      <w:marLeft w:val="0"/>
      <w:marRight w:val="0"/>
      <w:marTop w:val="0"/>
      <w:marBottom w:val="0"/>
      <w:divBdr>
        <w:top w:val="none" w:sz="0" w:space="0" w:color="auto"/>
        <w:left w:val="none" w:sz="0" w:space="0" w:color="auto"/>
        <w:bottom w:val="none" w:sz="0" w:space="0" w:color="auto"/>
        <w:right w:val="none" w:sz="0" w:space="0" w:color="auto"/>
      </w:divBdr>
    </w:div>
    <w:div w:id="414209183">
      <w:bodyDiv w:val="1"/>
      <w:marLeft w:val="0"/>
      <w:marRight w:val="0"/>
      <w:marTop w:val="0"/>
      <w:marBottom w:val="0"/>
      <w:divBdr>
        <w:top w:val="none" w:sz="0" w:space="0" w:color="auto"/>
        <w:left w:val="none" w:sz="0" w:space="0" w:color="auto"/>
        <w:bottom w:val="none" w:sz="0" w:space="0" w:color="auto"/>
        <w:right w:val="none" w:sz="0" w:space="0" w:color="auto"/>
      </w:divBdr>
    </w:div>
    <w:div w:id="420026547">
      <w:bodyDiv w:val="1"/>
      <w:marLeft w:val="0"/>
      <w:marRight w:val="0"/>
      <w:marTop w:val="0"/>
      <w:marBottom w:val="0"/>
      <w:divBdr>
        <w:top w:val="none" w:sz="0" w:space="0" w:color="auto"/>
        <w:left w:val="none" w:sz="0" w:space="0" w:color="auto"/>
        <w:bottom w:val="none" w:sz="0" w:space="0" w:color="auto"/>
        <w:right w:val="none" w:sz="0" w:space="0" w:color="auto"/>
      </w:divBdr>
    </w:div>
    <w:div w:id="423261996">
      <w:bodyDiv w:val="1"/>
      <w:marLeft w:val="0"/>
      <w:marRight w:val="0"/>
      <w:marTop w:val="0"/>
      <w:marBottom w:val="0"/>
      <w:divBdr>
        <w:top w:val="none" w:sz="0" w:space="0" w:color="auto"/>
        <w:left w:val="none" w:sz="0" w:space="0" w:color="auto"/>
        <w:bottom w:val="none" w:sz="0" w:space="0" w:color="auto"/>
        <w:right w:val="none" w:sz="0" w:space="0" w:color="auto"/>
      </w:divBdr>
    </w:div>
    <w:div w:id="432941724">
      <w:bodyDiv w:val="1"/>
      <w:marLeft w:val="0"/>
      <w:marRight w:val="0"/>
      <w:marTop w:val="0"/>
      <w:marBottom w:val="0"/>
      <w:divBdr>
        <w:top w:val="none" w:sz="0" w:space="0" w:color="auto"/>
        <w:left w:val="none" w:sz="0" w:space="0" w:color="auto"/>
        <w:bottom w:val="none" w:sz="0" w:space="0" w:color="auto"/>
        <w:right w:val="none" w:sz="0" w:space="0" w:color="auto"/>
      </w:divBdr>
    </w:div>
    <w:div w:id="437720752">
      <w:bodyDiv w:val="1"/>
      <w:marLeft w:val="0"/>
      <w:marRight w:val="0"/>
      <w:marTop w:val="0"/>
      <w:marBottom w:val="0"/>
      <w:divBdr>
        <w:top w:val="none" w:sz="0" w:space="0" w:color="auto"/>
        <w:left w:val="none" w:sz="0" w:space="0" w:color="auto"/>
        <w:bottom w:val="none" w:sz="0" w:space="0" w:color="auto"/>
        <w:right w:val="none" w:sz="0" w:space="0" w:color="auto"/>
      </w:divBdr>
    </w:div>
    <w:div w:id="439186295">
      <w:bodyDiv w:val="1"/>
      <w:marLeft w:val="0"/>
      <w:marRight w:val="0"/>
      <w:marTop w:val="0"/>
      <w:marBottom w:val="0"/>
      <w:divBdr>
        <w:top w:val="none" w:sz="0" w:space="0" w:color="auto"/>
        <w:left w:val="none" w:sz="0" w:space="0" w:color="auto"/>
        <w:bottom w:val="none" w:sz="0" w:space="0" w:color="auto"/>
        <w:right w:val="none" w:sz="0" w:space="0" w:color="auto"/>
      </w:divBdr>
    </w:div>
    <w:div w:id="439566597">
      <w:bodyDiv w:val="1"/>
      <w:marLeft w:val="0"/>
      <w:marRight w:val="0"/>
      <w:marTop w:val="0"/>
      <w:marBottom w:val="0"/>
      <w:divBdr>
        <w:top w:val="none" w:sz="0" w:space="0" w:color="auto"/>
        <w:left w:val="none" w:sz="0" w:space="0" w:color="auto"/>
        <w:bottom w:val="none" w:sz="0" w:space="0" w:color="auto"/>
        <w:right w:val="none" w:sz="0" w:space="0" w:color="auto"/>
      </w:divBdr>
      <w:divsChild>
        <w:div w:id="1087121008">
          <w:marLeft w:val="0"/>
          <w:marRight w:val="0"/>
          <w:marTop w:val="0"/>
          <w:marBottom w:val="0"/>
          <w:divBdr>
            <w:top w:val="none" w:sz="0" w:space="0" w:color="auto"/>
            <w:left w:val="none" w:sz="0" w:space="0" w:color="auto"/>
            <w:bottom w:val="none" w:sz="0" w:space="0" w:color="auto"/>
            <w:right w:val="none" w:sz="0" w:space="0" w:color="auto"/>
          </w:divBdr>
          <w:divsChild>
            <w:div w:id="129594748">
              <w:marLeft w:val="0"/>
              <w:marRight w:val="0"/>
              <w:marTop w:val="0"/>
              <w:marBottom w:val="0"/>
              <w:divBdr>
                <w:top w:val="none" w:sz="0" w:space="0" w:color="auto"/>
                <w:left w:val="none" w:sz="0" w:space="0" w:color="auto"/>
                <w:bottom w:val="none" w:sz="0" w:space="0" w:color="auto"/>
                <w:right w:val="none" w:sz="0" w:space="0" w:color="auto"/>
              </w:divBdr>
              <w:divsChild>
                <w:div w:id="442772660">
                  <w:marLeft w:val="0"/>
                  <w:marRight w:val="0"/>
                  <w:marTop w:val="0"/>
                  <w:marBottom w:val="0"/>
                  <w:divBdr>
                    <w:top w:val="none" w:sz="0" w:space="0" w:color="auto"/>
                    <w:left w:val="none" w:sz="0" w:space="0" w:color="auto"/>
                    <w:bottom w:val="none" w:sz="0" w:space="0" w:color="auto"/>
                    <w:right w:val="none" w:sz="0" w:space="0" w:color="auto"/>
                  </w:divBdr>
                  <w:divsChild>
                    <w:div w:id="1603031693">
                      <w:marLeft w:val="0"/>
                      <w:marRight w:val="0"/>
                      <w:marTop w:val="0"/>
                      <w:marBottom w:val="0"/>
                      <w:divBdr>
                        <w:top w:val="none" w:sz="0" w:space="0" w:color="auto"/>
                        <w:left w:val="none" w:sz="0" w:space="0" w:color="auto"/>
                        <w:bottom w:val="none" w:sz="0" w:space="0" w:color="auto"/>
                        <w:right w:val="none" w:sz="0" w:space="0" w:color="auto"/>
                      </w:divBdr>
                      <w:divsChild>
                        <w:div w:id="1419861855">
                          <w:marLeft w:val="0"/>
                          <w:marRight w:val="0"/>
                          <w:marTop w:val="0"/>
                          <w:marBottom w:val="0"/>
                          <w:divBdr>
                            <w:top w:val="none" w:sz="0" w:space="0" w:color="auto"/>
                            <w:left w:val="none" w:sz="0" w:space="0" w:color="auto"/>
                            <w:bottom w:val="none" w:sz="0" w:space="0" w:color="auto"/>
                            <w:right w:val="none" w:sz="0" w:space="0" w:color="auto"/>
                          </w:divBdr>
                          <w:divsChild>
                            <w:div w:id="2009365974">
                              <w:marLeft w:val="0"/>
                              <w:marRight w:val="0"/>
                              <w:marTop w:val="0"/>
                              <w:marBottom w:val="0"/>
                              <w:divBdr>
                                <w:top w:val="none" w:sz="0" w:space="0" w:color="auto"/>
                                <w:left w:val="none" w:sz="0" w:space="0" w:color="auto"/>
                                <w:bottom w:val="none" w:sz="0" w:space="0" w:color="auto"/>
                                <w:right w:val="none" w:sz="0" w:space="0" w:color="auto"/>
                              </w:divBdr>
                            </w:div>
                            <w:div w:id="612321716">
                              <w:marLeft w:val="0"/>
                              <w:marRight w:val="0"/>
                              <w:marTop w:val="0"/>
                              <w:marBottom w:val="0"/>
                              <w:divBdr>
                                <w:top w:val="none" w:sz="0" w:space="0" w:color="auto"/>
                                <w:left w:val="none" w:sz="0" w:space="0" w:color="auto"/>
                                <w:bottom w:val="none" w:sz="0" w:space="0" w:color="auto"/>
                                <w:right w:val="none" w:sz="0" w:space="0" w:color="auto"/>
                              </w:divBdr>
                            </w:div>
                            <w:div w:id="1275791783">
                              <w:marLeft w:val="0"/>
                              <w:marRight w:val="0"/>
                              <w:marTop w:val="0"/>
                              <w:marBottom w:val="0"/>
                              <w:divBdr>
                                <w:top w:val="none" w:sz="0" w:space="0" w:color="auto"/>
                                <w:left w:val="none" w:sz="0" w:space="0" w:color="auto"/>
                                <w:bottom w:val="none" w:sz="0" w:space="0" w:color="auto"/>
                                <w:right w:val="none" w:sz="0" w:space="0" w:color="auto"/>
                              </w:divBdr>
                            </w:div>
                            <w:div w:id="1460883263">
                              <w:marLeft w:val="0"/>
                              <w:marRight w:val="0"/>
                              <w:marTop w:val="0"/>
                              <w:marBottom w:val="0"/>
                              <w:divBdr>
                                <w:top w:val="none" w:sz="0" w:space="0" w:color="auto"/>
                                <w:left w:val="none" w:sz="0" w:space="0" w:color="auto"/>
                                <w:bottom w:val="none" w:sz="0" w:space="0" w:color="auto"/>
                                <w:right w:val="none" w:sz="0" w:space="0" w:color="auto"/>
                              </w:divBdr>
                            </w:div>
                            <w:div w:id="1349673904">
                              <w:marLeft w:val="0"/>
                              <w:marRight w:val="0"/>
                              <w:marTop w:val="0"/>
                              <w:marBottom w:val="0"/>
                              <w:divBdr>
                                <w:top w:val="none" w:sz="0" w:space="0" w:color="auto"/>
                                <w:left w:val="none" w:sz="0" w:space="0" w:color="auto"/>
                                <w:bottom w:val="none" w:sz="0" w:space="0" w:color="auto"/>
                                <w:right w:val="none" w:sz="0" w:space="0" w:color="auto"/>
                              </w:divBdr>
                            </w:div>
                            <w:div w:id="1907299461">
                              <w:marLeft w:val="0"/>
                              <w:marRight w:val="0"/>
                              <w:marTop w:val="0"/>
                              <w:marBottom w:val="0"/>
                              <w:divBdr>
                                <w:top w:val="none" w:sz="0" w:space="0" w:color="auto"/>
                                <w:left w:val="none" w:sz="0" w:space="0" w:color="auto"/>
                                <w:bottom w:val="none" w:sz="0" w:space="0" w:color="auto"/>
                                <w:right w:val="none" w:sz="0" w:space="0" w:color="auto"/>
                              </w:divBdr>
                            </w:div>
                            <w:div w:id="1024942258">
                              <w:marLeft w:val="0"/>
                              <w:marRight w:val="0"/>
                              <w:marTop w:val="0"/>
                              <w:marBottom w:val="0"/>
                              <w:divBdr>
                                <w:top w:val="none" w:sz="0" w:space="0" w:color="auto"/>
                                <w:left w:val="none" w:sz="0" w:space="0" w:color="auto"/>
                                <w:bottom w:val="none" w:sz="0" w:space="0" w:color="auto"/>
                                <w:right w:val="none" w:sz="0" w:space="0" w:color="auto"/>
                              </w:divBdr>
                            </w:div>
                            <w:div w:id="783884096">
                              <w:marLeft w:val="0"/>
                              <w:marRight w:val="0"/>
                              <w:marTop w:val="0"/>
                              <w:marBottom w:val="0"/>
                              <w:divBdr>
                                <w:top w:val="none" w:sz="0" w:space="0" w:color="auto"/>
                                <w:left w:val="none" w:sz="0" w:space="0" w:color="auto"/>
                                <w:bottom w:val="none" w:sz="0" w:space="0" w:color="auto"/>
                                <w:right w:val="none" w:sz="0" w:space="0" w:color="auto"/>
                              </w:divBdr>
                            </w:div>
                            <w:div w:id="2117748076">
                              <w:marLeft w:val="0"/>
                              <w:marRight w:val="0"/>
                              <w:marTop w:val="0"/>
                              <w:marBottom w:val="0"/>
                              <w:divBdr>
                                <w:top w:val="none" w:sz="0" w:space="0" w:color="auto"/>
                                <w:left w:val="none" w:sz="0" w:space="0" w:color="auto"/>
                                <w:bottom w:val="none" w:sz="0" w:space="0" w:color="auto"/>
                                <w:right w:val="none" w:sz="0" w:space="0" w:color="auto"/>
                              </w:divBdr>
                            </w:div>
                            <w:div w:id="1631549403">
                              <w:marLeft w:val="0"/>
                              <w:marRight w:val="0"/>
                              <w:marTop w:val="0"/>
                              <w:marBottom w:val="0"/>
                              <w:divBdr>
                                <w:top w:val="none" w:sz="0" w:space="0" w:color="auto"/>
                                <w:left w:val="none" w:sz="0" w:space="0" w:color="auto"/>
                                <w:bottom w:val="none" w:sz="0" w:space="0" w:color="auto"/>
                                <w:right w:val="none" w:sz="0" w:space="0" w:color="auto"/>
                              </w:divBdr>
                            </w:div>
                            <w:div w:id="750197176">
                              <w:marLeft w:val="0"/>
                              <w:marRight w:val="0"/>
                              <w:marTop w:val="0"/>
                              <w:marBottom w:val="0"/>
                              <w:divBdr>
                                <w:top w:val="none" w:sz="0" w:space="0" w:color="auto"/>
                                <w:left w:val="none" w:sz="0" w:space="0" w:color="auto"/>
                                <w:bottom w:val="none" w:sz="0" w:space="0" w:color="auto"/>
                                <w:right w:val="none" w:sz="0" w:space="0" w:color="auto"/>
                              </w:divBdr>
                            </w:div>
                            <w:div w:id="1115247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1049779">
      <w:bodyDiv w:val="1"/>
      <w:marLeft w:val="0"/>
      <w:marRight w:val="0"/>
      <w:marTop w:val="0"/>
      <w:marBottom w:val="0"/>
      <w:divBdr>
        <w:top w:val="none" w:sz="0" w:space="0" w:color="auto"/>
        <w:left w:val="none" w:sz="0" w:space="0" w:color="auto"/>
        <w:bottom w:val="none" w:sz="0" w:space="0" w:color="auto"/>
        <w:right w:val="none" w:sz="0" w:space="0" w:color="auto"/>
      </w:divBdr>
    </w:div>
    <w:div w:id="451939721">
      <w:bodyDiv w:val="1"/>
      <w:marLeft w:val="0"/>
      <w:marRight w:val="0"/>
      <w:marTop w:val="0"/>
      <w:marBottom w:val="0"/>
      <w:divBdr>
        <w:top w:val="none" w:sz="0" w:space="0" w:color="auto"/>
        <w:left w:val="none" w:sz="0" w:space="0" w:color="auto"/>
        <w:bottom w:val="none" w:sz="0" w:space="0" w:color="auto"/>
        <w:right w:val="none" w:sz="0" w:space="0" w:color="auto"/>
      </w:divBdr>
    </w:div>
    <w:div w:id="458957631">
      <w:bodyDiv w:val="1"/>
      <w:marLeft w:val="0"/>
      <w:marRight w:val="0"/>
      <w:marTop w:val="0"/>
      <w:marBottom w:val="0"/>
      <w:divBdr>
        <w:top w:val="none" w:sz="0" w:space="0" w:color="auto"/>
        <w:left w:val="none" w:sz="0" w:space="0" w:color="auto"/>
        <w:bottom w:val="none" w:sz="0" w:space="0" w:color="auto"/>
        <w:right w:val="none" w:sz="0" w:space="0" w:color="auto"/>
      </w:divBdr>
    </w:div>
    <w:div w:id="459614225">
      <w:bodyDiv w:val="1"/>
      <w:marLeft w:val="0"/>
      <w:marRight w:val="0"/>
      <w:marTop w:val="0"/>
      <w:marBottom w:val="0"/>
      <w:divBdr>
        <w:top w:val="none" w:sz="0" w:space="0" w:color="auto"/>
        <w:left w:val="none" w:sz="0" w:space="0" w:color="auto"/>
        <w:bottom w:val="none" w:sz="0" w:space="0" w:color="auto"/>
        <w:right w:val="none" w:sz="0" w:space="0" w:color="auto"/>
      </w:divBdr>
    </w:div>
    <w:div w:id="460537507">
      <w:bodyDiv w:val="1"/>
      <w:marLeft w:val="0"/>
      <w:marRight w:val="0"/>
      <w:marTop w:val="0"/>
      <w:marBottom w:val="0"/>
      <w:divBdr>
        <w:top w:val="none" w:sz="0" w:space="0" w:color="auto"/>
        <w:left w:val="none" w:sz="0" w:space="0" w:color="auto"/>
        <w:bottom w:val="none" w:sz="0" w:space="0" w:color="auto"/>
        <w:right w:val="none" w:sz="0" w:space="0" w:color="auto"/>
      </w:divBdr>
      <w:divsChild>
        <w:div w:id="689643956">
          <w:marLeft w:val="0"/>
          <w:marRight w:val="0"/>
          <w:marTop w:val="0"/>
          <w:marBottom w:val="0"/>
          <w:divBdr>
            <w:top w:val="none" w:sz="0" w:space="0" w:color="auto"/>
            <w:left w:val="none" w:sz="0" w:space="0" w:color="auto"/>
            <w:bottom w:val="none" w:sz="0" w:space="0" w:color="auto"/>
            <w:right w:val="none" w:sz="0" w:space="0" w:color="auto"/>
          </w:divBdr>
          <w:divsChild>
            <w:div w:id="1173302489">
              <w:marLeft w:val="0"/>
              <w:marRight w:val="0"/>
              <w:marTop w:val="0"/>
              <w:marBottom w:val="0"/>
              <w:divBdr>
                <w:top w:val="none" w:sz="0" w:space="0" w:color="auto"/>
                <w:left w:val="none" w:sz="0" w:space="0" w:color="auto"/>
                <w:bottom w:val="none" w:sz="0" w:space="0" w:color="auto"/>
                <w:right w:val="none" w:sz="0" w:space="0" w:color="auto"/>
              </w:divBdr>
              <w:divsChild>
                <w:div w:id="1511797908">
                  <w:marLeft w:val="0"/>
                  <w:marRight w:val="0"/>
                  <w:marTop w:val="0"/>
                  <w:marBottom w:val="0"/>
                  <w:divBdr>
                    <w:top w:val="none" w:sz="0" w:space="0" w:color="auto"/>
                    <w:left w:val="none" w:sz="0" w:space="0" w:color="auto"/>
                    <w:bottom w:val="none" w:sz="0" w:space="0" w:color="auto"/>
                    <w:right w:val="none" w:sz="0" w:space="0" w:color="auto"/>
                  </w:divBdr>
                </w:div>
                <w:div w:id="853496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3714287">
      <w:bodyDiv w:val="1"/>
      <w:marLeft w:val="0"/>
      <w:marRight w:val="0"/>
      <w:marTop w:val="0"/>
      <w:marBottom w:val="0"/>
      <w:divBdr>
        <w:top w:val="none" w:sz="0" w:space="0" w:color="auto"/>
        <w:left w:val="none" w:sz="0" w:space="0" w:color="auto"/>
        <w:bottom w:val="none" w:sz="0" w:space="0" w:color="auto"/>
        <w:right w:val="none" w:sz="0" w:space="0" w:color="auto"/>
      </w:divBdr>
    </w:div>
    <w:div w:id="486898713">
      <w:bodyDiv w:val="1"/>
      <w:marLeft w:val="0"/>
      <w:marRight w:val="0"/>
      <w:marTop w:val="0"/>
      <w:marBottom w:val="0"/>
      <w:divBdr>
        <w:top w:val="none" w:sz="0" w:space="0" w:color="auto"/>
        <w:left w:val="none" w:sz="0" w:space="0" w:color="auto"/>
        <w:bottom w:val="none" w:sz="0" w:space="0" w:color="auto"/>
        <w:right w:val="none" w:sz="0" w:space="0" w:color="auto"/>
      </w:divBdr>
      <w:divsChild>
        <w:div w:id="1126122578">
          <w:marLeft w:val="0"/>
          <w:marRight w:val="0"/>
          <w:marTop w:val="0"/>
          <w:marBottom w:val="0"/>
          <w:divBdr>
            <w:top w:val="none" w:sz="0" w:space="0" w:color="auto"/>
            <w:left w:val="none" w:sz="0" w:space="0" w:color="auto"/>
            <w:bottom w:val="none" w:sz="0" w:space="0" w:color="auto"/>
            <w:right w:val="none" w:sz="0" w:space="0" w:color="auto"/>
          </w:divBdr>
          <w:divsChild>
            <w:div w:id="1922719048">
              <w:marLeft w:val="0"/>
              <w:marRight w:val="0"/>
              <w:marTop w:val="0"/>
              <w:marBottom w:val="0"/>
              <w:divBdr>
                <w:top w:val="none" w:sz="0" w:space="0" w:color="auto"/>
                <w:left w:val="none" w:sz="0" w:space="0" w:color="auto"/>
                <w:bottom w:val="none" w:sz="0" w:space="0" w:color="auto"/>
                <w:right w:val="none" w:sz="0" w:space="0" w:color="auto"/>
              </w:divBdr>
              <w:divsChild>
                <w:div w:id="1563102876">
                  <w:marLeft w:val="0"/>
                  <w:marRight w:val="0"/>
                  <w:marTop w:val="0"/>
                  <w:marBottom w:val="0"/>
                  <w:divBdr>
                    <w:top w:val="none" w:sz="0" w:space="0" w:color="auto"/>
                    <w:left w:val="none" w:sz="0" w:space="0" w:color="auto"/>
                    <w:bottom w:val="none" w:sz="0" w:space="0" w:color="auto"/>
                    <w:right w:val="none" w:sz="0" w:space="0" w:color="auto"/>
                  </w:divBdr>
                  <w:divsChild>
                    <w:div w:id="1064837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0027934">
      <w:bodyDiv w:val="1"/>
      <w:marLeft w:val="0"/>
      <w:marRight w:val="0"/>
      <w:marTop w:val="0"/>
      <w:marBottom w:val="0"/>
      <w:divBdr>
        <w:top w:val="none" w:sz="0" w:space="0" w:color="auto"/>
        <w:left w:val="none" w:sz="0" w:space="0" w:color="auto"/>
        <w:bottom w:val="none" w:sz="0" w:space="0" w:color="auto"/>
        <w:right w:val="none" w:sz="0" w:space="0" w:color="auto"/>
      </w:divBdr>
    </w:div>
    <w:div w:id="499586791">
      <w:bodyDiv w:val="1"/>
      <w:marLeft w:val="0"/>
      <w:marRight w:val="0"/>
      <w:marTop w:val="0"/>
      <w:marBottom w:val="0"/>
      <w:divBdr>
        <w:top w:val="none" w:sz="0" w:space="0" w:color="auto"/>
        <w:left w:val="none" w:sz="0" w:space="0" w:color="auto"/>
        <w:bottom w:val="none" w:sz="0" w:space="0" w:color="auto"/>
        <w:right w:val="none" w:sz="0" w:space="0" w:color="auto"/>
      </w:divBdr>
    </w:div>
    <w:div w:id="511530135">
      <w:bodyDiv w:val="1"/>
      <w:marLeft w:val="0"/>
      <w:marRight w:val="0"/>
      <w:marTop w:val="0"/>
      <w:marBottom w:val="0"/>
      <w:divBdr>
        <w:top w:val="none" w:sz="0" w:space="0" w:color="auto"/>
        <w:left w:val="none" w:sz="0" w:space="0" w:color="auto"/>
        <w:bottom w:val="none" w:sz="0" w:space="0" w:color="auto"/>
        <w:right w:val="none" w:sz="0" w:space="0" w:color="auto"/>
      </w:divBdr>
      <w:divsChild>
        <w:div w:id="174537326">
          <w:marLeft w:val="0"/>
          <w:marRight w:val="0"/>
          <w:marTop w:val="0"/>
          <w:marBottom w:val="0"/>
          <w:divBdr>
            <w:top w:val="none" w:sz="0" w:space="0" w:color="auto"/>
            <w:left w:val="none" w:sz="0" w:space="0" w:color="auto"/>
            <w:bottom w:val="none" w:sz="0" w:space="0" w:color="auto"/>
            <w:right w:val="none" w:sz="0" w:space="0" w:color="auto"/>
          </w:divBdr>
          <w:divsChild>
            <w:div w:id="599990898">
              <w:marLeft w:val="0"/>
              <w:marRight w:val="0"/>
              <w:marTop w:val="0"/>
              <w:marBottom w:val="0"/>
              <w:divBdr>
                <w:top w:val="none" w:sz="0" w:space="0" w:color="auto"/>
                <w:left w:val="none" w:sz="0" w:space="0" w:color="auto"/>
                <w:bottom w:val="none" w:sz="0" w:space="0" w:color="auto"/>
                <w:right w:val="none" w:sz="0" w:space="0" w:color="auto"/>
              </w:divBdr>
              <w:divsChild>
                <w:div w:id="169490794">
                  <w:marLeft w:val="0"/>
                  <w:marRight w:val="0"/>
                  <w:marTop w:val="0"/>
                  <w:marBottom w:val="0"/>
                  <w:divBdr>
                    <w:top w:val="none" w:sz="0" w:space="0" w:color="auto"/>
                    <w:left w:val="none" w:sz="0" w:space="0" w:color="auto"/>
                    <w:bottom w:val="none" w:sz="0" w:space="0" w:color="auto"/>
                    <w:right w:val="none" w:sz="0" w:space="0" w:color="auto"/>
                  </w:divBdr>
                  <w:divsChild>
                    <w:div w:id="921446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1720991">
      <w:bodyDiv w:val="1"/>
      <w:marLeft w:val="0"/>
      <w:marRight w:val="0"/>
      <w:marTop w:val="0"/>
      <w:marBottom w:val="0"/>
      <w:divBdr>
        <w:top w:val="none" w:sz="0" w:space="0" w:color="auto"/>
        <w:left w:val="none" w:sz="0" w:space="0" w:color="auto"/>
        <w:bottom w:val="none" w:sz="0" w:space="0" w:color="auto"/>
        <w:right w:val="none" w:sz="0" w:space="0" w:color="auto"/>
      </w:divBdr>
    </w:div>
    <w:div w:id="516234979">
      <w:bodyDiv w:val="1"/>
      <w:marLeft w:val="0"/>
      <w:marRight w:val="0"/>
      <w:marTop w:val="0"/>
      <w:marBottom w:val="0"/>
      <w:divBdr>
        <w:top w:val="none" w:sz="0" w:space="0" w:color="auto"/>
        <w:left w:val="none" w:sz="0" w:space="0" w:color="auto"/>
        <w:bottom w:val="none" w:sz="0" w:space="0" w:color="auto"/>
        <w:right w:val="none" w:sz="0" w:space="0" w:color="auto"/>
      </w:divBdr>
    </w:div>
    <w:div w:id="519391905">
      <w:bodyDiv w:val="1"/>
      <w:marLeft w:val="0"/>
      <w:marRight w:val="0"/>
      <w:marTop w:val="0"/>
      <w:marBottom w:val="0"/>
      <w:divBdr>
        <w:top w:val="none" w:sz="0" w:space="0" w:color="auto"/>
        <w:left w:val="none" w:sz="0" w:space="0" w:color="auto"/>
        <w:bottom w:val="none" w:sz="0" w:space="0" w:color="auto"/>
        <w:right w:val="none" w:sz="0" w:space="0" w:color="auto"/>
      </w:divBdr>
    </w:div>
    <w:div w:id="520703964">
      <w:bodyDiv w:val="1"/>
      <w:marLeft w:val="0"/>
      <w:marRight w:val="0"/>
      <w:marTop w:val="0"/>
      <w:marBottom w:val="0"/>
      <w:divBdr>
        <w:top w:val="none" w:sz="0" w:space="0" w:color="auto"/>
        <w:left w:val="none" w:sz="0" w:space="0" w:color="auto"/>
        <w:bottom w:val="none" w:sz="0" w:space="0" w:color="auto"/>
        <w:right w:val="none" w:sz="0" w:space="0" w:color="auto"/>
      </w:divBdr>
    </w:div>
    <w:div w:id="531386125">
      <w:bodyDiv w:val="1"/>
      <w:marLeft w:val="0"/>
      <w:marRight w:val="0"/>
      <w:marTop w:val="0"/>
      <w:marBottom w:val="0"/>
      <w:divBdr>
        <w:top w:val="none" w:sz="0" w:space="0" w:color="auto"/>
        <w:left w:val="none" w:sz="0" w:space="0" w:color="auto"/>
        <w:bottom w:val="none" w:sz="0" w:space="0" w:color="auto"/>
        <w:right w:val="none" w:sz="0" w:space="0" w:color="auto"/>
      </w:divBdr>
    </w:div>
    <w:div w:id="535703163">
      <w:bodyDiv w:val="1"/>
      <w:marLeft w:val="0"/>
      <w:marRight w:val="0"/>
      <w:marTop w:val="0"/>
      <w:marBottom w:val="0"/>
      <w:divBdr>
        <w:top w:val="none" w:sz="0" w:space="0" w:color="auto"/>
        <w:left w:val="none" w:sz="0" w:space="0" w:color="auto"/>
        <w:bottom w:val="none" w:sz="0" w:space="0" w:color="auto"/>
        <w:right w:val="none" w:sz="0" w:space="0" w:color="auto"/>
      </w:divBdr>
    </w:div>
    <w:div w:id="558630445">
      <w:bodyDiv w:val="1"/>
      <w:marLeft w:val="0"/>
      <w:marRight w:val="0"/>
      <w:marTop w:val="0"/>
      <w:marBottom w:val="0"/>
      <w:divBdr>
        <w:top w:val="none" w:sz="0" w:space="0" w:color="auto"/>
        <w:left w:val="none" w:sz="0" w:space="0" w:color="auto"/>
        <w:bottom w:val="none" w:sz="0" w:space="0" w:color="auto"/>
        <w:right w:val="none" w:sz="0" w:space="0" w:color="auto"/>
      </w:divBdr>
    </w:div>
    <w:div w:id="558781333">
      <w:bodyDiv w:val="1"/>
      <w:marLeft w:val="0"/>
      <w:marRight w:val="0"/>
      <w:marTop w:val="0"/>
      <w:marBottom w:val="0"/>
      <w:divBdr>
        <w:top w:val="none" w:sz="0" w:space="0" w:color="auto"/>
        <w:left w:val="none" w:sz="0" w:space="0" w:color="auto"/>
        <w:bottom w:val="none" w:sz="0" w:space="0" w:color="auto"/>
        <w:right w:val="none" w:sz="0" w:space="0" w:color="auto"/>
      </w:divBdr>
    </w:div>
    <w:div w:id="560482170">
      <w:bodyDiv w:val="1"/>
      <w:marLeft w:val="0"/>
      <w:marRight w:val="0"/>
      <w:marTop w:val="0"/>
      <w:marBottom w:val="0"/>
      <w:divBdr>
        <w:top w:val="none" w:sz="0" w:space="0" w:color="auto"/>
        <w:left w:val="none" w:sz="0" w:space="0" w:color="auto"/>
        <w:bottom w:val="none" w:sz="0" w:space="0" w:color="auto"/>
        <w:right w:val="none" w:sz="0" w:space="0" w:color="auto"/>
      </w:divBdr>
    </w:div>
    <w:div w:id="560752871">
      <w:bodyDiv w:val="1"/>
      <w:marLeft w:val="0"/>
      <w:marRight w:val="0"/>
      <w:marTop w:val="0"/>
      <w:marBottom w:val="0"/>
      <w:divBdr>
        <w:top w:val="none" w:sz="0" w:space="0" w:color="auto"/>
        <w:left w:val="none" w:sz="0" w:space="0" w:color="auto"/>
        <w:bottom w:val="none" w:sz="0" w:space="0" w:color="auto"/>
        <w:right w:val="none" w:sz="0" w:space="0" w:color="auto"/>
      </w:divBdr>
    </w:div>
    <w:div w:id="562981702">
      <w:bodyDiv w:val="1"/>
      <w:marLeft w:val="0"/>
      <w:marRight w:val="0"/>
      <w:marTop w:val="0"/>
      <w:marBottom w:val="0"/>
      <w:divBdr>
        <w:top w:val="none" w:sz="0" w:space="0" w:color="auto"/>
        <w:left w:val="none" w:sz="0" w:space="0" w:color="auto"/>
        <w:bottom w:val="none" w:sz="0" w:space="0" w:color="auto"/>
        <w:right w:val="none" w:sz="0" w:space="0" w:color="auto"/>
      </w:divBdr>
    </w:div>
    <w:div w:id="565726846">
      <w:bodyDiv w:val="1"/>
      <w:marLeft w:val="0"/>
      <w:marRight w:val="0"/>
      <w:marTop w:val="0"/>
      <w:marBottom w:val="0"/>
      <w:divBdr>
        <w:top w:val="none" w:sz="0" w:space="0" w:color="auto"/>
        <w:left w:val="none" w:sz="0" w:space="0" w:color="auto"/>
        <w:bottom w:val="none" w:sz="0" w:space="0" w:color="auto"/>
        <w:right w:val="none" w:sz="0" w:space="0" w:color="auto"/>
      </w:divBdr>
    </w:div>
    <w:div w:id="569580357">
      <w:bodyDiv w:val="1"/>
      <w:marLeft w:val="0"/>
      <w:marRight w:val="0"/>
      <w:marTop w:val="0"/>
      <w:marBottom w:val="0"/>
      <w:divBdr>
        <w:top w:val="none" w:sz="0" w:space="0" w:color="auto"/>
        <w:left w:val="none" w:sz="0" w:space="0" w:color="auto"/>
        <w:bottom w:val="none" w:sz="0" w:space="0" w:color="auto"/>
        <w:right w:val="none" w:sz="0" w:space="0" w:color="auto"/>
      </w:divBdr>
    </w:div>
    <w:div w:id="589704429">
      <w:bodyDiv w:val="1"/>
      <w:marLeft w:val="0"/>
      <w:marRight w:val="0"/>
      <w:marTop w:val="0"/>
      <w:marBottom w:val="0"/>
      <w:divBdr>
        <w:top w:val="none" w:sz="0" w:space="0" w:color="auto"/>
        <w:left w:val="none" w:sz="0" w:space="0" w:color="auto"/>
        <w:bottom w:val="none" w:sz="0" w:space="0" w:color="auto"/>
        <w:right w:val="none" w:sz="0" w:space="0" w:color="auto"/>
      </w:divBdr>
    </w:div>
    <w:div w:id="595594612">
      <w:bodyDiv w:val="1"/>
      <w:marLeft w:val="0"/>
      <w:marRight w:val="0"/>
      <w:marTop w:val="0"/>
      <w:marBottom w:val="0"/>
      <w:divBdr>
        <w:top w:val="none" w:sz="0" w:space="0" w:color="auto"/>
        <w:left w:val="none" w:sz="0" w:space="0" w:color="auto"/>
        <w:bottom w:val="none" w:sz="0" w:space="0" w:color="auto"/>
        <w:right w:val="none" w:sz="0" w:space="0" w:color="auto"/>
      </w:divBdr>
    </w:div>
    <w:div w:id="604076104">
      <w:bodyDiv w:val="1"/>
      <w:marLeft w:val="0"/>
      <w:marRight w:val="0"/>
      <w:marTop w:val="0"/>
      <w:marBottom w:val="0"/>
      <w:divBdr>
        <w:top w:val="none" w:sz="0" w:space="0" w:color="auto"/>
        <w:left w:val="none" w:sz="0" w:space="0" w:color="auto"/>
        <w:bottom w:val="none" w:sz="0" w:space="0" w:color="auto"/>
        <w:right w:val="none" w:sz="0" w:space="0" w:color="auto"/>
      </w:divBdr>
    </w:div>
    <w:div w:id="604385422">
      <w:bodyDiv w:val="1"/>
      <w:marLeft w:val="0"/>
      <w:marRight w:val="0"/>
      <w:marTop w:val="0"/>
      <w:marBottom w:val="0"/>
      <w:divBdr>
        <w:top w:val="none" w:sz="0" w:space="0" w:color="auto"/>
        <w:left w:val="none" w:sz="0" w:space="0" w:color="auto"/>
        <w:bottom w:val="none" w:sz="0" w:space="0" w:color="auto"/>
        <w:right w:val="none" w:sz="0" w:space="0" w:color="auto"/>
      </w:divBdr>
    </w:div>
    <w:div w:id="606548005">
      <w:bodyDiv w:val="1"/>
      <w:marLeft w:val="0"/>
      <w:marRight w:val="0"/>
      <w:marTop w:val="0"/>
      <w:marBottom w:val="0"/>
      <w:divBdr>
        <w:top w:val="none" w:sz="0" w:space="0" w:color="auto"/>
        <w:left w:val="none" w:sz="0" w:space="0" w:color="auto"/>
        <w:bottom w:val="none" w:sz="0" w:space="0" w:color="auto"/>
        <w:right w:val="none" w:sz="0" w:space="0" w:color="auto"/>
      </w:divBdr>
    </w:div>
    <w:div w:id="608047073">
      <w:bodyDiv w:val="1"/>
      <w:marLeft w:val="0"/>
      <w:marRight w:val="0"/>
      <w:marTop w:val="0"/>
      <w:marBottom w:val="0"/>
      <w:divBdr>
        <w:top w:val="none" w:sz="0" w:space="0" w:color="auto"/>
        <w:left w:val="none" w:sz="0" w:space="0" w:color="auto"/>
        <w:bottom w:val="none" w:sz="0" w:space="0" w:color="auto"/>
        <w:right w:val="none" w:sz="0" w:space="0" w:color="auto"/>
      </w:divBdr>
    </w:div>
    <w:div w:id="610283089">
      <w:bodyDiv w:val="1"/>
      <w:marLeft w:val="0"/>
      <w:marRight w:val="0"/>
      <w:marTop w:val="0"/>
      <w:marBottom w:val="0"/>
      <w:divBdr>
        <w:top w:val="none" w:sz="0" w:space="0" w:color="auto"/>
        <w:left w:val="none" w:sz="0" w:space="0" w:color="auto"/>
        <w:bottom w:val="none" w:sz="0" w:space="0" w:color="auto"/>
        <w:right w:val="none" w:sz="0" w:space="0" w:color="auto"/>
      </w:divBdr>
      <w:divsChild>
        <w:div w:id="1477606203">
          <w:marLeft w:val="0"/>
          <w:marRight w:val="0"/>
          <w:marTop w:val="0"/>
          <w:marBottom w:val="0"/>
          <w:divBdr>
            <w:top w:val="none" w:sz="0" w:space="0" w:color="auto"/>
            <w:left w:val="none" w:sz="0" w:space="0" w:color="auto"/>
            <w:bottom w:val="none" w:sz="0" w:space="0" w:color="auto"/>
            <w:right w:val="none" w:sz="0" w:space="0" w:color="auto"/>
          </w:divBdr>
          <w:divsChild>
            <w:div w:id="2042436278">
              <w:marLeft w:val="0"/>
              <w:marRight w:val="0"/>
              <w:marTop w:val="0"/>
              <w:marBottom w:val="0"/>
              <w:divBdr>
                <w:top w:val="none" w:sz="0" w:space="0" w:color="auto"/>
                <w:left w:val="none" w:sz="0" w:space="0" w:color="auto"/>
                <w:bottom w:val="none" w:sz="0" w:space="0" w:color="auto"/>
                <w:right w:val="none" w:sz="0" w:space="0" w:color="auto"/>
              </w:divBdr>
              <w:divsChild>
                <w:div w:id="1591161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4556207">
      <w:bodyDiv w:val="1"/>
      <w:marLeft w:val="0"/>
      <w:marRight w:val="0"/>
      <w:marTop w:val="0"/>
      <w:marBottom w:val="0"/>
      <w:divBdr>
        <w:top w:val="none" w:sz="0" w:space="0" w:color="auto"/>
        <w:left w:val="none" w:sz="0" w:space="0" w:color="auto"/>
        <w:bottom w:val="none" w:sz="0" w:space="0" w:color="auto"/>
        <w:right w:val="none" w:sz="0" w:space="0" w:color="auto"/>
      </w:divBdr>
    </w:div>
    <w:div w:id="615135499">
      <w:bodyDiv w:val="1"/>
      <w:marLeft w:val="0"/>
      <w:marRight w:val="0"/>
      <w:marTop w:val="0"/>
      <w:marBottom w:val="0"/>
      <w:divBdr>
        <w:top w:val="none" w:sz="0" w:space="0" w:color="auto"/>
        <w:left w:val="none" w:sz="0" w:space="0" w:color="auto"/>
        <w:bottom w:val="none" w:sz="0" w:space="0" w:color="auto"/>
        <w:right w:val="none" w:sz="0" w:space="0" w:color="auto"/>
      </w:divBdr>
      <w:divsChild>
        <w:div w:id="1070157994">
          <w:marLeft w:val="0"/>
          <w:marRight w:val="0"/>
          <w:marTop w:val="0"/>
          <w:marBottom w:val="0"/>
          <w:divBdr>
            <w:top w:val="none" w:sz="0" w:space="0" w:color="auto"/>
            <w:left w:val="none" w:sz="0" w:space="0" w:color="auto"/>
            <w:bottom w:val="none" w:sz="0" w:space="0" w:color="auto"/>
            <w:right w:val="none" w:sz="0" w:space="0" w:color="auto"/>
          </w:divBdr>
          <w:divsChild>
            <w:div w:id="1671369541">
              <w:marLeft w:val="0"/>
              <w:marRight w:val="0"/>
              <w:marTop w:val="0"/>
              <w:marBottom w:val="0"/>
              <w:divBdr>
                <w:top w:val="none" w:sz="0" w:space="0" w:color="auto"/>
                <w:left w:val="none" w:sz="0" w:space="0" w:color="auto"/>
                <w:bottom w:val="none" w:sz="0" w:space="0" w:color="auto"/>
                <w:right w:val="none" w:sz="0" w:space="0" w:color="auto"/>
              </w:divBdr>
              <w:divsChild>
                <w:div w:id="122221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268285">
      <w:bodyDiv w:val="1"/>
      <w:marLeft w:val="0"/>
      <w:marRight w:val="0"/>
      <w:marTop w:val="0"/>
      <w:marBottom w:val="0"/>
      <w:divBdr>
        <w:top w:val="none" w:sz="0" w:space="0" w:color="auto"/>
        <w:left w:val="none" w:sz="0" w:space="0" w:color="auto"/>
        <w:bottom w:val="none" w:sz="0" w:space="0" w:color="auto"/>
        <w:right w:val="none" w:sz="0" w:space="0" w:color="auto"/>
      </w:divBdr>
    </w:div>
    <w:div w:id="641425203">
      <w:bodyDiv w:val="1"/>
      <w:marLeft w:val="0"/>
      <w:marRight w:val="0"/>
      <w:marTop w:val="0"/>
      <w:marBottom w:val="0"/>
      <w:divBdr>
        <w:top w:val="none" w:sz="0" w:space="0" w:color="auto"/>
        <w:left w:val="none" w:sz="0" w:space="0" w:color="auto"/>
        <w:bottom w:val="none" w:sz="0" w:space="0" w:color="auto"/>
        <w:right w:val="none" w:sz="0" w:space="0" w:color="auto"/>
      </w:divBdr>
    </w:div>
    <w:div w:id="655501849">
      <w:bodyDiv w:val="1"/>
      <w:marLeft w:val="0"/>
      <w:marRight w:val="0"/>
      <w:marTop w:val="0"/>
      <w:marBottom w:val="0"/>
      <w:divBdr>
        <w:top w:val="none" w:sz="0" w:space="0" w:color="auto"/>
        <w:left w:val="none" w:sz="0" w:space="0" w:color="auto"/>
        <w:bottom w:val="none" w:sz="0" w:space="0" w:color="auto"/>
        <w:right w:val="none" w:sz="0" w:space="0" w:color="auto"/>
      </w:divBdr>
    </w:div>
    <w:div w:id="660545178">
      <w:bodyDiv w:val="1"/>
      <w:marLeft w:val="0"/>
      <w:marRight w:val="0"/>
      <w:marTop w:val="0"/>
      <w:marBottom w:val="0"/>
      <w:divBdr>
        <w:top w:val="none" w:sz="0" w:space="0" w:color="auto"/>
        <w:left w:val="none" w:sz="0" w:space="0" w:color="auto"/>
        <w:bottom w:val="none" w:sz="0" w:space="0" w:color="auto"/>
        <w:right w:val="none" w:sz="0" w:space="0" w:color="auto"/>
      </w:divBdr>
      <w:divsChild>
        <w:div w:id="408381732">
          <w:marLeft w:val="0"/>
          <w:marRight w:val="0"/>
          <w:marTop w:val="0"/>
          <w:marBottom w:val="0"/>
          <w:divBdr>
            <w:top w:val="none" w:sz="0" w:space="0" w:color="auto"/>
            <w:left w:val="none" w:sz="0" w:space="0" w:color="auto"/>
            <w:bottom w:val="none" w:sz="0" w:space="0" w:color="auto"/>
            <w:right w:val="none" w:sz="0" w:space="0" w:color="auto"/>
          </w:divBdr>
          <w:divsChild>
            <w:div w:id="856652722">
              <w:marLeft w:val="0"/>
              <w:marRight w:val="0"/>
              <w:marTop w:val="0"/>
              <w:marBottom w:val="0"/>
              <w:divBdr>
                <w:top w:val="none" w:sz="0" w:space="0" w:color="auto"/>
                <w:left w:val="none" w:sz="0" w:space="0" w:color="auto"/>
                <w:bottom w:val="none" w:sz="0" w:space="0" w:color="auto"/>
                <w:right w:val="none" w:sz="0" w:space="0" w:color="auto"/>
              </w:divBdr>
              <w:divsChild>
                <w:div w:id="590431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0547643">
      <w:bodyDiv w:val="1"/>
      <w:marLeft w:val="0"/>
      <w:marRight w:val="0"/>
      <w:marTop w:val="0"/>
      <w:marBottom w:val="0"/>
      <w:divBdr>
        <w:top w:val="none" w:sz="0" w:space="0" w:color="auto"/>
        <w:left w:val="none" w:sz="0" w:space="0" w:color="auto"/>
        <w:bottom w:val="none" w:sz="0" w:space="0" w:color="auto"/>
        <w:right w:val="none" w:sz="0" w:space="0" w:color="auto"/>
      </w:divBdr>
    </w:div>
    <w:div w:id="667097932">
      <w:bodyDiv w:val="1"/>
      <w:marLeft w:val="0"/>
      <w:marRight w:val="0"/>
      <w:marTop w:val="0"/>
      <w:marBottom w:val="0"/>
      <w:divBdr>
        <w:top w:val="none" w:sz="0" w:space="0" w:color="auto"/>
        <w:left w:val="none" w:sz="0" w:space="0" w:color="auto"/>
        <w:bottom w:val="none" w:sz="0" w:space="0" w:color="auto"/>
        <w:right w:val="none" w:sz="0" w:space="0" w:color="auto"/>
      </w:divBdr>
      <w:divsChild>
        <w:div w:id="1997224525">
          <w:marLeft w:val="0"/>
          <w:marRight w:val="0"/>
          <w:marTop w:val="0"/>
          <w:marBottom w:val="0"/>
          <w:divBdr>
            <w:top w:val="none" w:sz="0" w:space="0" w:color="auto"/>
            <w:left w:val="none" w:sz="0" w:space="0" w:color="auto"/>
            <w:bottom w:val="none" w:sz="0" w:space="0" w:color="auto"/>
            <w:right w:val="none" w:sz="0" w:space="0" w:color="auto"/>
          </w:divBdr>
        </w:div>
        <w:div w:id="860775164">
          <w:marLeft w:val="0"/>
          <w:marRight w:val="0"/>
          <w:marTop w:val="0"/>
          <w:marBottom w:val="0"/>
          <w:divBdr>
            <w:top w:val="none" w:sz="0" w:space="0" w:color="auto"/>
            <w:left w:val="none" w:sz="0" w:space="0" w:color="auto"/>
            <w:bottom w:val="none" w:sz="0" w:space="0" w:color="auto"/>
            <w:right w:val="none" w:sz="0" w:space="0" w:color="auto"/>
          </w:divBdr>
        </w:div>
        <w:div w:id="2032027383">
          <w:marLeft w:val="0"/>
          <w:marRight w:val="0"/>
          <w:marTop w:val="0"/>
          <w:marBottom w:val="0"/>
          <w:divBdr>
            <w:top w:val="none" w:sz="0" w:space="0" w:color="auto"/>
            <w:left w:val="none" w:sz="0" w:space="0" w:color="auto"/>
            <w:bottom w:val="none" w:sz="0" w:space="0" w:color="auto"/>
            <w:right w:val="none" w:sz="0" w:space="0" w:color="auto"/>
          </w:divBdr>
        </w:div>
        <w:div w:id="398019323">
          <w:marLeft w:val="0"/>
          <w:marRight w:val="0"/>
          <w:marTop w:val="0"/>
          <w:marBottom w:val="0"/>
          <w:divBdr>
            <w:top w:val="none" w:sz="0" w:space="0" w:color="auto"/>
            <w:left w:val="none" w:sz="0" w:space="0" w:color="auto"/>
            <w:bottom w:val="none" w:sz="0" w:space="0" w:color="auto"/>
            <w:right w:val="none" w:sz="0" w:space="0" w:color="auto"/>
          </w:divBdr>
        </w:div>
      </w:divsChild>
    </w:div>
    <w:div w:id="667172605">
      <w:bodyDiv w:val="1"/>
      <w:marLeft w:val="0"/>
      <w:marRight w:val="0"/>
      <w:marTop w:val="0"/>
      <w:marBottom w:val="0"/>
      <w:divBdr>
        <w:top w:val="none" w:sz="0" w:space="0" w:color="auto"/>
        <w:left w:val="none" w:sz="0" w:space="0" w:color="auto"/>
        <w:bottom w:val="none" w:sz="0" w:space="0" w:color="auto"/>
        <w:right w:val="none" w:sz="0" w:space="0" w:color="auto"/>
      </w:divBdr>
    </w:div>
    <w:div w:id="668824033">
      <w:bodyDiv w:val="1"/>
      <w:marLeft w:val="0"/>
      <w:marRight w:val="0"/>
      <w:marTop w:val="0"/>
      <w:marBottom w:val="0"/>
      <w:divBdr>
        <w:top w:val="none" w:sz="0" w:space="0" w:color="auto"/>
        <w:left w:val="none" w:sz="0" w:space="0" w:color="auto"/>
        <w:bottom w:val="none" w:sz="0" w:space="0" w:color="auto"/>
        <w:right w:val="none" w:sz="0" w:space="0" w:color="auto"/>
      </w:divBdr>
    </w:div>
    <w:div w:id="680082200">
      <w:bodyDiv w:val="1"/>
      <w:marLeft w:val="0"/>
      <w:marRight w:val="0"/>
      <w:marTop w:val="0"/>
      <w:marBottom w:val="0"/>
      <w:divBdr>
        <w:top w:val="none" w:sz="0" w:space="0" w:color="auto"/>
        <w:left w:val="none" w:sz="0" w:space="0" w:color="auto"/>
        <w:bottom w:val="none" w:sz="0" w:space="0" w:color="auto"/>
        <w:right w:val="none" w:sz="0" w:space="0" w:color="auto"/>
      </w:divBdr>
    </w:div>
    <w:div w:id="697238102">
      <w:bodyDiv w:val="1"/>
      <w:marLeft w:val="0"/>
      <w:marRight w:val="0"/>
      <w:marTop w:val="0"/>
      <w:marBottom w:val="0"/>
      <w:divBdr>
        <w:top w:val="none" w:sz="0" w:space="0" w:color="auto"/>
        <w:left w:val="none" w:sz="0" w:space="0" w:color="auto"/>
        <w:bottom w:val="none" w:sz="0" w:space="0" w:color="auto"/>
        <w:right w:val="none" w:sz="0" w:space="0" w:color="auto"/>
      </w:divBdr>
    </w:div>
    <w:div w:id="698092923">
      <w:bodyDiv w:val="1"/>
      <w:marLeft w:val="0"/>
      <w:marRight w:val="0"/>
      <w:marTop w:val="0"/>
      <w:marBottom w:val="0"/>
      <w:divBdr>
        <w:top w:val="none" w:sz="0" w:space="0" w:color="auto"/>
        <w:left w:val="none" w:sz="0" w:space="0" w:color="auto"/>
        <w:bottom w:val="none" w:sz="0" w:space="0" w:color="auto"/>
        <w:right w:val="none" w:sz="0" w:space="0" w:color="auto"/>
      </w:divBdr>
      <w:divsChild>
        <w:div w:id="461771985">
          <w:marLeft w:val="0"/>
          <w:marRight w:val="0"/>
          <w:marTop w:val="0"/>
          <w:marBottom w:val="0"/>
          <w:divBdr>
            <w:top w:val="none" w:sz="0" w:space="0" w:color="auto"/>
            <w:left w:val="none" w:sz="0" w:space="0" w:color="auto"/>
            <w:bottom w:val="none" w:sz="0" w:space="0" w:color="auto"/>
            <w:right w:val="none" w:sz="0" w:space="0" w:color="auto"/>
          </w:divBdr>
          <w:divsChild>
            <w:div w:id="1141078562">
              <w:marLeft w:val="0"/>
              <w:marRight w:val="0"/>
              <w:marTop w:val="0"/>
              <w:marBottom w:val="0"/>
              <w:divBdr>
                <w:top w:val="none" w:sz="0" w:space="0" w:color="auto"/>
                <w:left w:val="none" w:sz="0" w:space="0" w:color="auto"/>
                <w:bottom w:val="none" w:sz="0" w:space="0" w:color="auto"/>
                <w:right w:val="none" w:sz="0" w:space="0" w:color="auto"/>
              </w:divBdr>
              <w:divsChild>
                <w:div w:id="1907766721">
                  <w:marLeft w:val="0"/>
                  <w:marRight w:val="0"/>
                  <w:marTop w:val="0"/>
                  <w:marBottom w:val="0"/>
                  <w:divBdr>
                    <w:top w:val="none" w:sz="0" w:space="0" w:color="auto"/>
                    <w:left w:val="none" w:sz="0" w:space="0" w:color="auto"/>
                    <w:bottom w:val="none" w:sz="0" w:space="0" w:color="auto"/>
                    <w:right w:val="none" w:sz="0" w:space="0" w:color="auto"/>
                  </w:divBdr>
                  <w:divsChild>
                    <w:div w:id="1480883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2827547">
      <w:bodyDiv w:val="1"/>
      <w:marLeft w:val="0"/>
      <w:marRight w:val="0"/>
      <w:marTop w:val="0"/>
      <w:marBottom w:val="0"/>
      <w:divBdr>
        <w:top w:val="none" w:sz="0" w:space="0" w:color="auto"/>
        <w:left w:val="none" w:sz="0" w:space="0" w:color="auto"/>
        <w:bottom w:val="none" w:sz="0" w:space="0" w:color="auto"/>
        <w:right w:val="none" w:sz="0" w:space="0" w:color="auto"/>
      </w:divBdr>
    </w:div>
    <w:div w:id="707414549">
      <w:bodyDiv w:val="1"/>
      <w:marLeft w:val="0"/>
      <w:marRight w:val="0"/>
      <w:marTop w:val="0"/>
      <w:marBottom w:val="0"/>
      <w:divBdr>
        <w:top w:val="none" w:sz="0" w:space="0" w:color="auto"/>
        <w:left w:val="none" w:sz="0" w:space="0" w:color="auto"/>
        <w:bottom w:val="none" w:sz="0" w:space="0" w:color="auto"/>
        <w:right w:val="none" w:sz="0" w:space="0" w:color="auto"/>
      </w:divBdr>
    </w:div>
    <w:div w:id="746807602">
      <w:bodyDiv w:val="1"/>
      <w:marLeft w:val="0"/>
      <w:marRight w:val="0"/>
      <w:marTop w:val="0"/>
      <w:marBottom w:val="0"/>
      <w:divBdr>
        <w:top w:val="none" w:sz="0" w:space="0" w:color="auto"/>
        <w:left w:val="none" w:sz="0" w:space="0" w:color="auto"/>
        <w:bottom w:val="none" w:sz="0" w:space="0" w:color="auto"/>
        <w:right w:val="none" w:sz="0" w:space="0" w:color="auto"/>
      </w:divBdr>
    </w:div>
    <w:div w:id="752092525">
      <w:bodyDiv w:val="1"/>
      <w:marLeft w:val="0"/>
      <w:marRight w:val="0"/>
      <w:marTop w:val="0"/>
      <w:marBottom w:val="0"/>
      <w:divBdr>
        <w:top w:val="none" w:sz="0" w:space="0" w:color="auto"/>
        <w:left w:val="none" w:sz="0" w:space="0" w:color="auto"/>
        <w:bottom w:val="none" w:sz="0" w:space="0" w:color="auto"/>
        <w:right w:val="none" w:sz="0" w:space="0" w:color="auto"/>
      </w:divBdr>
    </w:div>
    <w:div w:id="757138022">
      <w:bodyDiv w:val="1"/>
      <w:marLeft w:val="0"/>
      <w:marRight w:val="0"/>
      <w:marTop w:val="0"/>
      <w:marBottom w:val="0"/>
      <w:divBdr>
        <w:top w:val="none" w:sz="0" w:space="0" w:color="auto"/>
        <w:left w:val="none" w:sz="0" w:space="0" w:color="auto"/>
        <w:bottom w:val="none" w:sz="0" w:space="0" w:color="auto"/>
        <w:right w:val="none" w:sz="0" w:space="0" w:color="auto"/>
      </w:divBdr>
    </w:div>
    <w:div w:id="759832165">
      <w:bodyDiv w:val="1"/>
      <w:marLeft w:val="0"/>
      <w:marRight w:val="0"/>
      <w:marTop w:val="0"/>
      <w:marBottom w:val="0"/>
      <w:divBdr>
        <w:top w:val="none" w:sz="0" w:space="0" w:color="auto"/>
        <w:left w:val="none" w:sz="0" w:space="0" w:color="auto"/>
        <w:bottom w:val="none" w:sz="0" w:space="0" w:color="auto"/>
        <w:right w:val="none" w:sz="0" w:space="0" w:color="auto"/>
      </w:divBdr>
    </w:div>
    <w:div w:id="769008400">
      <w:bodyDiv w:val="1"/>
      <w:marLeft w:val="0"/>
      <w:marRight w:val="0"/>
      <w:marTop w:val="0"/>
      <w:marBottom w:val="0"/>
      <w:divBdr>
        <w:top w:val="none" w:sz="0" w:space="0" w:color="auto"/>
        <w:left w:val="none" w:sz="0" w:space="0" w:color="auto"/>
        <w:bottom w:val="none" w:sz="0" w:space="0" w:color="auto"/>
        <w:right w:val="none" w:sz="0" w:space="0" w:color="auto"/>
      </w:divBdr>
    </w:div>
    <w:div w:id="774207218">
      <w:bodyDiv w:val="1"/>
      <w:marLeft w:val="0"/>
      <w:marRight w:val="0"/>
      <w:marTop w:val="0"/>
      <w:marBottom w:val="0"/>
      <w:divBdr>
        <w:top w:val="none" w:sz="0" w:space="0" w:color="auto"/>
        <w:left w:val="none" w:sz="0" w:space="0" w:color="auto"/>
        <w:bottom w:val="none" w:sz="0" w:space="0" w:color="auto"/>
        <w:right w:val="none" w:sz="0" w:space="0" w:color="auto"/>
      </w:divBdr>
    </w:div>
    <w:div w:id="777070213">
      <w:bodyDiv w:val="1"/>
      <w:marLeft w:val="0"/>
      <w:marRight w:val="0"/>
      <w:marTop w:val="0"/>
      <w:marBottom w:val="0"/>
      <w:divBdr>
        <w:top w:val="none" w:sz="0" w:space="0" w:color="auto"/>
        <w:left w:val="none" w:sz="0" w:space="0" w:color="auto"/>
        <w:bottom w:val="none" w:sz="0" w:space="0" w:color="auto"/>
        <w:right w:val="none" w:sz="0" w:space="0" w:color="auto"/>
      </w:divBdr>
    </w:div>
    <w:div w:id="777139475">
      <w:bodyDiv w:val="1"/>
      <w:marLeft w:val="0"/>
      <w:marRight w:val="0"/>
      <w:marTop w:val="0"/>
      <w:marBottom w:val="0"/>
      <w:divBdr>
        <w:top w:val="none" w:sz="0" w:space="0" w:color="auto"/>
        <w:left w:val="none" w:sz="0" w:space="0" w:color="auto"/>
        <w:bottom w:val="none" w:sz="0" w:space="0" w:color="auto"/>
        <w:right w:val="none" w:sz="0" w:space="0" w:color="auto"/>
      </w:divBdr>
    </w:div>
    <w:div w:id="781343267">
      <w:bodyDiv w:val="1"/>
      <w:marLeft w:val="0"/>
      <w:marRight w:val="0"/>
      <w:marTop w:val="0"/>
      <w:marBottom w:val="0"/>
      <w:divBdr>
        <w:top w:val="none" w:sz="0" w:space="0" w:color="auto"/>
        <w:left w:val="none" w:sz="0" w:space="0" w:color="auto"/>
        <w:bottom w:val="none" w:sz="0" w:space="0" w:color="auto"/>
        <w:right w:val="none" w:sz="0" w:space="0" w:color="auto"/>
      </w:divBdr>
    </w:div>
    <w:div w:id="783502528">
      <w:bodyDiv w:val="1"/>
      <w:marLeft w:val="0"/>
      <w:marRight w:val="0"/>
      <w:marTop w:val="0"/>
      <w:marBottom w:val="0"/>
      <w:divBdr>
        <w:top w:val="none" w:sz="0" w:space="0" w:color="auto"/>
        <w:left w:val="none" w:sz="0" w:space="0" w:color="auto"/>
        <w:bottom w:val="none" w:sz="0" w:space="0" w:color="auto"/>
        <w:right w:val="none" w:sz="0" w:space="0" w:color="auto"/>
      </w:divBdr>
    </w:div>
    <w:div w:id="786698645">
      <w:bodyDiv w:val="1"/>
      <w:marLeft w:val="0"/>
      <w:marRight w:val="0"/>
      <w:marTop w:val="0"/>
      <w:marBottom w:val="0"/>
      <w:divBdr>
        <w:top w:val="none" w:sz="0" w:space="0" w:color="auto"/>
        <w:left w:val="none" w:sz="0" w:space="0" w:color="auto"/>
        <w:bottom w:val="none" w:sz="0" w:space="0" w:color="auto"/>
        <w:right w:val="none" w:sz="0" w:space="0" w:color="auto"/>
      </w:divBdr>
    </w:div>
    <w:div w:id="791439612">
      <w:bodyDiv w:val="1"/>
      <w:marLeft w:val="0"/>
      <w:marRight w:val="0"/>
      <w:marTop w:val="0"/>
      <w:marBottom w:val="0"/>
      <w:divBdr>
        <w:top w:val="none" w:sz="0" w:space="0" w:color="auto"/>
        <w:left w:val="none" w:sz="0" w:space="0" w:color="auto"/>
        <w:bottom w:val="none" w:sz="0" w:space="0" w:color="auto"/>
        <w:right w:val="none" w:sz="0" w:space="0" w:color="auto"/>
      </w:divBdr>
    </w:div>
    <w:div w:id="805241394">
      <w:bodyDiv w:val="1"/>
      <w:marLeft w:val="0"/>
      <w:marRight w:val="0"/>
      <w:marTop w:val="0"/>
      <w:marBottom w:val="0"/>
      <w:divBdr>
        <w:top w:val="none" w:sz="0" w:space="0" w:color="auto"/>
        <w:left w:val="none" w:sz="0" w:space="0" w:color="auto"/>
        <w:bottom w:val="none" w:sz="0" w:space="0" w:color="auto"/>
        <w:right w:val="none" w:sz="0" w:space="0" w:color="auto"/>
      </w:divBdr>
    </w:div>
    <w:div w:id="808597701">
      <w:bodyDiv w:val="1"/>
      <w:marLeft w:val="0"/>
      <w:marRight w:val="0"/>
      <w:marTop w:val="0"/>
      <w:marBottom w:val="0"/>
      <w:divBdr>
        <w:top w:val="none" w:sz="0" w:space="0" w:color="auto"/>
        <w:left w:val="none" w:sz="0" w:space="0" w:color="auto"/>
        <w:bottom w:val="none" w:sz="0" w:space="0" w:color="auto"/>
        <w:right w:val="none" w:sz="0" w:space="0" w:color="auto"/>
      </w:divBdr>
    </w:div>
    <w:div w:id="835802294">
      <w:bodyDiv w:val="1"/>
      <w:marLeft w:val="0"/>
      <w:marRight w:val="0"/>
      <w:marTop w:val="0"/>
      <w:marBottom w:val="0"/>
      <w:divBdr>
        <w:top w:val="none" w:sz="0" w:space="0" w:color="auto"/>
        <w:left w:val="none" w:sz="0" w:space="0" w:color="auto"/>
        <w:bottom w:val="none" w:sz="0" w:space="0" w:color="auto"/>
        <w:right w:val="none" w:sz="0" w:space="0" w:color="auto"/>
      </w:divBdr>
    </w:div>
    <w:div w:id="846138632">
      <w:bodyDiv w:val="1"/>
      <w:marLeft w:val="0"/>
      <w:marRight w:val="0"/>
      <w:marTop w:val="0"/>
      <w:marBottom w:val="0"/>
      <w:divBdr>
        <w:top w:val="none" w:sz="0" w:space="0" w:color="auto"/>
        <w:left w:val="none" w:sz="0" w:space="0" w:color="auto"/>
        <w:bottom w:val="none" w:sz="0" w:space="0" w:color="auto"/>
        <w:right w:val="none" w:sz="0" w:space="0" w:color="auto"/>
      </w:divBdr>
    </w:div>
    <w:div w:id="847714089">
      <w:bodyDiv w:val="1"/>
      <w:marLeft w:val="0"/>
      <w:marRight w:val="0"/>
      <w:marTop w:val="0"/>
      <w:marBottom w:val="0"/>
      <w:divBdr>
        <w:top w:val="none" w:sz="0" w:space="0" w:color="auto"/>
        <w:left w:val="none" w:sz="0" w:space="0" w:color="auto"/>
        <w:bottom w:val="none" w:sz="0" w:space="0" w:color="auto"/>
        <w:right w:val="none" w:sz="0" w:space="0" w:color="auto"/>
      </w:divBdr>
    </w:div>
    <w:div w:id="857812641">
      <w:bodyDiv w:val="1"/>
      <w:marLeft w:val="0"/>
      <w:marRight w:val="0"/>
      <w:marTop w:val="0"/>
      <w:marBottom w:val="0"/>
      <w:divBdr>
        <w:top w:val="none" w:sz="0" w:space="0" w:color="auto"/>
        <w:left w:val="none" w:sz="0" w:space="0" w:color="auto"/>
        <w:bottom w:val="none" w:sz="0" w:space="0" w:color="auto"/>
        <w:right w:val="none" w:sz="0" w:space="0" w:color="auto"/>
      </w:divBdr>
    </w:div>
    <w:div w:id="867378443">
      <w:bodyDiv w:val="1"/>
      <w:marLeft w:val="0"/>
      <w:marRight w:val="0"/>
      <w:marTop w:val="0"/>
      <w:marBottom w:val="0"/>
      <w:divBdr>
        <w:top w:val="none" w:sz="0" w:space="0" w:color="auto"/>
        <w:left w:val="none" w:sz="0" w:space="0" w:color="auto"/>
        <w:bottom w:val="none" w:sz="0" w:space="0" w:color="auto"/>
        <w:right w:val="none" w:sz="0" w:space="0" w:color="auto"/>
      </w:divBdr>
    </w:div>
    <w:div w:id="880483203">
      <w:bodyDiv w:val="1"/>
      <w:marLeft w:val="0"/>
      <w:marRight w:val="0"/>
      <w:marTop w:val="0"/>
      <w:marBottom w:val="0"/>
      <w:divBdr>
        <w:top w:val="none" w:sz="0" w:space="0" w:color="auto"/>
        <w:left w:val="none" w:sz="0" w:space="0" w:color="auto"/>
        <w:bottom w:val="none" w:sz="0" w:space="0" w:color="auto"/>
        <w:right w:val="none" w:sz="0" w:space="0" w:color="auto"/>
      </w:divBdr>
      <w:divsChild>
        <w:div w:id="1826318595">
          <w:marLeft w:val="0"/>
          <w:marRight w:val="0"/>
          <w:marTop w:val="0"/>
          <w:marBottom w:val="0"/>
          <w:divBdr>
            <w:top w:val="none" w:sz="0" w:space="0" w:color="auto"/>
            <w:left w:val="none" w:sz="0" w:space="0" w:color="auto"/>
            <w:bottom w:val="none" w:sz="0" w:space="0" w:color="auto"/>
            <w:right w:val="none" w:sz="0" w:space="0" w:color="auto"/>
          </w:divBdr>
          <w:divsChild>
            <w:div w:id="831138351">
              <w:marLeft w:val="0"/>
              <w:marRight w:val="0"/>
              <w:marTop w:val="0"/>
              <w:marBottom w:val="0"/>
              <w:divBdr>
                <w:top w:val="none" w:sz="0" w:space="0" w:color="auto"/>
                <w:left w:val="none" w:sz="0" w:space="0" w:color="auto"/>
                <w:bottom w:val="none" w:sz="0" w:space="0" w:color="auto"/>
                <w:right w:val="none" w:sz="0" w:space="0" w:color="auto"/>
              </w:divBdr>
              <w:divsChild>
                <w:div w:id="2002192356">
                  <w:marLeft w:val="0"/>
                  <w:marRight w:val="0"/>
                  <w:marTop w:val="0"/>
                  <w:marBottom w:val="0"/>
                  <w:divBdr>
                    <w:top w:val="none" w:sz="0" w:space="0" w:color="auto"/>
                    <w:left w:val="none" w:sz="0" w:space="0" w:color="auto"/>
                    <w:bottom w:val="none" w:sz="0" w:space="0" w:color="auto"/>
                    <w:right w:val="none" w:sz="0" w:space="0" w:color="auto"/>
                  </w:divBdr>
                  <w:divsChild>
                    <w:div w:id="893664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2713529">
      <w:bodyDiv w:val="1"/>
      <w:marLeft w:val="0"/>
      <w:marRight w:val="0"/>
      <w:marTop w:val="0"/>
      <w:marBottom w:val="0"/>
      <w:divBdr>
        <w:top w:val="none" w:sz="0" w:space="0" w:color="auto"/>
        <w:left w:val="none" w:sz="0" w:space="0" w:color="auto"/>
        <w:bottom w:val="none" w:sz="0" w:space="0" w:color="auto"/>
        <w:right w:val="none" w:sz="0" w:space="0" w:color="auto"/>
      </w:divBdr>
    </w:div>
    <w:div w:id="888612501">
      <w:bodyDiv w:val="1"/>
      <w:marLeft w:val="0"/>
      <w:marRight w:val="0"/>
      <w:marTop w:val="0"/>
      <w:marBottom w:val="0"/>
      <w:divBdr>
        <w:top w:val="none" w:sz="0" w:space="0" w:color="auto"/>
        <w:left w:val="none" w:sz="0" w:space="0" w:color="auto"/>
        <w:bottom w:val="none" w:sz="0" w:space="0" w:color="auto"/>
        <w:right w:val="none" w:sz="0" w:space="0" w:color="auto"/>
      </w:divBdr>
    </w:div>
    <w:div w:id="889801532">
      <w:bodyDiv w:val="1"/>
      <w:marLeft w:val="0"/>
      <w:marRight w:val="0"/>
      <w:marTop w:val="0"/>
      <w:marBottom w:val="0"/>
      <w:divBdr>
        <w:top w:val="none" w:sz="0" w:space="0" w:color="auto"/>
        <w:left w:val="none" w:sz="0" w:space="0" w:color="auto"/>
        <w:bottom w:val="none" w:sz="0" w:space="0" w:color="auto"/>
        <w:right w:val="none" w:sz="0" w:space="0" w:color="auto"/>
      </w:divBdr>
    </w:div>
    <w:div w:id="889809071">
      <w:bodyDiv w:val="1"/>
      <w:marLeft w:val="0"/>
      <w:marRight w:val="0"/>
      <w:marTop w:val="0"/>
      <w:marBottom w:val="0"/>
      <w:divBdr>
        <w:top w:val="none" w:sz="0" w:space="0" w:color="auto"/>
        <w:left w:val="none" w:sz="0" w:space="0" w:color="auto"/>
        <w:bottom w:val="none" w:sz="0" w:space="0" w:color="auto"/>
        <w:right w:val="none" w:sz="0" w:space="0" w:color="auto"/>
      </w:divBdr>
    </w:div>
    <w:div w:id="893852250">
      <w:bodyDiv w:val="1"/>
      <w:marLeft w:val="0"/>
      <w:marRight w:val="0"/>
      <w:marTop w:val="0"/>
      <w:marBottom w:val="0"/>
      <w:divBdr>
        <w:top w:val="none" w:sz="0" w:space="0" w:color="auto"/>
        <w:left w:val="none" w:sz="0" w:space="0" w:color="auto"/>
        <w:bottom w:val="none" w:sz="0" w:space="0" w:color="auto"/>
        <w:right w:val="none" w:sz="0" w:space="0" w:color="auto"/>
      </w:divBdr>
    </w:div>
    <w:div w:id="911693175">
      <w:bodyDiv w:val="1"/>
      <w:marLeft w:val="0"/>
      <w:marRight w:val="0"/>
      <w:marTop w:val="0"/>
      <w:marBottom w:val="0"/>
      <w:divBdr>
        <w:top w:val="none" w:sz="0" w:space="0" w:color="auto"/>
        <w:left w:val="none" w:sz="0" w:space="0" w:color="auto"/>
        <w:bottom w:val="none" w:sz="0" w:space="0" w:color="auto"/>
        <w:right w:val="none" w:sz="0" w:space="0" w:color="auto"/>
      </w:divBdr>
    </w:div>
    <w:div w:id="911737028">
      <w:bodyDiv w:val="1"/>
      <w:marLeft w:val="0"/>
      <w:marRight w:val="0"/>
      <w:marTop w:val="0"/>
      <w:marBottom w:val="0"/>
      <w:divBdr>
        <w:top w:val="none" w:sz="0" w:space="0" w:color="auto"/>
        <w:left w:val="none" w:sz="0" w:space="0" w:color="auto"/>
        <w:bottom w:val="none" w:sz="0" w:space="0" w:color="auto"/>
        <w:right w:val="none" w:sz="0" w:space="0" w:color="auto"/>
      </w:divBdr>
    </w:div>
    <w:div w:id="925461704">
      <w:bodyDiv w:val="1"/>
      <w:marLeft w:val="0"/>
      <w:marRight w:val="0"/>
      <w:marTop w:val="0"/>
      <w:marBottom w:val="0"/>
      <w:divBdr>
        <w:top w:val="none" w:sz="0" w:space="0" w:color="auto"/>
        <w:left w:val="none" w:sz="0" w:space="0" w:color="auto"/>
        <w:bottom w:val="none" w:sz="0" w:space="0" w:color="auto"/>
        <w:right w:val="none" w:sz="0" w:space="0" w:color="auto"/>
      </w:divBdr>
      <w:divsChild>
        <w:div w:id="20979430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2668358">
              <w:marLeft w:val="0"/>
              <w:marRight w:val="0"/>
              <w:marTop w:val="0"/>
              <w:marBottom w:val="0"/>
              <w:divBdr>
                <w:top w:val="none" w:sz="0" w:space="0" w:color="auto"/>
                <w:left w:val="none" w:sz="0" w:space="0" w:color="auto"/>
                <w:bottom w:val="none" w:sz="0" w:space="0" w:color="auto"/>
                <w:right w:val="none" w:sz="0" w:space="0" w:color="auto"/>
              </w:divBdr>
              <w:divsChild>
                <w:div w:id="128521125">
                  <w:marLeft w:val="0"/>
                  <w:marRight w:val="0"/>
                  <w:marTop w:val="0"/>
                  <w:marBottom w:val="0"/>
                  <w:divBdr>
                    <w:top w:val="none" w:sz="0" w:space="0" w:color="auto"/>
                    <w:left w:val="none" w:sz="0" w:space="0" w:color="auto"/>
                    <w:bottom w:val="none" w:sz="0" w:space="0" w:color="auto"/>
                    <w:right w:val="none" w:sz="0" w:space="0" w:color="auto"/>
                  </w:divBdr>
                </w:div>
                <w:div w:id="1098983750">
                  <w:marLeft w:val="0"/>
                  <w:marRight w:val="0"/>
                  <w:marTop w:val="0"/>
                  <w:marBottom w:val="0"/>
                  <w:divBdr>
                    <w:top w:val="none" w:sz="0" w:space="0" w:color="auto"/>
                    <w:left w:val="none" w:sz="0" w:space="0" w:color="auto"/>
                    <w:bottom w:val="none" w:sz="0" w:space="0" w:color="auto"/>
                    <w:right w:val="none" w:sz="0" w:space="0" w:color="auto"/>
                  </w:divBdr>
                </w:div>
                <w:div w:id="1916939468">
                  <w:marLeft w:val="0"/>
                  <w:marRight w:val="0"/>
                  <w:marTop w:val="0"/>
                  <w:marBottom w:val="0"/>
                  <w:divBdr>
                    <w:top w:val="none" w:sz="0" w:space="0" w:color="auto"/>
                    <w:left w:val="none" w:sz="0" w:space="0" w:color="auto"/>
                    <w:bottom w:val="none" w:sz="0" w:space="0" w:color="auto"/>
                    <w:right w:val="none" w:sz="0" w:space="0" w:color="auto"/>
                  </w:divBdr>
                </w:div>
                <w:div w:id="689641860">
                  <w:marLeft w:val="0"/>
                  <w:marRight w:val="0"/>
                  <w:marTop w:val="0"/>
                  <w:marBottom w:val="0"/>
                  <w:divBdr>
                    <w:top w:val="none" w:sz="0" w:space="0" w:color="auto"/>
                    <w:left w:val="none" w:sz="0" w:space="0" w:color="auto"/>
                    <w:bottom w:val="none" w:sz="0" w:space="0" w:color="auto"/>
                    <w:right w:val="none" w:sz="0" w:space="0" w:color="auto"/>
                  </w:divBdr>
                  <w:divsChild>
                    <w:div w:id="213583113">
                      <w:marLeft w:val="0"/>
                      <w:marRight w:val="0"/>
                      <w:marTop w:val="0"/>
                      <w:marBottom w:val="0"/>
                      <w:divBdr>
                        <w:top w:val="none" w:sz="0" w:space="0" w:color="auto"/>
                        <w:left w:val="none" w:sz="0" w:space="0" w:color="auto"/>
                        <w:bottom w:val="none" w:sz="0" w:space="0" w:color="auto"/>
                        <w:right w:val="none" w:sz="0" w:space="0" w:color="auto"/>
                      </w:divBdr>
                      <w:divsChild>
                        <w:div w:id="855852067">
                          <w:marLeft w:val="0"/>
                          <w:marRight w:val="0"/>
                          <w:marTop w:val="0"/>
                          <w:marBottom w:val="0"/>
                          <w:divBdr>
                            <w:top w:val="none" w:sz="0" w:space="0" w:color="auto"/>
                            <w:left w:val="none" w:sz="0" w:space="0" w:color="auto"/>
                            <w:bottom w:val="none" w:sz="0" w:space="0" w:color="auto"/>
                            <w:right w:val="none" w:sz="0" w:space="0" w:color="auto"/>
                          </w:divBdr>
                          <w:divsChild>
                            <w:div w:id="193426234">
                              <w:marLeft w:val="0"/>
                              <w:marRight w:val="0"/>
                              <w:marTop w:val="0"/>
                              <w:marBottom w:val="0"/>
                              <w:divBdr>
                                <w:top w:val="none" w:sz="0" w:space="0" w:color="auto"/>
                                <w:left w:val="none" w:sz="0" w:space="0" w:color="auto"/>
                                <w:bottom w:val="none" w:sz="0" w:space="0" w:color="auto"/>
                                <w:right w:val="none" w:sz="0" w:space="0" w:color="auto"/>
                              </w:divBdr>
                              <w:divsChild>
                                <w:div w:id="592977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7545050">
      <w:bodyDiv w:val="1"/>
      <w:marLeft w:val="0"/>
      <w:marRight w:val="0"/>
      <w:marTop w:val="0"/>
      <w:marBottom w:val="0"/>
      <w:divBdr>
        <w:top w:val="none" w:sz="0" w:space="0" w:color="auto"/>
        <w:left w:val="none" w:sz="0" w:space="0" w:color="auto"/>
        <w:bottom w:val="none" w:sz="0" w:space="0" w:color="auto"/>
        <w:right w:val="none" w:sz="0" w:space="0" w:color="auto"/>
      </w:divBdr>
    </w:div>
    <w:div w:id="929200099">
      <w:bodyDiv w:val="1"/>
      <w:marLeft w:val="0"/>
      <w:marRight w:val="0"/>
      <w:marTop w:val="0"/>
      <w:marBottom w:val="0"/>
      <w:divBdr>
        <w:top w:val="none" w:sz="0" w:space="0" w:color="auto"/>
        <w:left w:val="none" w:sz="0" w:space="0" w:color="auto"/>
        <w:bottom w:val="none" w:sz="0" w:space="0" w:color="auto"/>
        <w:right w:val="none" w:sz="0" w:space="0" w:color="auto"/>
      </w:divBdr>
    </w:div>
    <w:div w:id="942029187">
      <w:bodyDiv w:val="1"/>
      <w:marLeft w:val="0"/>
      <w:marRight w:val="0"/>
      <w:marTop w:val="0"/>
      <w:marBottom w:val="0"/>
      <w:divBdr>
        <w:top w:val="none" w:sz="0" w:space="0" w:color="auto"/>
        <w:left w:val="none" w:sz="0" w:space="0" w:color="auto"/>
        <w:bottom w:val="none" w:sz="0" w:space="0" w:color="auto"/>
        <w:right w:val="none" w:sz="0" w:space="0" w:color="auto"/>
      </w:divBdr>
    </w:div>
    <w:div w:id="944118364">
      <w:bodyDiv w:val="1"/>
      <w:marLeft w:val="0"/>
      <w:marRight w:val="0"/>
      <w:marTop w:val="0"/>
      <w:marBottom w:val="0"/>
      <w:divBdr>
        <w:top w:val="none" w:sz="0" w:space="0" w:color="auto"/>
        <w:left w:val="none" w:sz="0" w:space="0" w:color="auto"/>
        <w:bottom w:val="none" w:sz="0" w:space="0" w:color="auto"/>
        <w:right w:val="none" w:sz="0" w:space="0" w:color="auto"/>
      </w:divBdr>
    </w:div>
    <w:div w:id="949749740">
      <w:bodyDiv w:val="1"/>
      <w:marLeft w:val="0"/>
      <w:marRight w:val="0"/>
      <w:marTop w:val="0"/>
      <w:marBottom w:val="0"/>
      <w:divBdr>
        <w:top w:val="none" w:sz="0" w:space="0" w:color="auto"/>
        <w:left w:val="none" w:sz="0" w:space="0" w:color="auto"/>
        <w:bottom w:val="none" w:sz="0" w:space="0" w:color="auto"/>
        <w:right w:val="none" w:sz="0" w:space="0" w:color="auto"/>
      </w:divBdr>
    </w:div>
    <w:div w:id="960575464">
      <w:bodyDiv w:val="1"/>
      <w:marLeft w:val="0"/>
      <w:marRight w:val="0"/>
      <w:marTop w:val="0"/>
      <w:marBottom w:val="0"/>
      <w:divBdr>
        <w:top w:val="none" w:sz="0" w:space="0" w:color="auto"/>
        <w:left w:val="none" w:sz="0" w:space="0" w:color="auto"/>
        <w:bottom w:val="none" w:sz="0" w:space="0" w:color="auto"/>
        <w:right w:val="none" w:sz="0" w:space="0" w:color="auto"/>
      </w:divBdr>
    </w:div>
    <w:div w:id="961031424">
      <w:bodyDiv w:val="1"/>
      <w:marLeft w:val="0"/>
      <w:marRight w:val="0"/>
      <w:marTop w:val="0"/>
      <w:marBottom w:val="0"/>
      <w:divBdr>
        <w:top w:val="none" w:sz="0" w:space="0" w:color="auto"/>
        <w:left w:val="none" w:sz="0" w:space="0" w:color="auto"/>
        <w:bottom w:val="none" w:sz="0" w:space="0" w:color="auto"/>
        <w:right w:val="none" w:sz="0" w:space="0" w:color="auto"/>
      </w:divBdr>
    </w:div>
    <w:div w:id="965234927">
      <w:bodyDiv w:val="1"/>
      <w:marLeft w:val="0"/>
      <w:marRight w:val="0"/>
      <w:marTop w:val="0"/>
      <w:marBottom w:val="0"/>
      <w:divBdr>
        <w:top w:val="none" w:sz="0" w:space="0" w:color="auto"/>
        <w:left w:val="none" w:sz="0" w:space="0" w:color="auto"/>
        <w:bottom w:val="none" w:sz="0" w:space="0" w:color="auto"/>
        <w:right w:val="none" w:sz="0" w:space="0" w:color="auto"/>
      </w:divBdr>
    </w:div>
    <w:div w:id="974987872">
      <w:bodyDiv w:val="1"/>
      <w:marLeft w:val="0"/>
      <w:marRight w:val="0"/>
      <w:marTop w:val="0"/>
      <w:marBottom w:val="0"/>
      <w:divBdr>
        <w:top w:val="none" w:sz="0" w:space="0" w:color="auto"/>
        <w:left w:val="none" w:sz="0" w:space="0" w:color="auto"/>
        <w:bottom w:val="none" w:sz="0" w:space="0" w:color="auto"/>
        <w:right w:val="none" w:sz="0" w:space="0" w:color="auto"/>
      </w:divBdr>
    </w:div>
    <w:div w:id="977493279">
      <w:bodyDiv w:val="1"/>
      <w:marLeft w:val="0"/>
      <w:marRight w:val="0"/>
      <w:marTop w:val="0"/>
      <w:marBottom w:val="0"/>
      <w:divBdr>
        <w:top w:val="none" w:sz="0" w:space="0" w:color="auto"/>
        <w:left w:val="none" w:sz="0" w:space="0" w:color="auto"/>
        <w:bottom w:val="none" w:sz="0" w:space="0" w:color="auto"/>
        <w:right w:val="none" w:sz="0" w:space="0" w:color="auto"/>
      </w:divBdr>
    </w:div>
    <w:div w:id="980420477">
      <w:bodyDiv w:val="1"/>
      <w:marLeft w:val="0"/>
      <w:marRight w:val="0"/>
      <w:marTop w:val="0"/>
      <w:marBottom w:val="0"/>
      <w:divBdr>
        <w:top w:val="none" w:sz="0" w:space="0" w:color="auto"/>
        <w:left w:val="none" w:sz="0" w:space="0" w:color="auto"/>
        <w:bottom w:val="none" w:sz="0" w:space="0" w:color="auto"/>
        <w:right w:val="none" w:sz="0" w:space="0" w:color="auto"/>
      </w:divBdr>
    </w:div>
    <w:div w:id="981276333">
      <w:bodyDiv w:val="1"/>
      <w:marLeft w:val="0"/>
      <w:marRight w:val="0"/>
      <w:marTop w:val="0"/>
      <w:marBottom w:val="0"/>
      <w:divBdr>
        <w:top w:val="none" w:sz="0" w:space="0" w:color="auto"/>
        <w:left w:val="none" w:sz="0" w:space="0" w:color="auto"/>
        <w:bottom w:val="none" w:sz="0" w:space="0" w:color="auto"/>
        <w:right w:val="none" w:sz="0" w:space="0" w:color="auto"/>
      </w:divBdr>
    </w:div>
    <w:div w:id="983193538">
      <w:bodyDiv w:val="1"/>
      <w:marLeft w:val="0"/>
      <w:marRight w:val="0"/>
      <w:marTop w:val="0"/>
      <w:marBottom w:val="0"/>
      <w:divBdr>
        <w:top w:val="none" w:sz="0" w:space="0" w:color="auto"/>
        <w:left w:val="none" w:sz="0" w:space="0" w:color="auto"/>
        <w:bottom w:val="none" w:sz="0" w:space="0" w:color="auto"/>
        <w:right w:val="none" w:sz="0" w:space="0" w:color="auto"/>
      </w:divBdr>
    </w:div>
    <w:div w:id="984285314">
      <w:bodyDiv w:val="1"/>
      <w:marLeft w:val="0"/>
      <w:marRight w:val="0"/>
      <w:marTop w:val="0"/>
      <w:marBottom w:val="0"/>
      <w:divBdr>
        <w:top w:val="none" w:sz="0" w:space="0" w:color="auto"/>
        <w:left w:val="none" w:sz="0" w:space="0" w:color="auto"/>
        <w:bottom w:val="none" w:sz="0" w:space="0" w:color="auto"/>
        <w:right w:val="none" w:sz="0" w:space="0" w:color="auto"/>
      </w:divBdr>
    </w:div>
    <w:div w:id="984553901">
      <w:bodyDiv w:val="1"/>
      <w:marLeft w:val="0"/>
      <w:marRight w:val="0"/>
      <w:marTop w:val="0"/>
      <w:marBottom w:val="0"/>
      <w:divBdr>
        <w:top w:val="none" w:sz="0" w:space="0" w:color="auto"/>
        <w:left w:val="none" w:sz="0" w:space="0" w:color="auto"/>
        <w:bottom w:val="none" w:sz="0" w:space="0" w:color="auto"/>
        <w:right w:val="none" w:sz="0" w:space="0" w:color="auto"/>
      </w:divBdr>
    </w:div>
    <w:div w:id="988627907">
      <w:bodyDiv w:val="1"/>
      <w:marLeft w:val="0"/>
      <w:marRight w:val="0"/>
      <w:marTop w:val="0"/>
      <w:marBottom w:val="0"/>
      <w:divBdr>
        <w:top w:val="none" w:sz="0" w:space="0" w:color="auto"/>
        <w:left w:val="none" w:sz="0" w:space="0" w:color="auto"/>
        <w:bottom w:val="none" w:sz="0" w:space="0" w:color="auto"/>
        <w:right w:val="none" w:sz="0" w:space="0" w:color="auto"/>
      </w:divBdr>
    </w:div>
    <w:div w:id="992948567">
      <w:bodyDiv w:val="1"/>
      <w:marLeft w:val="0"/>
      <w:marRight w:val="0"/>
      <w:marTop w:val="0"/>
      <w:marBottom w:val="0"/>
      <w:divBdr>
        <w:top w:val="none" w:sz="0" w:space="0" w:color="auto"/>
        <w:left w:val="none" w:sz="0" w:space="0" w:color="auto"/>
        <w:bottom w:val="none" w:sz="0" w:space="0" w:color="auto"/>
        <w:right w:val="none" w:sz="0" w:space="0" w:color="auto"/>
      </w:divBdr>
    </w:div>
    <w:div w:id="998924108">
      <w:bodyDiv w:val="1"/>
      <w:marLeft w:val="0"/>
      <w:marRight w:val="0"/>
      <w:marTop w:val="0"/>
      <w:marBottom w:val="0"/>
      <w:divBdr>
        <w:top w:val="none" w:sz="0" w:space="0" w:color="auto"/>
        <w:left w:val="none" w:sz="0" w:space="0" w:color="auto"/>
        <w:bottom w:val="none" w:sz="0" w:space="0" w:color="auto"/>
        <w:right w:val="none" w:sz="0" w:space="0" w:color="auto"/>
      </w:divBdr>
    </w:div>
    <w:div w:id="1006664044">
      <w:bodyDiv w:val="1"/>
      <w:marLeft w:val="0"/>
      <w:marRight w:val="0"/>
      <w:marTop w:val="0"/>
      <w:marBottom w:val="0"/>
      <w:divBdr>
        <w:top w:val="none" w:sz="0" w:space="0" w:color="auto"/>
        <w:left w:val="none" w:sz="0" w:space="0" w:color="auto"/>
        <w:bottom w:val="none" w:sz="0" w:space="0" w:color="auto"/>
        <w:right w:val="none" w:sz="0" w:space="0" w:color="auto"/>
      </w:divBdr>
    </w:div>
    <w:div w:id="1008408209">
      <w:bodyDiv w:val="1"/>
      <w:marLeft w:val="0"/>
      <w:marRight w:val="0"/>
      <w:marTop w:val="0"/>
      <w:marBottom w:val="0"/>
      <w:divBdr>
        <w:top w:val="none" w:sz="0" w:space="0" w:color="auto"/>
        <w:left w:val="none" w:sz="0" w:space="0" w:color="auto"/>
        <w:bottom w:val="none" w:sz="0" w:space="0" w:color="auto"/>
        <w:right w:val="none" w:sz="0" w:space="0" w:color="auto"/>
      </w:divBdr>
    </w:div>
    <w:div w:id="1011681438">
      <w:bodyDiv w:val="1"/>
      <w:marLeft w:val="0"/>
      <w:marRight w:val="0"/>
      <w:marTop w:val="0"/>
      <w:marBottom w:val="0"/>
      <w:divBdr>
        <w:top w:val="none" w:sz="0" w:space="0" w:color="auto"/>
        <w:left w:val="none" w:sz="0" w:space="0" w:color="auto"/>
        <w:bottom w:val="none" w:sz="0" w:space="0" w:color="auto"/>
        <w:right w:val="none" w:sz="0" w:space="0" w:color="auto"/>
      </w:divBdr>
      <w:divsChild>
        <w:div w:id="1607998250">
          <w:marLeft w:val="0"/>
          <w:marRight w:val="0"/>
          <w:marTop w:val="0"/>
          <w:marBottom w:val="0"/>
          <w:divBdr>
            <w:top w:val="none" w:sz="0" w:space="0" w:color="auto"/>
            <w:left w:val="none" w:sz="0" w:space="0" w:color="auto"/>
            <w:bottom w:val="none" w:sz="0" w:space="0" w:color="auto"/>
            <w:right w:val="none" w:sz="0" w:space="0" w:color="auto"/>
          </w:divBdr>
          <w:divsChild>
            <w:div w:id="1725523627">
              <w:marLeft w:val="0"/>
              <w:marRight w:val="0"/>
              <w:marTop w:val="0"/>
              <w:marBottom w:val="0"/>
              <w:divBdr>
                <w:top w:val="none" w:sz="0" w:space="0" w:color="auto"/>
                <w:left w:val="none" w:sz="0" w:space="0" w:color="auto"/>
                <w:bottom w:val="none" w:sz="0" w:space="0" w:color="auto"/>
                <w:right w:val="none" w:sz="0" w:space="0" w:color="auto"/>
              </w:divBdr>
              <w:divsChild>
                <w:div w:id="1085565175">
                  <w:marLeft w:val="0"/>
                  <w:marRight w:val="0"/>
                  <w:marTop w:val="0"/>
                  <w:marBottom w:val="0"/>
                  <w:divBdr>
                    <w:top w:val="none" w:sz="0" w:space="0" w:color="auto"/>
                    <w:left w:val="none" w:sz="0" w:space="0" w:color="auto"/>
                    <w:bottom w:val="none" w:sz="0" w:space="0" w:color="auto"/>
                    <w:right w:val="none" w:sz="0" w:space="0" w:color="auto"/>
                  </w:divBdr>
                  <w:divsChild>
                    <w:div w:id="1767074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6006823">
      <w:bodyDiv w:val="1"/>
      <w:marLeft w:val="0"/>
      <w:marRight w:val="0"/>
      <w:marTop w:val="0"/>
      <w:marBottom w:val="0"/>
      <w:divBdr>
        <w:top w:val="none" w:sz="0" w:space="0" w:color="auto"/>
        <w:left w:val="none" w:sz="0" w:space="0" w:color="auto"/>
        <w:bottom w:val="none" w:sz="0" w:space="0" w:color="auto"/>
        <w:right w:val="none" w:sz="0" w:space="0" w:color="auto"/>
      </w:divBdr>
    </w:div>
    <w:div w:id="1016493973">
      <w:bodyDiv w:val="1"/>
      <w:marLeft w:val="0"/>
      <w:marRight w:val="0"/>
      <w:marTop w:val="0"/>
      <w:marBottom w:val="0"/>
      <w:divBdr>
        <w:top w:val="none" w:sz="0" w:space="0" w:color="auto"/>
        <w:left w:val="none" w:sz="0" w:space="0" w:color="auto"/>
        <w:bottom w:val="none" w:sz="0" w:space="0" w:color="auto"/>
        <w:right w:val="none" w:sz="0" w:space="0" w:color="auto"/>
      </w:divBdr>
    </w:div>
    <w:div w:id="1017073538">
      <w:bodyDiv w:val="1"/>
      <w:marLeft w:val="0"/>
      <w:marRight w:val="0"/>
      <w:marTop w:val="0"/>
      <w:marBottom w:val="0"/>
      <w:divBdr>
        <w:top w:val="none" w:sz="0" w:space="0" w:color="auto"/>
        <w:left w:val="none" w:sz="0" w:space="0" w:color="auto"/>
        <w:bottom w:val="none" w:sz="0" w:space="0" w:color="auto"/>
        <w:right w:val="none" w:sz="0" w:space="0" w:color="auto"/>
      </w:divBdr>
    </w:div>
    <w:div w:id="1019040789">
      <w:bodyDiv w:val="1"/>
      <w:marLeft w:val="0"/>
      <w:marRight w:val="0"/>
      <w:marTop w:val="0"/>
      <w:marBottom w:val="0"/>
      <w:divBdr>
        <w:top w:val="none" w:sz="0" w:space="0" w:color="auto"/>
        <w:left w:val="none" w:sz="0" w:space="0" w:color="auto"/>
        <w:bottom w:val="none" w:sz="0" w:space="0" w:color="auto"/>
        <w:right w:val="none" w:sz="0" w:space="0" w:color="auto"/>
      </w:divBdr>
    </w:div>
    <w:div w:id="1021391486">
      <w:bodyDiv w:val="1"/>
      <w:marLeft w:val="0"/>
      <w:marRight w:val="0"/>
      <w:marTop w:val="0"/>
      <w:marBottom w:val="0"/>
      <w:divBdr>
        <w:top w:val="none" w:sz="0" w:space="0" w:color="auto"/>
        <w:left w:val="none" w:sz="0" w:space="0" w:color="auto"/>
        <w:bottom w:val="none" w:sz="0" w:space="0" w:color="auto"/>
        <w:right w:val="none" w:sz="0" w:space="0" w:color="auto"/>
      </w:divBdr>
      <w:divsChild>
        <w:div w:id="1853832825">
          <w:marLeft w:val="0"/>
          <w:marRight w:val="0"/>
          <w:marTop w:val="0"/>
          <w:marBottom w:val="0"/>
          <w:divBdr>
            <w:top w:val="none" w:sz="0" w:space="0" w:color="auto"/>
            <w:left w:val="none" w:sz="0" w:space="0" w:color="auto"/>
            <w:bottom w:val="none" w:sz="0" w:space="0" w:color="auto"/>
            <w:right w:val="none" w:sz="0" w:space="0" w:color="auto"/>
          </w:divBdr>
          <w:divsChild>
            <w:div w:id="510219249">
              <w:marLeft w:val="0"/>
              <w:marRight w:val="0"/>
              <w:marTop w:val="0"/>
              <w:marBottom w:val="0"/>
              <w:divBdr>
                <w:top w:val="none" w:sz="0" w:space="0" w:color="auto"/>
                <w:left w:val="none" w:sz="0" w:space="0" w:color="auto"/>
                <w:bottom w:val="none" w:sz="0" w:space="0" w:color="auto"/>
                <w:right w:val="none" w:sz="0" w:space="0" w:color="auto"/>
              </w:divBdr>
              <w:divsChild>
                <w:div w:id="1015502384">
                  <w:marLeft w:val="0"/>
                  <w:marRight w:val="0"/>
                  <w:marTop w:val="0"/>
                  <w:marBottom w:val="0"/>
                  <w:divBdr>
                    <w:top w:val="none" w:sz="0" w:space="0" w:color="auto"/>
                    <w:left w:val="none" w:sz="0" w:space="0" w:color="auto"/>
                    <w:bottom w:val="none" w:sz="0" w:space="0" w:color="auto"/>
                    <w:right w:val="none" w:sz="0" w:space="0" w:color="auto"/>
                  </w:divBdr>
                  <w:divsChild>
                    <w:div w:id="1243371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2633410">
      <w:bodyDiv w:val="1"/>
      <w:marLeft w:val="0"/>
      <w:marRight w:val="0"/>
      <w:marTop w:val="0"/>
      <w:marBottom w:val="0"/>
      <w:divBdr>
        <w:top w:val="none" w:sz="0" w:space="0" w:color="auto"/>
        <w:left w:val="none" w:sz="0" w:space="0" w:color="auto"/>
        <w:bottom w:val="none" w:sz="0" w:space="0" w:color="auto"/>
        <w:right w:val="none" w:sz="0" w:space="0" w:color="auto"/>
      </w:divBdr>
    </w:div>
    <w:div w:id="1024786938">
      <w:bodyDiv w:val="1"/>
      <w:marLeft w:val="0"/>
      <w:marRight w:val="0"/>
      <w:marTop w:val="0"/>
      <w:marBottom w:val="0"/>
      <w:divBdr>
        <w:top w:val="none" w:sz="0" w:space="0" w:color="auto"/>
        <w:left w:val="none" w:sz="0" w:space="0" w:color="auto"/>
        <w:bottom w:val="none" w:sz="0" w:space="0" w:color="auto"/>
        <w:right w:val="none" w:sz="0" w:space="0" w:color="auto"/>
      </w:divBdr>
    </w:div>
    <w:div w:id="1029065952">
      <w:bodyDiv w:val="1"/>
      <w:marLeft w:val="0"/>
      <w:marRight w:val="0"/>
      <w:marTop w:val="0"/>
      <w:marBottom w:val="0"/>
      <w:divBdr>
        <w:top w:val="none" w:sz="0" w:space="0" w:color="auto"/>
        <w:left w:val="none" w:sz="0" w:space="0" w:color="auto"/>
        <w:bottom w:val="none" w:sz="0" w:space="0" w:color="auto"/>
        <w:right w:val="none" w:sz="0" w:space="0" w:color="auto"/>
      </w:divBdr>
      <w:divsChild>
        <w:div w:id="443964641">
          <w:marLeft w:val="0"/>
          <w:marRight w:val="0"/>
          <w:marTop w:val="0"/>
          <w:marBottom w:val="0"/>
          <w:divBdr>
            <w:top w:val="none" w:sz="0" w:space="0" w:color="auto"/>
            <w:left w:val="none" w:sz="0" w:space="0" w:color="auto"/>
            <w:bottom w:val="none" w:sz="0" w:space="0" w:color="auto"/>
            <w:right w:val="none" w:sz="0" w:space="0" w:color="auto"/>
          </w:divBdr>
          <w:divsChild>
            <w:div w:id="1771465406">
              <w:marLeft w:val="0"/>
              <w:marRight w:val="0"/>
              <w:marTop w:val="0"/>
              <w:marBottom w:val="0"/>
              <w:divBdr>
                <w:top w:val="none" w:sz="0" w:space="0" w:color="auto"/>
                <w:left w:val="none" w:sz="0" w:space="0" w:color="auto"/>
                <w:bottom w:val="none" w:sz="0" w:space="0" w:color="auto"/>
                <w:right w:val="none" w:sz="0" w:space="0" w:color="auto"/>
              </w:divBdr>
              <w:divsChild>
                <w:div w:id="1406758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395560">
      <w:bodyDiv w:val="1"/>
      <w:marLeft w:val="0"/>
      <w:marRight w:val="0"/>
      <w:marTop w:val="0"/>
      <w:marBottom w:val="0"/>
      <w:divBdr>
        <w:top w:val="none" w:sz="0" w:space="0" w:color="auto"/>
        <w:left w:val="none" w:sz="0" w:space="0" w:color="auto"/>
        <w:bottom w:val="none" w:sz="0" w:space="0" w:color="auto"/>
        <w:right w:val="none" w:sz="0" w:space="0" w:color="auto"/>
      </w:divBdr>
    </w:div>
    <w:div w:id="1040133218">
      <w:bodyDiv w:val="1"/>
      <w:marLeft w:val="0"/>
      <w:marRight w:val="0"/>
      <w:marTop w:val="0"/>
      <w:marBottom w:val="0"/>
      <w:divBdr>
        <w:top w:val="none" w:sz="0" w:space="0" w:color="auto"/>
        <w:left w:val="none" w:sz="0" w:space="0" w:color="auto"/>
        <w:bottom w:val="none" w:sz="0" w:space="0" w:color="auto"/>
        <w:right w:val="none" w:sz="0" w:space="0" w:color="auto"/>
      </w:divBdr>
    </w:div>
    <w:div w:id="1045372092">
      <w:bodyDiv w:val="1"/>
      <w:marLeft w:val="0"/>
      <w:marRight w:val="0"/>
      <w:marTop w:val="0"/>
      <w:marBottom w:val="0"/>
      <w:divBdr>
        <w:top w:val="none" w:sz="0" w:space="0" w:color="auto"/>
        <w:left w:val="none" w:sz="0" w:space="0" w:color="auto"/>
        <w:bottom w:val="none" w:sz="0" w:space="0" w:color="auto"/>
        <w:right w:val="none" w:sz="0" w:space="0" w:color="auto"/>
      </w:divBdr>
    </w:div>
    <w:div w:id="1055857957">
      <w:bodyDiv w:val="1"/>
      <w:marLeft w:val="0"/>
      <w:marRight w:val="0"/>
      <w:marTop w:val="0"/>
      <w:marBottom w:val="0"/>
      <w:divBdr>
        <w:top w:val="none" w:sz="0" w:space="0" w:color="auto"/>
        <w:left w:val="none" w:sz="0" w:space="0" w:color="auto"/>
        <w:bottom w:val="none" w:sz="0" w:space="0" w:color="auto"/>
        <w:right w:val="none" w:sz="0" w:space="0" w:color="auto"/>
      </w:divBdr>
    </w:div>
    <w:div w:id="1061824856">
      <w:bodyDiv w:val="1"/>
      <w:marLeft w:val="0"/>
      <w:marRight w:val="0"/>
      <w:marTop w:val="0"/>
      <w:marBottom w:val="0"/>
      <w:divBdr>
        <w:top w:val="none" w:sz="0" w:space="0" w:color="auto"/>
        <w:left w:val="none" w:sz="0" w:space="0" w:color="auto"/>
        <w:bottom w:val="none" w:sz="0" w:space="0" w:color="auto"/>
        <w:right w:val="none" w:sz="0" w:space="0" w:color="auto"/>
      </w:divBdr>
    </w:div>
    <w:div w:id="1064716934">
      <w:bodyDiv w:val="1"/>
      <w:marLeft w:val="0"/>
      <w:marRight w:val="0"/>
      <w:marTop w:val="0"/>
      <w:marBottom w:val="0"/>
      <w:divBdr>
        <w:top w:val="none" w:sz="0" w:space="0" w:color="auto"/>
        <w:left w:val="none" w:sz="0" w:space="0" w:color="auto"/>
        <w:bottom w:val="none" w:sz="0" w:space="0" w:color="auto"/>
        <w:right w:val="none" w:sz="0" w:space="0" w:color="auto"/>
      </w:divBdr>
    </w:div>
    <w:div w:id="1076320007">
      <w:bodyDiv w:val="1"/>
      <w:marLeft w:val="0"/>
      <w:marRight w:val="0"/>
      <w:marTop w:val="0"/>
      <w:marBottom w:val="0"/>
      <w:divBdr>
        <w:top w:val="none" w:sz="0" w:space="0" w:color="auto"/>
        <w:left w:val="none" w:sz="0" w:space="0" w:color="auto"/>
        <w:bottom w:val="none" w:sz="0" w:space="0" w:color="auto"/>
        <w:right w:val="none" w:sz="0" w:space="0" w:color="auto"/>
      </w:divBdr>
    </w:div>
    <w:div w:id="1078137544">
      <w:bodyDiv w:val="1"/>
      <w:marLeft w:val="0"/>
      <w:marRight w:val="0"/>
      <w:marTop w:val="0"/>
      <w:marBottom w:val="0"/>
      <w:divBdr>
        <w:top w:val="none" w:sz="0" w:space="0" w:color="auto"/>
        <w:left w:val="none" w:sz="0" w:space="0" w:color="auto"/>
        <w:bottom w:val="none" w:sz="0" w:space="0" w:color="auto"/>
        <w:right w:val="none" w:sz="0" w:space="0" w:color="auto"/>
      </w:divBdr>
    </w:div>
    <w:div w:id="1087536704">
      <w:bodyDiv w:val="1"/>
      <w:marLeft w:val="0"/>
      <w:marRight w:val="0"/>
      <w:marTop w:val="0"/>
      <w:marBottom w:val="0"/>
      <w:divBdr>
        <w:top w:val="none" w:sz="0" w:space="0" w:color="auto"/>
        <w:left w:val="none" w:sz="0" w:space="0" w:color="auto"/>
        <w:bottom w:val="none" w:sz="0" w:space="0" w:color="auto"/>
        <w:right w:val="none" w:sz="0" w:space="0" w:color="auto"/>
      </w:divBdr>
    </w:div>
    <w:div w:id="1098478685">
      <w:bodyDiv w:val="1"/>
      <w:marLeft w:val="0"/>
      <w:marRight w:val="0"/>
      <w:marTop w:val="0"/>
      <w:marBottom w:val="0"/>
      <w:divBdr>
        <w:top w:val="none" w:sz="0" w:space="0" w:color="auto"/>
        <w:left w:val="none" w:sz="0" w:space="0" w:color="auto"/>
        <w:bottom w:val="none" w:sz="0" w:space="0" w:color="auto"/>
        <w:right w:val="none" w:sz="0" w:space="0" w:color="auto"/>
      </w:divBdr>
    </w:div>
    <w:div w:id="1100838701">
      <w:bodyDiv w:val="1"/>
      <w:marLeft w:val="0"/>
      <w:marRight w:val="0"/>
      <w:marTop w:val="0"/>
      <w:marBottom w:val="0"/>
      <w:divBdr>
        <w:top w:val="none" w:sz="0" w:space="0" w:color="auto"/>
        <w:left w:val="none" w:sz="0" w:space="0" w:color="auto"/>
        <w:bottom w:val="none" w:sz="0" w:space="0" w:color="auto"/>
        <w:right w:val="none" w:sz="0" w:space="0" w:color="auto"/>
      </w:divBdr>
    </w:div>
    <w:div w:id="1108934803">
      <w:bodyDiv w:val="1"/>
      <w:marLeft w:val="0"/>
      <w:marRight w:val="0"/>
      <w:marTop w:val="0"/>
      <w:marBottom w:val="0"/>
      <w:divBdr>
        <w:top w:val="none" w:sz="0" w:space="0" w:color="auto"/>
        <w:left w:val="none" w:sz="0" w:space="0" w:color="auto"/>
        <w:bottom w:val="none" w:sz="0" w:space="0" w:color="auto"/>
        <w:right w:val="none" w:sz="0" w:space="0" w:color="auto"/>
      </w:divBdr>
    </w:div>
    <w:div w:id="1114448764">
      <w:bodyDiv w:val="1"/>
      <w:marLeft w:val="0"/>
      <w:marRight w:val="0"/>
      <w:marTop w:val="0"/>
      <w:marBottom w:val="0"/>
      <w:divBdr>
        <w:top w:val="none" w:sz="0" w:space="0" w:color="auto"/>
        <w:left w:val="none" w:sz="0" w:space="0" w:color="auto"/>
        <w:bottom w:val="none" w:sz="0" w:space="0" w:color="auto"/>
        <w:right w:val="none" w:sz="0" w:space="0" w:color="auto"/>
      </w:divBdr>
    </w:div>
    <w:div w:id="1116488214">
      <w:bodyDiv w:val="1"/>
      <w:marLeft w:val="0"/>
      <w:marRight w:val="0"/>
      <w:marTop w:val="0"/>
      <w:marBottom w:val="0"/>
      <w:divBdr>
        <w:top w:val="none" w:sz="0" w:space="0" w:color="auto"/>
        <w:left w:val="none" w:sz="0" w:space="0" w:color="auto"/>
        <w:bottom w:val="none" w:sz="0" w:space="0" w:color="auto"/>
        <w:right w:val="none" w:sz="0" w:space="0" w:color="auto"/>
      </w:divBdr>
    </w:div>
    <w:div w:id="1117799687">
      <w:bodyDiv w:val="1"/>
      <w:marLeft w:val="0"/>
      <w:marRight w:val="0"/>
      <w:marTop w:val="0"/>
      <w:marBottom w:val="0"/>
      <w:divBdr>
        <w:top w:val="none" w:sz="0" w:space="0" w:color="auto"/>
        <w:left w:val="none" w:sz="0" w:space="0" w:color="auto"/>
        <w:bottom w:val="none" w:sz="0" w:space="0" w:color="auto"/>
        <w:right w:val="none" w:sz="0" w:space="0" w:color="auto"/>
      </w:divBdr>
    </w:div>
    <w:div w:id="1126775785">
      <w:bodyDiv w:val="1"/>
      <w:marLeft w:val="0"/>
      <w:marRight w:val="0"/>
      <w:marTop w:val="0"/>
      <w:marBottom w:val="0"/>
      <w:divBdr>
        <w:top w:val="none" w:sz="0" w:space="0" w:color="auto"/>
        <w:left w:val="none" w:sz="0" w:space="0" w:color="auto"/>
        <w:bottom w:val="none" w:sz="0" w:space="0" w:color="auto"/>
        <w:right w:val="none" w:sz="0" w:space="0" w:color="auto"/>
      </w:divBdr>
    </w:div>
    <w:div w:id="1134912133">
      <w:bodyDiv w:val="1"/>
      <w:marLeft w:val="0"/>
      <w:marRight w:val="0"/>
      <w:marTop w:val="0"/>
      <w:marBottom w:val="0"/>
      <w:divBdr>
        <w:top w:val="none" w:sz="0" w:space="0" w:color="auto"/>
        <w:left w:val="none" w:sz="0" w:space="0" w:color="auto"/>
        <w:bottom w:val="none" w:sz="0" w:space="0" w:color="auto"/>
        <w:right w:val="none" w:sz="0" w:space="0" w:color="auto"/>
      </w:divBdr>
      <w:divsChild>
        <w:div w:id="773480393">
          <w:marLeft w:val="0"/>
          <w:marRight w:val="0"/>
          <w:marTop w:val="0"/>
          <w:marBottom w:val="0"/>
          <w:divBdr>
            <w:top w:val="none" w:sz="0" w:space="0" w:color="auto"/>
            <w:left w:val="none" w:sz="0" w:space="0" w:color="auto"/>
            <w:bottom w:val="none" w:sz="0" w:space="0" w:color="auto"/>
            <w:right w:val="none" w:sz="0" w:space="0" w:color="auto"/>
          </w:divBdr>
          <w:divsChild>
            <w:div w:id="284773626">
              <w:marLeft w:val="0"/>
              <w:marRight w:val="0"/>
              <w:marTop w:val="0"/>
              <w:marBottom w:val="0"/>
              <w:divBdr>
                <w:top w:val="none" w:sz="0" w:space="0" w:color="auto"/>
                <w:left w:val="none" w:sz="0" w:space="0" w:color="auto"/>
                <w:bottom w:val="none" w:sz="0" w:space="0" w:color="auto"/>
                <w:right w:val="none" w:sz="0" w:space="0" w:color="auto"/>
              </w:divBdr>
              <w:divsChild>
                <w:div w:id="1081101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9763739">
      <w:bodyDiv w:val="1"/>
      <w:marLeft w:val="0"/>
      <w:marRight w:val="0"/>
      <w:marTop w:val="0"/>
      <w:marBottom w:val="0"/>
      <w:divBdr>
        <w:top w:val="none" w:sz="0" w:space="0" w:color="auto"/>
        <w:left w:val="none" w:sz="0" w:space="0" w:color="auto"/>
        <w:bottom w:val="none" w:sz="0" w:space="0" w:color="auto"/>
        <w:right w:val="none" w:sz="0" w:space="0" w:color="auto"/>
      </w:divBdr>
      <w:divsChild>
        <w:div w:id="751583982">
          <w:marLeft w:val="0"/>
          <w:marRight w:val="0"/>
          <w:marTop w:val="0"/>
          <w:marBottom w:val="0"/>
          <w:divBdr>
            <w:top w:val="none" w:sz="0" w:space="0" w:color="auto"/>
            <w:left w:val="none" w:sz="0" w:space="0" w:color="auto"/>
            <w:bottom w:val="none" w:sz="0" w:space="0" w:color="auto"/>
            <w:right w:val="none" w:sz="0" w:space="0" w:color="auto"/>
          </w:divBdr>
          <w:divsChild>
            <w:div w:id="279383052">
              <w:marLeft w:val="0"/>
              <w:marRight w:val="0"/>
              <w:marTop w:val="0"/>
              <w:marBottom w:val="0"/>
              <w:divBdr>
                <w:top w:val="none" w:sz="0" w:space="0" w:color="auto"/>
                <w:left w:val="none" w:sz="0" w:space="0" w:color="auto"/>
                <w:bottom w:val="none" w:sz="0" w:space="0" w:color="auto"/>
                <w:right w:val="none" w:sz="0" w:space="0" w:color="auto"/>
              </w:divBdr>
              <w:divsChild>
                <w:div w:id="97440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3231558">
      <w:bodyDiv w:val="1"/>
      <w:marLeft w:val="0"/>
      <w:marRight w:val="0"/>
      <w:marTop w:val="0"/>
      <w:marBottom w:val="0"/>
      <w:divBdr>
        <w:top w:val="none" w:sz="0" w:space="0" w:color="auto"/>
        <w:left w:val="none" w:sz="0" w:space="0" w:color="auto"/>
        <w:bottom w:val="none" w:sz="0" w:space="0" w:color="auto"/>
        <w:right w:val="none" w:sz="0" w:space="0" w:color="auto"/>
      </w:divBdr>
    </w:div>
    <w:div w:id="1145002542">
      <w:bodyDiv w:val="1"/>
      <w:marLeft w:val="0"/>
      <w:marRight w:val="0"/>
      <w:marTop w:val="0"/>
      <w:marBottom w:val="0"/>
      <w:divBdr>
        <w:top w:val="none" w:sz="0" w:space="0" w:color="auto"/>
        <w:left w:val="none" w:sz="0" w:space="0" w:color="auto"/>
        <w:bottom w:val="none" w:sz="0" w:space="0" w:color="auto"/>
        <w:right w:val="none" w:sz="0" w:space="0" w:color="auto"/>
      </w:divBdr>
    </w:div>
    <w:div w:id="1158807673">
      <w:bodyDiv w:val="1"/>
      <w:marLeft w:val="0"/>
      <w:marRight w:val="0"/>
      <w:marTop w:val="0"/>
      <w:marBottom w:val="0"/>
      <w:divBdr>
        <w:top w:val="none" w:sz="0" w:space="0" w:color="auto"/>
        <w:left w:val="none" w:sz="0" w:space="0" w:color="auto"/>
        <w:bottom w:val="none" w:sz="0" w:space="0" w:color="auto"/>
        <w:right w:val="none" w:sz="0" w:space="0" w:color="auto"/>
      </w:divBdr>
    </w:div>
    <w:div w:id="1159269356">
      <w:bodyDiv w:val="1"/>
      <w:marLeft w:val="0"/>
      <w:marRight w:val="0"/>
      <w:marTop w:val="0"/>
      <w:marBottom w:val="0"/>
      <w:divBdr>
        <w:top w:val="none" w:sz="0" w:space="0" w:color="auto"/>
        <w:left w:val="none" w:sz="0" w:space="0" w:color="auto"/>
        <w:bottom w:val="none" w:sz="0" w:space="0" w:color="auto"/>
        <w:right w:val="none" w:sz="0" w:space="0" w:color="auto"/>
      </w:divBdr>
    </w:div>
    <w:div w:id="1170566151">
      <w:bodyDiv w:val="1"/>
      <w:marLeft w:val="0"/>
      <w:marRight w:val="0"/>
      <w:marTop w:val="0"/>
      <w:marBottom w:val="0"/>
      <w:divBdr>
        <w:top w:val="none" w:sz="0" w:space="0" w:color="auto"/>
        <w:left w:val="none" w:sz="0" w:space="0" w:color="auto"/>
        <w:bottom w:val="none" w:sz="0" w:space="0" w:color="auto"/>
        <w:right w:val="none" w:sz="0" w:space="0" w:color="auto"/>
      </w:divBdr>
    </w:div>
    <w:div w:id="1171338487">
      <w:bodyDiv w:val="1"/>
      <w:marLeft w:val="0"/>
      <w:marRight w:val="0"/>
      <w:marTop w:val="0"/>
      <w:marBottom w:val="0"/>
      <w:divBdr>
        <w:top w:val="none" w:sz="0" w:space="0" w:color="auto"/>
        <w:left w:val="none" w:sz="0" w:space="0" w:color="auto"/>
        <w:bottom w:val="none" w:sz="0" w:space="0" w:color="auto"/>
        <w:right w:val="none" w:sz="0" w:space="0" w:color="auto"/>
      </w:divBdr>
    </w:div>
    <w:div w:id="1171484059">
      <w:bodyDiv w:val="1"/>
      <w:marLeft w:val="0"/>
      <w:marRight w:val="0"/>
      <w:marTop w:val="0"/>
      <w:marBottom w:val="0"/>
      <w:divBdr>
        <w:top w:val="none" w:sz="0" w:space="0" w:color="auto"/>
        <w:left w:val="none" w:sz="0" w:space="0" w:color="auto"/>
        <w:bottom w:val="none" w:sz="0" w:space="0" w:color="auto"/>
        <w:right w:val="none" w:sz="0" w:space="0" w:color="auto"/>
      </w:divBdr>
    </w:div>
    <w:div w:id="1179736246">
      <w:bodyDiv w:val="1"/>
      <w:marLeft w:val="0"/>
      <w:marRight w:val="0"/>
      <w:marTop w:val="0"/>
      <w:marBottom w:val="0"/>
      <w:divBdr>
        <w:top w:val="none" w:sz="0" w:space="0" w:color="auto"/>
        <w:left w:val="none" w:sz="0" w:space="0" w:color="auto"/>
        <w:bottom w:val="none" w:sz="0" w:space="0" w:color="auto"/>
        <w:right w:val="none" w:sz="0" w:space="0" w:color="auto"/>
      </w:divBdr>
      <w:divsChild>
        <w:div w:id="1323972684">
          <w:marLeft w:val="0"/>
          <w:marRight w:val="0"/>
          <w:marTop w:val="0"/>
          <w:marBottom w:val="0"/>
          <w:divBdr>
            <w:top w:val="none" w:sz="0" w:space="0" w:color="auto"/>
            <w:left w:val="none" w:sz="0" w:space="0" w:color="auto"/>
            <w:bottom w:val="none" w:sz="0" w:space="0" w:color="auto"/>
            <w:right w:val="none" w:sz="0" w:space="0" w:color="auto"/>
          </w:divBdr>
          <w:divsChild>
            <w:div w:id="90663332">
              <w:marLeft w:val="0"/>
              <w:marRight w:val="0"/>
              <w:marTop w:val="0"/>
              <w:marBottom w:val="0"/>
              <w:divBdr>
                <w:top w:val="none" w:sz="0" w:space="0" w:color="auto"/>
                <w:left w:val="none" w:sz="0" w:space="0" w:color="auto"/>
                <w:bottom w:val="none" w:sz="0" w:space="0" w:color="auto"/>
                <w:right w:val="none" w:sz="0" w:space="0" w:color="auto"/>
              </w:divBdr>
              <w:divsChild>
                <w:div w:id="165256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363907">
      <w:bodyDiv w:val="1"/>
      <w:marLeft w:val="0"/>
      <w:marRight w:val="0"/>
      <w:marTop w:val="0"/>
      <w:marBottom w:val="0"/>
      <w:divBdr>
        <w:top w:val="none" w:sz="0" w:space="0" w:color="auto"/>
        <w:left w:val="none" w:sz="0" w:space="0" w:color="auto"/>
        <w:bottom w:val="none" w:sz="0" w:space="0" w:color="auto"/>
        <w:right w:val="none" w:sz="0" w:space="0" w:color="auto"/>
      </w:divBdr>
      <w:divsChild>
        <w:div w:id="2002731862">
          <w:marLeft w:val="0"/>
          <w:marRight w:val="0"/>
          <w:marTop w:val="0"/>
          <w:marBottom w:val="0"/>
          <w:divBdr>
            <w:top w:val="none" w:sz="0" w:space="0" w:color="auto"/>
            <w:left w:val="none" w:sz="0" w:space="0" w:color="auto"/>
            <w:bottom w:val="none" w:sz="0" w:space="0" w:color="auto"/>
            <w:right w:val="none" w:sz="0" w:space="0" w:color="auto"/>
          </w:divBdr>
          <w:divsChild>
            <w:div w:id="683946067">
              <w:marLeft w:val="0"/>
              <w:marRight w:val="0"/>
              <w:marTop w:val="0"/>
              <w:marBottom w:val="0"/>
              <w:divBdr>
                <w:top w:val="none" w:sz="0" w:space="0" w:color="auto"/>
                <w:left w:val="none" w:sz="0" w:space="0" w:color="auto"/>
                <w:bottom w:val="none" w:sz="0" w:space="0" w:color="auto"/>
                <w:right w:val="none" w:sz="0" w:space="0" w:color="auto"/>
              </w:divBdr>
              <w:divsChild>
                <w:div w:id="1747266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7884920">
      <w:bodyDiv w:val="1"/>
      <w:marLeft w:val="0"/>
      <w:marRight w:val="0"/>
      <w:marTop w:val="0"/>
      <w:marBottom w:val="0"/>
      <w:divBdr>
        <w:top w:val="none" w:sz="0" w:space="0" w:color="auto"/>
        <w:left w:val="none" w:sz="0" w:space="0" w:color="auto"/>
        <w:bottom w:val="none" w:sz="0" w:space="0" w:color="auto"/>
        <w:right w:val="none" w:sz="0" w:space="0" w:color="auto"/>
      </w:divBdr>
    </w:div>
    <w:div w:id="1198422239">
      <w:bodyDiv w:val="1"/>
      <w:marLeft w:val="0"/>
      <w:marRight w:val="0"/>
      <w:marTop w:val="0"/>
      <w:marBottom w:val="0"/>
      <w:divBdr>
        <w:top w:val="none" w:sz="0" w:space="0" w:color="auto"/>
        <w:left w:val="none" w:sz="0" w:space="0" w:color="auto"/>
        <w:bottom w:val="none" w:sz="0" w:space="0" w:color="auto"/>
        <w:right w:val="none" w:sz="0" w:space="0" w:color="auto"/>
      </w:divBdr>
    </w:div>
    <w:div w:id="1198547047">
      <w:bodyDiv w:val="1"/>
      <w:marLeft w:val="0"/>
      <w:marRight w:val="0"/>
      <w:marTop w:val="0"/>
      <w:marBottom w:val="0"/>
      <w:divBdr>
        <w:top w:val="none" w:sz="0" w:space="0" w:color="auto"/>
        <w:left w:val="none" w:sz="0" w:space="0" w:color="auto"/>
        <w:bottom w:val="none" w:sz="0" w:space="0" w:color="auto"/>
        <w:right w:val="none" w:sz="0" w:space="0" w:color="auto"/>
      </w:divBdr>
      <w:divsChild>
        <w:div w:id="12744810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53987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341566">
      <w:bodyDiv w:val="1"/>
      <w:marLeft w:val="0"/>
      <w:marRight w:val="0"/>
      <w:marTop w:val="0"/>
      <w:marBottom w:val="0"/>
      <w:divBdr>
        <w:top w:val="none" w:sz="0" w:space="0" w:color="auto"/>
        <w:left w:val="none" w:sz="0" w:space="0" w:color="auto"/>
        <w:bottom w:val="none" w:sz="0" w:space="0" w:color="auto"/>
        <w:right w:val="none" w:sz="0" w:space="0" w:color="auto"/>
      </w:divBdr>
    </w:div>
    <w:div w:id="1219512046">
      <w:bodyDiv w:val="1"/>
      <w:marLeft w:val="0"/>
      <w:marRight w:val="0"/>
      <w:marTop w:val="0"/>
      <w:marBottom w:val="0"/>
      <w:divBdr>
        <w:top w:val="none" w:sz="0" w:space="0" w:color="auto"/>
        <w:left w:val="none" w:sz="0" w:space="0" w:color="auto"/>
        <w:bottom w:val="none" w:sz="0" w:space="0" w:color="auto"/>
        <w:right w:val="none" w:sz="0" w:space="0" w:color="auto"/>
      </w:divBdr>
    </w:div>
    <w:div w:id="1223100908">
      <w:bodyDiv w:val="1"/>
      <w:marLeft w:val="0"/>
      <w:marRight w:val="0"/>
      <w:marTop w:val="0"/>
      <w:marBottom w:val="0"/>
      <w:divBdr>
        <w:top w:val="none" w:sz="0" w:space="0" w:color="auto"/>
        <w:left w:val="none" w:sz="0" w:space="0" w:color="auto"/>
        <w:bottom w:val="none" w:sz="0" w:space="0" w:color="auto"/>
        <w:right w:val="none" w:sz="0" w:space="0" w:color="auto"/>
      </w:divBdr>
      <w:divsChild>
        <w:div w:id="2137331692">
          <w:marLeft w:val="0"/>
          <w:marRight w:val="0"/>
          <w:marTop w:val="0"/>
          <w:marBottom w:val="0"/>
          <w:divBdr>
            <w:top w:val="none" w:sz="0" w:space="0" w:color="auto"/>
            <w:left w:val="none" w:sz="0" w:space="0" w:color="auto"/>
            <w:bottom w:val="none" w:sz="0" w:space="0" w:color="auto"/>
            <w:right w:val="none" w:sz="0" w:space="0" w:color="auto"/>
          </w:divBdr>
          <w:divsChild>
            <w:div w:id="51930012">
              <w:marLeft w:val="0"/>
              <w:marRight w:val="0"/>
              <w:marTop w:val="0"/>
              <w:marBottom w:val="0"/>
              <w:divBdr>
                <w:top w:val="none" w:sz="0" w:space="0" w:color="auto"/>
                <w:left w:val="none" w:sz="0" w:space="0" w:color="auto"/>
                <w:bottom w:val="none" w:sz="0" w:space="0" w:color="auto"/>
                <w:right w:val="none" w:sz="0" w:space="0" w:color="auto"/>
              </w:divBdr>
              <w:divsChild>
                <w:div w:id="1349603981">
                  <w:marLeft w:val="0"/>
                  <w:marRight w:val="0"/>
                  <w:marTop w:val="0"/>
                  <w:marBottom w:val="0"/>
                  <w:divBdr>
                    <w:top w:val="none" w:sz="0" w:space="0" w:color="auto"/>
                    <w:left w:val="none" w:sz="0" w:space="0" w:color="auto"/>
                    <w:bottom w:val="none" w:sz="0" w:space="0" w:color="auto"/>
                    <w:right w:val="none" w:sz="0" w:space="0" w:color="auto"/>
                  </w:divBdr>
                  <w:divsChild>
                    <w:div w:id="1129325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3519326">
      <w:bodyDiv w:val="1"/>
      <w:marLeft w:val="0"/>
      <w:marRight w:val="0"/>
      <w:marTop w:val="0"/>
      <w:marBottom w:val="0"/>
      <w:divBdr>
        <w:top w:val="none" w:sz="0" w:space="0" w:color="auto"/>
        <w:left w:val="none" w:sz="0" w:space="0" w:color="auto"/>
        <w:bottom w:val="none" w:sz="0" w:space="0" w:color="auto"/>
        <w:right w:val="none" w:sz="0" w:space="0" w:color="auto"/>
      </w:divBdr>
    </w:div>
    <w:div w:id="1224173785">
      <w:bodyDiv w:val="1"/>
      <w:marLeft w:val="0"/>
      <w:marRight w:val="0"/>
      <w:marTop w:val="0"/>
      <w:marBottom w:val="0"/>
      <w:divBdr>
        <w:top w:val="none" w:sz="0" w:space="0" w:color="auto"/>
        <w:left w:val="none" w:sz="0" w:space="0" w:color="auto"/>
        <w:bottom w:val="none" w:sz="0" w:space="0" w:color="auto"/>
        <w:right w:val="none" w:sz="0" w:space="0" w:color="auto"/>
      </w:divBdr>
      <w:divsChild>
        <w:div w:id="100884418">
          <w:marLeft w:val="0"/>
          <w:marRight w:val="0"/>
          <w:marTop w:val="0"/>
          <w:marBottom w:val="0"/>
          <w:divBdr>
            <w:top w:val="none" w:sz="0" w:space="0" w:color="auto"/>
            <w:left w:val="none" w:sz="0" w:space="0" w:color="auto"/>
            <w:bottom w:val="none" w:sz="0" w:space="0" w:color="auto"/>
            <w:right w:val="none" w:sz="0" w:space="0" w:color="auto"/>
          </w:divBdr>
          <w:divsChild>
            <w:div w:id="1575628750">
              <w:marLeft w:val="0"/>
              <w:marRight w:val="0"/>
              <w:marTop w:val="0"/>
              <w:marBottom w:val="0"/>
              <w:divBdr>
                <w:top w:val="none" w:sz="0" w:space="0" w:color="auto"/>
                <w:left w:val="none" w:sz="0" w:space="0" w:color="auto"/>
                <w:bottom w:val="none" w:sz="0" w:space="0" w:color="auto"/>
                <w:right w:val="none" w:sz="0" w:space="0" w:color="auto"/>
              </w:divBdr>
              <w:divsChild>
                <w:div w:id="618536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7951641">
      <w:bodyDiv w:val="1"/>
      <w:marLeft w:val="0"/>
      <w:marRight w:val="0"/>
      <w:marTop w:val="0"/>
      <w:marBottom w:val="0"/>
      <w:divBdr>
        <w:top w:val="none" w:sz="0" w:space="0" w:color="auto"/>
        <w:left w:val="none" w:sz="0" w:space="0" w:color="auto"/>
        <w:bottom w:val="none" w:sz="0" w:space="0" w:color="auto"/>
        <w:right w:val="none" w:sz="0" w:space="0" w:color="auto"/>
      </w:divBdr>
      <w:divsChild>
        <w:div w:id="1491481489">
          <w:marLeft w:val="0"/>
          <w:marRight w:val="0"/>
          <w:marTop w:val="0"/>
          <w:marBottom w:val="0"/>
          <w:divBdr>
            <w:top w:val="none" w:sz="0" w:space="0" w:color="auto"/>
            <w:left w:val="none" w:sz="0" w:space="0" w:color="auto"/>
            <w:bottom w:val="none" w:sz="0" w:space="0" w:color="auto"/>
            <w:right w:val="none" w:sz="0" w:space="0" w:color="auto"/>
          </w:divBdr>
          <w:divsChild>
            <w:div w:id="2051030570">
              <w:marLeft w:val="0"/>
              <w:marRight w:val="0"/>
              <w:marTop w:val="0"/>
              <w:marBottom w:val="0"/>
              <w:divBdr>
                <w:top w:val="none" w:sz="0" w:space="0" w:color="auto"/>
                <w:left w:val="none" w:sz="0" w:space="0" w:color="auto"/>
                <w:bottom w:val="none" w:sz="0" w:space="0" w:color="auto"/>
                <w:right w:val="none" w:sz="0" w:space="0" w:color="auto"/>
              </w:divBdr>
              <w:divsChild>
                <w:div w:id="1327980721">
                  <w:marLeft w:val="0"/>
                  <w:marRight w:val="0"/>
                  <w:marTop w:val="0"/>
                  <w:marBottom w:val="0"/>
                  <w:divBdr>
                    <w:top w:val="none" w:sz="0" w:space="0" w:color="auto"/>
                    <w:left w:val="none" w:sz="0" w:space="0" w:color="auto"/>
                    <w:bottom w:val="none" w:sz="0" w:space="0" w:color="auto"/>
                    <w:right w:val="none" w:sz="0" w:space="0" w:color="auto"/>
                  </w:divBdr>
                  <w:divsChild>
                    <w:div w:id="111158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9926182">
      <w:bodyDiv w:val="1"/>
      <w:marLeft w:val="0"/>
      <w:marRight w:val="0"/>
      <w:marTop w:val="0"/>
      <w:marBottom w:val="0"/>
      <w:divBdr>
        <w:top w:val="none" w:sz="0" w:space="0" w:color="auto"/>
        <w:left w:val="none" w:sz="0" w:space="0" w:color="auto"/>
        <w:bottom w:val="none" w:sz="0" w:space="0" w:color="auto"/>
        <w:right w:val="none" w:sz="0" w:space="0" w:color="auto"/>
      </w:divBdr>
    </w:div>
    <w:div w:id="1231423201">
      <w:bodyDiv w:val="1"/>
      <w:marLeft w:val="0"/>
      <w:marRight w:val="0"/>
      <w:marTop w:val="0"/>
      <w:marBottom w:val="0"/>
      <w:divBdr>
        <w:top w:val="none" w:sz="0" w:space="0" w:color="auto"/>
        <w:left w:val="none" w:sz="0" w:space="0" w:color="auto"/>
        <w:bottom w:val="none" w:sz="0" w:space="0" w:color="auto"/>
        <w:right w:val="none" w:sz="0" w:space="0" w:color="auto"/>
      </w:divBdr>
    </w:div>
    <w:div w:id="1233271677">
      <w:bodyDiv w:val="1"/>
      <w:marLeft w:val="0"/>
      <w:marRight w:val="0"/>
      <w:marTop w:val="0"/>
      <w:marBottom w:val="0"/>
      <w:divBdr>
        <w:top w:val="none" w:sz="0" w:space="0" w:color="auto"/>
        <w:left w:val="none" w:sz="0" w:space="0" w:color="auto"/>
        <w:bottom w:val="none" w:sz="0" w:space="0" w:color="auto"/>
        <w:right w:val="none" w:sz="0" w:space="0" w:color="auto"/>
      </w:divBdr>
    </w:div>
    <w:div w:id="1236819295">
      <w:bodyDiv w:val="1"/>
      <w:marLeft w:val="0"/>
      <w:marRight w:val="0"/>
      <w:marTop w:val="0"/>
      <w:marBottom w:val="0"/>
      <w:divBdr>
        <w:top w:val="none" w:sz="0" w:space="0" w:color="auto"/>
        <w:left w:val="none" w:sz="0" w:space="0" w:color="auto"/>
        <w:bottom w:val="none" w:sz="0" w:space="0" w:color="auto"/>
        <w:right w:val="none" w:sz="0" w:space="0" w:color="auto"/>
      </w:divBdr>
    </w:div>
    <w:div w:id="1263491416">
      <w:bodyDiv w:val="1"/>
      <w:marLeft w:val="0"/>
      <w:marRight w:val="0"/>
      <w:marTop w:val="0"/>
      <w:marBottom w:val="0"/>
      <w:divBdr>
        <w:top w:val="none" w:sz="0" w:space="0" w:color="auto"/>
        <w:left w:val="none" w:sz="0" w:space="0" w:color="auto"/>
        <w:bottom w:val="none" w:sz="0" w:space="0" w:color="auto"/>
        <w:right w:val="none" w:sz="0" w:space="0" w:color="auto"/>
      </w:divBdr>
    </w:div>
    <w:div w:id="1275208329">
      <w:bodyDiv w:val="1"/>
      <w:marLeft w:val="0"/>
      <w:marRight w:val="0"/>
      <w:marTop w:val="0"/>
      <w:marBottom w:val="0"/>
      <w:divBdr>
        <w:top w:val="none" w:sz="0" w:space="0" w:color="auto"/>
        <w:left w:val="none" w:sz="0" w:space="0" w:color="auto"/>
        <w:bottom w:val="none" w:sz="0" w:space="0" w:color="auto"/>
        <w:right w:val="none" w:sz="0" w:space="0" w:color="auto"/>
      </w:divBdr>
    </w:div>
    <w:div w:id="1278104595">
      <w:bodyDiv w:val="1"/>
      <w:marLeft w:val="0"/>
      <w:marRight w:val="0"/>
      <w:marTop w:val="0"/>
      <w:marBottom w:val="0"/>
      <w:divBdr>
        <w:top w:val="none" w:sz="0" w:space="0" w:color="auto"/>
        <w:left w:val="none" w:sz="0" w:space="0" w:color="auto"/>
        <w:bottom w:val="none" w:sz="0" w:space="0" w:color="auto"/>
        <w:right w:val="none" w:sz="0" w:space="0" w:color="auto"/>
      </w:divBdr>
      <w:divsChild>
        <w:div w:id="1687515806">
          <w:marLeft w:val="0"/>
          <w:marRight w:val="0"/>
          <w:marTop w:val="0"/>
          <w:marBottom w:val="0"/>
          <w:divBdr>
            <w:top w:val="none" w:sz="0" w:space="0" w:color="auto"/>
            <w:left w:val="none" w:sz="0" w:space="0" w:color="auto"/>
            <w:bottom w:val="none" w:sz="0" w:space="0" w:color="auto"/>
            <w:right w:val="none" w:sz="0" w:space="0" w:color="auto"/>
          </w:divBdr>
          <w:divsChild>
            <w:div w:id="1630629768">
              <w:marLeft w:val="0"/>
              <w:marRight w:val="0"/>
              <w:marTop w:val="0"/>
              <w:marBottom w:val="0"/>
              <w:divBdr>
                <w:top w:val="none" w:sz="0" w:space="0" w:color="auto"/>
                <w:left w:val="none" w:sz="0" w:space="0" w:color="auto"/>
                <w:bottom w:val="none" w:sz="0" w:space="0" w:color="auto"/>
                <w:right w:val="none" w:sz="0" w:space="0" w:color="auto"/>
              </w:divBdr>
              <w:divsChild>
                <w:div w:id="8947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010323">
      <w:bodyDiv w:val="1"/>
      <w:marLeft w:val="0"/>
      <w:marRight w:val="0"/>
      <w:marTop w:val="0"/>
      <w:marBottom w:val="0"/>
      <w:divBdr>
        <w:top w:val="none" w:sz="0" w:space="0" w:color="auto"/>
        <w:left w:val="none" w:sz="0" w:space="0" w:color="auto"/>
        <w:bottom w:val="none" w:sz="0" w:space="0" w:color="auto"/>
        <w:right w:val="none" w:sz="0" w:space="0" w:color="auto"/>
      </w:divBdr>
      <w:divsChild>
        <w:div w:id="1061443555">
          <w:marLeft w:val="0"/>
          <w:marRight w:val="0"/>
          <w:marTop w:val="0"/>
          <w:marBottom w:val="0"/>
          <w:divBdr>
            <w:top w:val="none" w:sz="0" w:space="0" w:color="auto"/>
            <w:left w:val="none" w:sz="0" w:space="0" w:color="auto"/>
            <w:bottom w:val="none" w:sz="0" w:space="0" w:color="auto"/>
            <w:right w:val="none" w:sz="0" w:space="0" w:color="auto"/>
          </w:divBdr>
          <w:divsChild>
            <w:div w:id="2044205703">
              <w:marLeft w:val="0"/>
              <w:marRight w:val="0"/>
              <w:marTop w:val="0"/>
              <w:marBottom w:val="0"/>
              <w:divBdr>
                <w:top w:val="none" w:sz="0" w:space="0" w:color="auto"/>
                <w:left w:val="none" w:sz="0" w:space="0" w:color="auto"/>
                <w:bottom w:val="none" w:sz="0" w:space="0" w:color="auto"/>
                <w:right w:val="none" w:sz="0" w:space="0" w:color="auto"/>
              </w:divBdr>
              <w:divsChild>
                <w:div w:id="1983189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6305401">
      <w:bodyDiv w:val="1"/>
      <w:marLeft w:val="0"/>
      <w:marRight w:val="0"/>
      <w:marTop w:val="0"/>
      <w:marBottom w:val="0"/>
      <w:divBdr>
        <w:top w:val="none" w:sz="0" w:space="0" w:color="auto"/>
        <w:left w:val="none" w:sz="0" w:space="0" w:color="auto"/>
        <w:bottom w:val="none" w:sz="0" w:space="0" w:color="auto"/>
        <w:right w:val="none" w:sz="0" w:space="0" w:color="auto"/>
      </w:divBdr>
    </w:div>
    <w:div w:id="1338852103">
      <w:bodyDiv w:val="1"/>
      <w:marLeft w:val="0"/>
      <w:marRight w:val="0"/>
      <w:marTop w:val="0"/>
      <w:marBottom w:val="0"/>
      <w:divBdr>
        <w:top w:val="none" w:sz="0" w:space="0" w:color="auto"/>
        <w:left w:val="none" w:sz="0" w:space="0" w:color="auto"/>
        <w:bottom w:val="none" w:sz="0" w:space="0" w:color="auto"/>
        <w:right w:val="none" w:sz="0" w:space="0" w:color="auto"/>
      </w:divBdr>
    </w:div>
    <w:div w:id="1339849492">
      <w:bodyDiv w:val="1"/>
      <w:marLeft w:val="0"/>
      <w:marRight w:val="0"/>
      <w:marTop w:val="0"/>
      <w:marBottom w:val="0"/>
      <w:divBdr>
        <w:top w:val="none" w:sz="0" w:space="0" w:color="auto"/>
        <w:left w:val="none" w:sz="0" w:space="0" w:color="auto"/>
        <w:bottom w:val="none" w:sz="0" w:space="0" w:color="auto"/>
        <w:right w:val="none" w:sz="0" w:space="0" w:color="auto"/>
      </w:divBdr>
    </w:div>
    <w:div w:id="1344161546">
      <w:bodyDiv w:val="1"/>
      <w:marLeft w:val="0"/>
      <w:marRight w:val="0"/>
      <w:marTop w:val="0"/>
      <w:marBottom w:val="0"/>
      <w:divBdr>
        <w:top w:val="none" w:sz="0" w:space="0" w:color="auto"/>
        <w:left w:val="none" w:sz="0" w:space="0" w:color="auto"/>
        <w:bottom w:val="none" w:sz="0" w:space="0" w:color="auto"/>
        <w:right w:val="none" w:sz="0" w:space="0" w:color="auto"/>
      </w:divBdr>
    </w:div>
    <w:div w:id="1349721323">
      <w:bodyDiv w:val="1"/>
      <w:marLeft w:val="0"/>
      <w:marRight w:val="0"/>
      <w:marTop w:val="0"/>
      <w:marBottom w:val="0"/>
      <w:divBdr>
        <w:top w:val="none" w:sz="0" w:space="0" w:color="auto"/>
        <w:left w:val="none" w:sz="0" w:space="0" w:color="auto"/>
        <w:bottom w:val="none" w:sz="0" w:space="0" w:color="auto"/>
        <w:right w:val="none" w:sz="0" w:space="0" w:color="auto"/>
      </w:divBdr>
    </w:div>
    <w:div w:id="1364867009">
      <w:bodyDiv w:val="1"/>
      <w:marLeft w:val="0"/>
      <w:marRight w:val="0"/>
      <w:marTop w:val="0"/>
      <w:marBottom w:val="0"/>
      <w:divBdr>
        <w:top w:val="none" w:sz="0" w:space="0" w:color="auto"/>
        <w:left w:val="none" w:sz="0" w:space="0" w:color="auto"/>
        <w:bottom w:val="none" w:sz="0" w:space="0" w:color="auto"/>
        <w:right w:val="none" w:sz="0" w:space="0" w:color="auto"/>
      </w:divBdr>
    </w:div>
    <w:div w:id="1365405525">
      <w:bodyDiv w:val="1"/>
      <w:marLeft w:val="0"/>
      <w:marRight w:val="0"/>
      <w:marTop w:val="0"/>
      <w:marBottom w:val="0"/>
      <w:divBdr>
        <w:top w:val="none" w:sz="0" w:space="0" w:color="auto"/>
        <w:left w:val="none" w:sz="0" w:space="0" w:color="auto"/>
        <w:bottom w:val="none" w:sz="0" w:space="0" w:color="auto"/>
        <w:right w:val="none" w:sz="0" w:space="0" w:color="auto"/>
      </w:divBdr>
    </w:div>
    <w:div w:id="1378503685">
      <w:bodyDiv w:val="1"/>
      <w:marLeft w:val="0"/>
      <w:marRight w:val="0"/>
      <w:marTop w:val="0"/>
      <w:marBottom w:val="0"/>
      <w:divBdr>
        <w:top w:val="none" w:sz="0" w:space="0" w:color="auto"/>
        <w:left w:val="none" w:sz="0" w:space="0" w:color="auto"/>
        <w:bottom w:val="none" w:sz="0" w:space="0" w:color="auto"/>
        <w:right w:val="none" w:sz="0" w:space="0" w:color="auto"/>
      </w:divBdr>
    </w:div>
    <w:div w:id="1380930904">
      <w:bodyDiv w:val="1"/>
      <w:marLeft w:val="0"/>
      <w:marRight w:val="0"/>
      <w:marTop w:val="0"/>
      <w:marBottom w:val="0"/>
      <w:divBdr>
        <w:top w:val="none" w:sz="0" w:space="0" w:color="auto"/>
        <w:left w:val="none" w:sz="0" w:space="0" w:color="auto"/>
        <w:bottom w:val="none" w:sz="0" w:space="0" w:color="auto"/>
        <w:right w:val="none" w:sz="0" w:space="0" w:color="auto"/>
      </w:divBdr>
    </w:div>
    <w:div w:id="1395934377">
      <w:bodyDiv w:val="1"/>
      <w:marLeft w:val="0"/>
      <w:marRight w:val="0"/>
      <w:marTop w:val="0"/>
      <w:marBottom w:val="0"/>
      <w:divBdr>
        <w:top w:val="none" w:sz="0" w:space="0" w:color="auto"/>
        <w:left w:val="none" w:sz="0" w:space="0" w:color="auto"/>
        <w:bottom w:val="none" w:sz="0" w:space="0" w:color="auto"/>
        <w:right w:val="none" w:sz="0" w:space="0" w:color="auto"/>
      </w:divBdr>
    </w:div>
    <w:div w:id="1400178420">
      <w:bodyDiv w:val="1"/>
      <w:marLeft w:val="0"/>
      <w:marRight w:val="0"/>
      <w:marTop w:val="0"/>
      <w:marBottom w:val="0"/>
      <w:divBdr>
        <w:top w:val="none" w:sz="0" w:space="0" w:color="auto"/>
        <w:left w:val="none" w:sz="0" w:space="0" w:color="auto"/>
        <w:bottom w:val="none" w:sz="0" w:space="0" w:color="auto"/>
        <w:right w:val="none" w:sz="0" w:space="0" w:color="auto"/>
      </w:divBdr>
    </w:div>
    <w:div w:id="1401368174">
      <w:bodyDiv w:val="1"/>
      <w:marLeft w:val="0"/>
      <w:marRight w:val="0"/>
      <w:marTop w:val="0"/>
      <w:marBottom w:val="0"/>
      <w:divBdr>
        <w:top w:val="none" w:sz="0" w:space="0" w:color="auto"/>
        <w:left w:val="none" w:sz="0" w:space="0" w:color="auto"/>
        <w:bottom w:val="none" w:sz="0" w:space="0" w:color="auto"/>
        <w:right w:val="none" w:sz="0" w:space="0" w:color="auto"/>
      </w:divBdr>
    </w:div>
    <w:div w:id="1402562895">
      <w:bodyDiv w:val="1"/>
      <w:marLeft w:val="0"/>
      <w:marRight w:val="0"/>
      <w:marTop w:val="0"/>
      <w:marBottom w:val="0"/>
      <w:divBdr>
        <w:top w:val="none" w:sz="0" w:space="0" w:color="auto"/>
        <w:left w:val="none" w:sz="0" w:space="0" w:color="auto"/>
        <w:bottom w:val="none" w:sz="0" w:space="0" w:color="auto"/>
        <w:right w:val="none" w:sz="0" w:space="0" w:color="auto"/>
      </w:divBdr>
    </w:div>
    <w:div w:id="1416390872">
      <w:bodyDiv w:val="1"/>
      <w:marLeft w:val="0"/>
      <w:marRight w:val="0"/>
      <w:marTop w:val="0"/>
      <w:marBottom w:val="0"/>
      <w:divBdr>
        <w:top w:val="none" w:sz="0" w:space="0" w:color="auto"/>
        <w:left w:val="none" w:sz="0" w:space="0" w:color="auto"/>
        <w:bottom w:val="none" w:sz="0" w:space="0" w:color="auto"/>
        <w:right w:val="none" w:sz="0" w:space="0" w:color="auto"/>
      </w:divBdr>
    </w:div>
    <w:div w:id="1420785570">
      <w:bodyDiv w:val="1"/>
      <w:marLeft w:val="0"/>
      <w:marRight w:val="0"/>
      <w:marTop w:val="0"/>
      <w:marBottom w:val="0"/>
      <w:divBdr>
        <w:top w:val="none" w:sz="0" w:space="0" w:color="auto"/>
        <w:left w:val="none" w:sz="0" w:space="0" w:color="auto"/>
        <w:bottom w:val="none" w:sz="0" w:space="0" w:color="auto"/>
        <w:right w:val="none" w:sz="0" w:space="0" w:color="auto"/>
      </w:divBdr>
    </w:div>
    <w:div w:id="1421027063">
      <w:bodyDiv w:val="1"/>
      <w:marLeft w:val="0"/>
      <w:marRight w:val="0"/>
      <w:marTop w:val="0"/>
      <w:marBottom w:val="0"/>
      <w:divBdr>
        <w:top w:val="none" w:sz="0" w:space="0" w:color="auto"/>
        <w:left w:val="none" w:sz="0" w:space="0" w:color="auto"/>
        <w:bottom w:val="none" w:sz="0" w:space="0" w:color="auto"/>
        <w:right w:val="none" w:sz="0" w:space="0" w:color="auto"/>
      </w:divBdr>
    </w:div>
    <w:div w:id="1422220034">
      <w:bodyDiv w:val="1"/>
      <w:marLeft w:val="0"/>
      <w:marRight w:val="0"/>
      <w:marTop w:val="0"/>
      <w:marBottom w:val="0"/>
      <w:divBdr>
        <w:top w:val="none" w:sz="0" w:space="0" w:color="auto"/>
        <w:left w:val="none" w:sz="0" w:space="0" w:color="auto"/>
        <w:bottom w:val="none" w:sz="0" w:space="0" w:color="auto"/>
        <w:right w:val="none" w:sz="0" w:space="0" w:color="auto"/>
      </w:divBdr>
      <w:divsChild>
        <w:div w:id="935409028">
          <w:marLeft w:val="0"/>
          <w:marRight w:val="0"/>
          <w:marTop w:val="0"/>
          <w:marBottom w:val="0"/>
          <w:divBdr>
            <w:top w:val="none" w:sz="0" w:space="0" w:color="auto"/>
            <w:left w:val="none" w:sz="0" w:space="0" w:color="auto"/>
            <w:bottom w:val="none" w:sz="0" w:space="0" w:color="auto"/>
            <w:right w:val="none" w:sz="0" w:space="0" w:color="auto"/>
          </w:divBdr>
        </w:div>
        <w:div w:id="848253100">
          <w:marLeft w:val="0"/>
          <w:marRight w:val="0"/>
          <w:marTop w:val="0"/>
          <w:marBottom w:val="0"/>
          <w:divBdr>
            <w:top w:val="none" w:sz="0" w:space="0" w:color="auto"/>
            <w:left w:val="none" w:sz="0" w:space="0" w:color="auto"/>
            <w:bottom w:val="none" w:sz="0" w:space="0" w:color="auto"/>
            <w:right w:val="none" w:sz="0" w:space="0" w:color="auto"/>
          </w:divBdr>
        </w:div>
        <w:div w:id="139808845">
          <w:marLeft w:val="0"/>
          <w:marRight w:val="0"/>
          <w:marTop w:val="0"/>
          <w:marBottom w:val="0"/>
          <w:divBdr>
            <w:top w:val="none" w:sz="0" w:space="0" w:color="auto"/>
            <w:left w:val="none" w:sz="0" w:space="0" w:color="auto"/>
            <w:bottom w:val="none" w:sz="0" w:space="0" w:color="auto"/>
            <w:right w:val="none" w:sz="0" w:space="0" w:color="auto"/>
          </w:divBdr>
        </w:div>
        <w:div w:id="949166845">
          <w:marLeft w:val="0"/>
          <w:marRight w:val="0"/>
          <w:marTop w:val="0"/>
          <w:marBottom w:val="0"/>
          <w:divBdr>
            <w:top w:val="none" w:sz="0" w:space="0" w:color="auto"/>
            <w:left w:val="none" w:sz="0" w:space="0" w:color="auto"/>
            <w:bottom w:val="none" w:sz="0" w:space="0" w:color="auto"/>
            <w:right w:val="none" w:sz="0" w:space="0" w:color="auto"/>
          </w:divBdr>
        </w:div>
      </w:divsChild>
    </w:div>
    <w:div w:id="1423599683">
      <w:bodyDiv w:val="1"/>
      <w:marLeft w:val="0"/>
      <w:marRight w:val="0"/>
      <w:marTop w:val="0"/>
      <w:marBottom w:val="0"/>
      <w:divBdr>
        <w:top w:val="none" w:sz="0" w:space="0" w:color="auto"/>
        <w:left w:val="none" w:sz="0" w:space="0" w:color="auto"/>
        <w:bottom w:val="none" w:sz="0" w:space="0" w:color="auto"/>
        <w:right w:val="none" w:sz="0" w:space="0" w:color="auto"/>
      </w:divBdr>
    </w:div>
    <w:div w:id="1423985574">
      <w:bodyDiv w:val="1"/>
      <w:marLeft w:val="0"/>
      <w:marRight w:val="0"/>
      <w:marTop w:val="0"/>
      <w:marBottom w:val="0"/>
      <w:divBdr>
        <w:top w:val="none" w:sz="0" w:space="0" w:color="auto"/>
        <w:left w:val="none" w:sz="0" w:space="0" w:color="auto"/>
        <w:bottom w:val="none" w:sz="0" w:space="0" w:color="auto"/>
        <w:right w:val="none" w:sz="0" w:space="0" w:color="auto"/>
      </w:divBdr>
    </w:div>
    <w:div w:id="1430617501">
      <w:bodyDiv w:val="1"/>
      <w:marLeft w:val="0"/>
      <w:marRight w:val="0"/>
      <w:marTop w:val="0"/>
      <w:marBottom w:val="0"/>
      <w:divBdr>
        <w:top w:val="none" w:sz="0" w:space="0" w:color="auto"/>
        <w:left w:val="none" w:sz="0" w:space="0" w:color="auto"/>
        <w:bottom w:val="none" w:sz="0" w:space="0" w:color="auto"/>
        <w:right w:val="none" w:sz="0" w:space="0" w:color="auto"/>
      </w:divBdr>
    </w:div>
    <w:div w:id="1432706693">
      <w:bodyDiv w:val="1"/>
      <w:marLeft w:val="0"/>
      <w:marRight w:val="0"/>
      <w:marTop w:val="0"/>
      <w:marBottom w:val="0"/>
      <w:divBdr>
        <w:top w:val="none" w:sz="0" w:space="0" w:color="auto"/>
        <w:left w:val="none" w:sz="0" w:space="0" w:color="auto"/>
        <w:bottom w:val="none" w:sz="0" w:space="0" w:color="auto"/>
        <w:right w:val="none" w:sz="0" w:space="0" w:color="auto"/>
      </w:divBdr>
      <w:divsChild>
        <w:div w:id="1094084594">
          <w:marLeft w:val="0"/>
          <w:marRight w:val="0"/>
          <w:marTop w:val="0"/>
          <w:marBottom w:val="0"/>
          <w:divBdr>
            <w:top w:val="none" w:sz="0" w:space="0" w:color="auto"/>
            <w:left w:val="none" w:sz="0" w:space="0" w:color="auto"/>
            <w:bottom w:val="none" w:sz="0" w:space="0" w:color="auto"/>
            <w:right w:val="none" w:sz="0" w:space="0" w:color="auto"/>
          </w:divBdr>
          <w:divsChild>
            <w:div w:id="1438141971">
              <w:marLeft w:val="0"/>
              <w:marRight w:val="0"/>
              <w:marTop w:val="0"/>
              <w:marBottom w:val="0"/>
              <w:divBdr>
                <w:top w:val="none" w:sz="0" w:space="0" w:color="auto"/>
                <w:left w:val="none" w:sz="0" w:space="0" w:color="auto"/>
                <w:bottom w:val="none" w:sz="0" w:space="0" w:color="auto"/>
                <w:right w:val="none" w:sz="0" w:space="0" w:color="auto"/>
              </w:divBdr>
              <w:divsChild>
                <w:div w:id="41891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3500211">
      <w:bodyDiv w:val="1"/>
      <w:marLeft w:val="0"/>
      <w:marRight w:val="0"/>
      <w:marTop w:val="0"/>
      <w:marBottom w:val="0"/>
      <w:divBdr>
        <w:top w:val="none" w:sz="0" w:space="0" w:color="auto"/>
        <w:left w:val="none" w:sz="0" w:space="0" w:color="auto"/>
        <w:bottom w:val="none" w:sz="0" w:space="0" w:color="auto"/>
        <w:right w:val="none" w:sz="0" w:space="0" w:color="auto"/>
      </w:divBdr>
    </w:div>
    <w:div w:id="1448961405">
      <w:bodyDiv w:val="1"/>
      <w:marLeft w:val="0"/>
      <w:marRight w:val="0"/>
      <w:marTop w:val="0"/>
      <w:marBottom w:val="0"/>
      <w:divBdr>
        <w:top w:val="none" w:sz="0" w:space="0" w:color="auto"/>
        <w:left w:val="none" w:sz="0" w:space="0" w:color="auto"/>
        <w:bottom w:val="none" w:sz="0" w:space="0" w:color="auto"/>
        <w:right w:val="none" w:sz="0" w:space="0" w:color="auto"/>
      </w:divBdr>
    </w:div>
    <w:div w:id="1455321843">
      <w:bodyDiv w:val="1"/>
      <w:marLeft w:val="0"/>
      <w:marRight w:val="0"/>
      <w:marTop w:val="0"/>
      <w:marBottom w:val="0"/>
      <w:divBdr>
        <w:top w:val="none" w:sz="0" w:space="0" w:color="auto"/>
        <w:left w:val="none" w:sz="0" w:space="0" w:color="auto"/>
        <w:bottom w:val="none" w:sz="0" w:space="0" w:color="auto"/>
        <w:right w:val="none" w:sz="0" w:space="0" w:color="auto"/>
      </w:divBdr>
    </w:div>
    <w:div w:id="1472795687">
      <w:bodyDiv w:val="1"/>
      <w:marLeft w:val="0"/>
      <w:marRight w:val="0"/>
      <w:marTop w:val="0"/>
      <w:marBottom w:val="0"/>
      <w:divBdr>
        <w:top w:val="none" w:sz="0" w:space="0" w:color="auto"/>
        <w:left w:val="none" w:sz="0" w:space="0" w:color="auto"/>
        <w:bottom w:val="none" w:sz="0" w:space="0" w:color="auto"/>
        <w:right w:val="none" w:sz="0" w:space="0" w:color="auto"/>
      </w:divBdr>
    </w:div>
    <w:div w:id="1480343104">
      <w:bodyDiv w:val="1"/>
      <w:marLeft w:val="0"/>
      <w:marRight w:val="0"/>
      <w:marTop w:val="0"/>
      <w:marBottom w:val="0"/>
      <w:divBdr>
        <w:top w:val="none" w:sz="0" w:space="0" w:color="auto"/>
        <w:left w:val="none" w:sz="0" w:space="0" w:color="auto"/>
        <w:bottom w:val="none" w:sz="0" w:space="0" w:color="auto"/>
        <w:right w:val="none" w:sz="0" w:space="0" w:color="auto"/>
      </w:divBdr>
    </w:div>
    <w:div w:id="1497500173">
      <w:bodyDiv w:val="1"/>
      <w:marLeft w:val="0"/>
      <w:marRight w:val="0"/>
      <w:marTop w:val="0"/>
      <w:marBottom w:val="0"/>
      <w:divBdr>
        <w:top w:val="none" w:sz="0" w:space="0" w:color="auto"/>
        <w:left w:val="none" w:sz="0" w:space="0" w:color="auto"/>
        <w:bottom w:val="none" w:sz="0" w:space="0" w:color="auto"/>
        <w:right w:val="none" w:sz="0" w:space="0" w:color="auto"/>
      </w:divBdr>
    </w:div>
    <w:div w:id="1507594909">
      <w:bodyDiv w:val="1"/>
      <w:marLeft w:val="0"/>
      <w:marRight w:val="0"/>
      <w:marTop w:val="0"/>
      <w:marBottom w:val="0"/>
      <w:divBdr>
        <w:top w:val="none" w:sz="0" w:space="0" w:color="auto"/>
        <w:left w:val="none" w:sz="0" w:space="0" w:color="auto"/>
        <w:bottom w:val="none" w:sz="0" w:space="0" w:color="auto"/>
        <w:right w:val="none" w:sz="0" w:space="0" w:color="auto"/>
      </w:divBdr>
    </w:div>
    <w:div w:id="1511526742">
      <w:bodyDiv w:val="1"/>
      <w:marLeft w:val="0"/>
      <w:marRight w:val="0"/>
      <w:marTop w:val="0"/>
      <w:marBottom w:val="0"/>
      <w:divBdr>
        <w:top w:val="none" w:sz="0" w:space="0" w:color="auto"/>
        <w:left w:val="none" w:sz="0" w:space="0" w:color="auto"/>
        <w:bottom w:val="none" w:sz="0" w:space="0" w:color="auto"/>
        <w:right w:val="none" w:sz="0" w:space="0" w:color="auto"/>
      </w:divBdr>
    </w:div>
    <w:div w:id="1512374779">
      <w:bodyDiv w:val="1"/>
      <w:marLeft w:val="0"/>
      <w:marRight w:val="0"/>
      <w:marTop w:val="0"/>
      <w:marBottom w:val="0"/>
      <w:divBdr>
        <w:top w:val="none" w:sz="0" w:space="0" w:color="auto"/>
        <w:left w:val="none" w:sz="0" w:space="0" w:color="auto"/>
        <w:bottom w:val="none" w:sz="0" w:space="0" w:color="auto"/>
        <w:right w:val="none" w:sz="0" w:space="0" w:color="auto"/>
      </w:divBdr>
    </w:div>
    <w:div w:id="1514686278">
      <w:bodyDiv w:val="1"/>
      <w:marLeft w:val="0"/>
      <w:marRight w:val="0"/>
      <w:marTop w:val="0"/>
      <w:marBottom w:val="0"/>
      <w:divBdr>
        <w:top w:val="none" w:sz="0" w:space="0" w:color="auto"/>
        <w:left w:val="none" w:sz="0" w:space="0" w:color="auto"/>
        <w:bottom w:val="none" w:sz="0" w:space="0" w:color="auto"/>
        <w:right w:val="none" w:sz="0" w:space="0" w:color="auto"/>
      </w:divBdr>
    </w:div>
    <w:div w:id="1525364368">
      <w:bodyDiv w:val="1"/>
      <w:marLeft w:val="0"/>
      <w:marRight w:val="0"/>
      <w:marTop w:val="0"/>
      <w:marBottom w:val="0"/>
      <w:divBdr>
        <w:top w:val="none" w:sz="0" w:space="0" w:color="auto"/>
        <w:left w:val="none" w:sz="0" w:space="0" w:color="auto"/>
        <w:bottom w:val="none" w:sz="0" w:space="0" w:color="auto"/>
        <w:right w:val="none" w:sz="0" w:space="0" w:color="auto"/>
      </w:divBdr>
    </w:div>
    <w:div w:id="1526871854">
      <w:bodyDiv w:val="1"/>
      <w:marLeft w:val="0"/>
      <w:marRight w:val="0"/>
      <w:marTop w:val="0"/>
      <w:marBottom w:val="0"/>
      <w:divBdr>
        <w:top w:val="none" w:sz="0" w:space="0" w:color="auto"/>
        <w:left w:val="none" w:sz="0" w:space="0" w:color="auto"/>
        <w:bottom w:val="none" w:sz="0" w:space="0" w:color="auto"/>
        <w:right w:val="none" w:sz="0" w:space="0" w:color="auto"/>
      </w:divBdr>
      <w:divsChild>
        <w:div w:id="377359547">
          <w:marLeft w:val="0"/>
          <w:marRight w:val="0"/>
          <w:marTop w:val="0"/>
          <w:marBottom w:val="0"/>
          <w:divBdr>
            <w:top w:val="none" w:sz="0" w:space="0" w:color="auto"/>
            <w:left w:val="none" w:sz="0" w:space="0" w:color="auto"/>
            <w:bottom w:val="none" w:sz="0" w:space="0" w:color="auto"/>
            <w:right w:val="none" w:sz="0" w:space="0" w:color="auto"/>
          </w:divBdr>
          <w:divsChild>
            <w:div w:id="2020961328">
              <w:marLeft w:val="0"/>
              <w:marRight w:val="0"/>
              <w:marTop w:val="0"/>
              <w:marBottom w:val="0"/>
              <w:divBdr>
                <w:top w:val="none" w:sz="0" w:space="0" w:color="auto"/>
                <w:left w:val="none" w:sz="0" w:space="0" w:color="auto"/>
                <w:bottom w:val="none" w:sz="0" w:space="0" w:color="auto"/>
                <w:right w:val="none" w:sz="0" w:space="0" w:color="auto"/>
              </w:divBdr>
              <w:divsChild>
                <w:div w:id="187603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1892245">
      <w:bodyDiv w:val="1"/>
      <w:marLeft w:val="0"/>
      <w:marRight w:val="0"/>
      <w:marTop w:val="0"/>
      <w:marBottom w:val="0"/>
      <w:divBdr>
        <w:top w:val="none" w:sz="0" w:space="0" w:color="auto"/>
        <w:left w:val="none" w:sz="0" w:space="0" w:color="auto"/>
        <w:bottom w:val="none" w:sz="0" w:space="0" w:color="auto"/>
        <w:right w:val="none" w:sz="0" w:space="0" w:color="auto"/>
      </w:divBdr>
    </w:div>
    <w:div w:id="1545214737">
      <w:bodyDiv w:val="1"/>
      <w:marLeft w:val="0"/>
      <w:marRight w:val="0"/>
      <w:marTop w:val="0"/>
      <w:marBottom w:val="0"/>
      <w:divBdr>
        <w:top w:val="none" w:sz="0" w:space="0" w:color="auto"/>
        <w:left w:val="none" w:sz="0" w:space="0" w:color="auto"/>
        <w:bottom w:val="none" w:sz="0" w:space="0" w:color="auto"/>
        <w:right w:val="none" w:sz="0" w:space="0" w:color="auto"/>
      </w:divBdr>
    </w:div>
    <w:div w:id="1550146268">
      <w:bodyDiv w:val="1"/>
      <w:marLeft w:val="0"/>
      <w:marRight w:val="0"/>
      <w:marTop w:val="0"/>
      <w:marBottom w:val="0"/>
      <w:divBdr>
        <w:top w:val="none" w:sz="0" w:space="0" w:color="auto"/>
        <w:left w:val="none" w:sz="0" w:space="0" w:color="auto"/>
        <w:bottom w:val="none" w:sz="0" w:space="0" w:color="auto"/>
        <w:right w:val="none" w:sz="0" w:space="0" w:color="auto"/>
      </w:divBdr>
      <w:divsChild>
        <w:div w:id="1920476562">
          <w:marLeft w:val="0"/>
          <w:marRight w:val="0"/>
          <w:marTop w:val="0"/>
          <w:marBottom w:val="0"/>
          <w:divBdr>
            <w:top w:val="none" w:sz="0" w:space="0" w:color="auto"/>
            <w:left w:val="none" w:sz="0" w:space="0" w:color="auto"/>
            <w:bottom w:val="none" w:sz="0" w:space="0" w:color="auto"/>
            <w:right w:val="none" w:sz="0" w:space="0" w:color="auto"/>
          </w:divBdr>
          <w:divsChild>
            <w:div w:id="1116292881">
              <w:marLeft w:val="0"/>
              <w:marRight w:val="0"/>
              <w:marTop w:val="0"/>
              <w:marBottom w:val="0"/>
              <w:divBdr>
                <w:top w:val="none" w:sz="0" w:space="0" w:color="auto"/>
                <w:left w:val="none" w:sz="0" w:space="0" w:color="auto"/>
                <w:bottom w:val="none" w:sz="0" w:space="0" w:color="auto"/>
                <w:right w:val="none" w:sz="0" w:space="0" w:color="auto"/>
              </w:divBdr>
              <w:divsChild>
                <w:div w:id="1718823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93569">
      <w:bodyDiv w:val="1"/>
      <w:marLeft w:val="0"/>
      <w:marRight w:val="0"/>
      <w:marTop w:val="0"/>
      <w:marBottom w:val="0"/>
      <w:divBdr>
        <w:top w:val="none" w:sz="0" w:space="0" w:color="auto"/>
        <w:left w:val="none" w:sz="0" w:space="0" w:color="auto"/>
        <w:bottom w:val="none" w:sz="0" w:space="0" w:color="auto"/>
        <w:right w:val="none" w:sz="0" w:space="0" w:color="auto"/>
      </w:divBdr>
    </w:div>
    <w:div w:id="1587617380">
      <w:bodyDiv w:val="1"/>
      <w:marLeft w:val="0"/>
      <w:marRight w:val="0"/>
      <w:marTop w:val="0"/>
      <w:marBottom w:val="0"/>
      <w:divBdr>
        <w:top w:val="none" w:sz="0" w:space="0" w:color="auto"/>
        <w:left w:val="none" w:sz="0" w:space="0" w:color="auto"/>
        <w:bottom w:val="none" w:sz="0" w:space="0" w:color="auto"/>
        <w:right w:val="none" w:sz="0" w:space="0" w:color="auto"/>
      </w:divBdr>
    </w:div>
    <w:div w:id="1598713571">
      <w:bodyDiv w:val="1"/>
      <w:marLeft w:val="0"/>
      <w:marRight w:val="0"/>
      <w:marTop w:val="0"/>
      <w:marBottom w:val="0"/>
      <w:divBdr>
        <w:top w:val="none" w:sz="0" w:space="0" w:color="auto"/>
        <w:left w:val="none" w:sz="0" w:space="0" w:color="auto"/>
        <w:bottom w:val="none" w:sz="0" w:space="0" w:color="auto"/>
        <w:right w:val="none" w:sz="0" w:space="0" w:color="auto"/>
      </w:divBdr>
    </w:div>
    <w:div w:id="1600721467">
      <w:bodyDiv w:val="1"/>
      <w:marLeft w:val="0"/>
      <w:marRight w:val="0"/>
      <w:marTop w:val="0"/>
      <w:marBottom w:val="0"/>
      <w:divBdr>
        <w:top w:val="none" w:sz="0" w:space="0" w:color="auto"/>
        <w:left w:val="none" w:sz="0" w:space="0" w:color="auto"/>
        <w:bottom w:val="none" w:sz="0" w:space="0" w:color="auto"/>
        <w:right w:val="none" w:sz="0" w:space="0" w:color="auto"/>
      </w:divBdr>
    </w:div>
    <w:div w:id="1605071366">
      <w:bodyDiv w:val="1"/>
      <w:marLeft w:val="0"/>
      <w:marRight w:val="0"/>
      <w:marTop w:val="0"/>
      <w:marBottom w:val="0"/>
      <w:divBdr>
        <w:top w:val="none" w:sz="0" w:space="0" w:color="auto"/>
        <w:left w:val="none" w:sz="0" w:space="0" w:color="auto"/>
        <w:bottom w:val="none" w:sz="0" w:space="0" w:color="auto"/>
        <w:right w:val="none" w:sz="0" w:space="0" w:color="auto"/>
      </w:divBdr>
    </w:div>
    <w:div w:id="1607694840">
      <w:bodyDiv w:val="1"/>
      <w:marLeft w:val="0"/>
      <w:marRight w:val="0"/>
      <w:marTop w:val="0"/>
      <w:marBottom w:val="0"/>
      <w:divBdr>
        <w:top w:val="none" w:sz="0" w:space="0" w:color="auto"/>
        <w:left w:val="none" w:sz="0" w:space="0" w:color="auto"/>
        <w:bottom w:val="none" w:sz="0" w:space="0" w:color="auto"/>
        <w:right w:val="none" w:sz="0" w:space="0" w:color="auto"/>
      </w:divBdr>
    </w:div>
    <w:div w:id="1609704411">
      <w:bodyDiv w:val="1"/>
      <w:marLeft w:val="0"/>
      <w:marRight w:val="0"/>
      <w:marTop w:val="0"/>
      <w:marBottom w:val="0"/>
      <w:divBdr>
        <w:top w:val="none" w:sz="0" w:space="0" w:color="auto"/>
        <w:left w:val="none" w:sz="0" w:space="0" w:color="auto"/>
        <w:bottom w:val="none" w:sz="0" w:space="0" w:color="auto"/>
        <w:right w:val="none" w:sz="0" w:space="0" w:color="auto"/>
      </w:divBdr>
    </w:div>
    <w:div w:id="1624657386">
      <w:bodyDiv w:val="1"/>
      <w:marLeft w:val="0"/>
      <w:marRight w:val="0"/>
      <w:marTop w:val="0"/>
      <w:marBottom w:val="0"/>
      <w:divBdr>
        <w:top w:val="none" w:sz="0" w:space="0" w:color="auto"/>
        <w:left w:val="none" w:sz="0" w:space="0" w:color="auto"/>
        <w:bottom w:val="none" w:sz="0" w:space="0" w:color="auto"/>
        <w:right w:val="none" w:sz="0" w:space="0" w:color="auto"/>
      </w:divBdr>
    </w:div>
    <w:div w:id="1625427881">
      <w:bodyDiv w:val="1"/>
      <w:marLeft w:val="0"/>
      <w:marRight w:val="0"/>
      <w:marTop w:val="0"/>
      <w:marBottom w:val="0"/>
      <w:divBdr>
        <w:top w:val="none" w:sz="0" w:space="0" w:color="auto"/>
        <w:left w:val="none" w:sz="0" w:space="0" w:color="auto"/>
        <w:bottom w:val="none" w:sz="0" w:space="0" w:color="auto"/>
        <w:right w:val="none" w:sz="0" w:space="0" w:color="auto"/>
      </w:divBdr>
    </w:div>
    <w:div w:id="1629819811">
      <w:bodyDiv w:val="1"/>
      <w:marLeft w:val="0"/>
      <w:marRight w:val="0"/>
      <w:marTop w:val="0"/>
      <w:marBottom w:val="0"/>
      <w:divBdr>
        <w:top w:val="none" w:sz="0" w:space="0" w:color="auto"/>
        <w:left w:val="none" w:sz="0" w:space="0" w:color="auto"/>
        <w:bottom w:val="none" w:sz="0" w:space="0" w:color="auto"/>
        <w:right w:val="none" w:sz="0" w:space="0" w:color="auto"/>
      </w:divBdr>
      <w:divsChild>
        <w:div w:id="1461606492">
          <w:marLeft w:val="0"/>
          <w:marRight w:val="0"/>
          <w:marTop w:val="0"/>
          <w:marBottom w:val="0"/>
          <w:divBdr>
            <w:top w:val="none" w:sz="0" w:space="0" w:color="auto"/>
            <w:left w:val="none" w:sz="0" w:space="0" w:color="auto"/>
            <w:bottom w:val="none" w:sz="0" w:space="0" w:color="auto"/>
            <w:right w:val="none" w:sz="0" w:space="0" w:color="auto"/>
          </w:divBdr>
          <w:divsChild>
            <w:div w:id="425423485">
              <w:marLeft w:val="0"/>
              <w:marRight w:val="0"/>
              <w:marTop w:val="0"/>
              <w:marBottom w:val="0"/>
              <w:divBdr>
                <w:top w:val="none" w:sz="0" w:space="0" w:color="auto"/>
                <w:left w:val="none" w:sz="0" w:space="0" w:color="auto"/>
                <w:bottom w:val="none" w:sz="0" w:space="0" w:color="auto"/>
                <w:right w:val="none" w:sz="0" w:space="0" w:color="auto"/>
              </w:divBdr>
              <w:divsChild>
                <w:div w:id="273484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697490">
      <w:bodyDiv w:val="1"/>
      <w:marLeft w:val="0"/>
      <w:marRight w:val="0"/>
      <w:marTop w:val="0"/>
      <w:marBottom w:val="0"/>
      <w:divBdr>
        <w:top w:val="none" w:sz="0" w:space="0" w:color="auto"/>
        <w:left w:val="none" w:sz="0" w:space="0" w:color="auto"/>
        <w:bottom w:val="none" w:sz="0" w:space="0" w:color="auto"/>
        <w:right w:val="none" w:sz="0" w:space="0" w:color="auto"/>
      </w:divBdr>
    </w:div>
    <w:div w:id="1630865787">
      <w:bodyDiv w:val="1"/>
      <w:marLeft w:val="0"/>
      <w:marRight w:val="0"/>
      <w:marTop w:val="0"/>
      <w:marBottom w:val="0"/>
      <w:divBdr>
        <w:top w:val="none" w:sz="0" w:space="0" w:color="auto"/>
        <w:left w:val="none" w:sz="0" w:space="0" w:color="auto"/>
        <w:bottom w:val="none" w:sz="0" w:space="0" w:color="auto"/>
        <w:right w:val="none" w:sz="0" w:space="0" w:color="auto"/>
      </w:divBdr>
      <w:divsChild>
        <w:div w:id="1625767943">
          <w:marLeft w:val="0"/>
          <w:marRight w:val="0"/>
          <w:marTop w:val="0"/>
          <w:marBottom w:val="0"/>
          <w:divBdr>
            <w:top w:val="none" w:sz="0" w:space="0" w:color="auto"/>
            <w:left w:val="none" w:sz="0" w:space="0" w:color="auto"/>
            <w:bottom w:val="none" w:sz="0" w:space="0" w:color="auto"/>
            <w:right w:val="none" w:sz="0" w:space="0" w:color="auto"/>
          </w:divBdr>
          <w:divsChild>
            <w:div w:id="573472602">
              <w:marLeft w:val="0"/>
              <w:marRight w:val="0"/>
              <w:marTop w:val="0"/>
              <w:marBottom w:val="0"/>
              <w:divBdr>
                <w:top w:val="none" w:sz="0" w:space="0" w:color="auto"/>
                <w:left w:val="none" w:sz="0" w:space="0" w:color="auto"/>
                <w:bottom w:val="none" w:sz="0" w:space="0" w:color="auto"/>
                <w:right w:val="none" w:sz="0" w:space="0" w:color="auto"/>
              </w:divBdr>
              <w:divsChild>
                <w:div w:id="1471481127">
                  <w:marLeft w:val="0"/>
                  <w:marRight w:val="0"/>
                  <w:marTop w:val="0"/>
                  <w:marBottom w:val="0"/>
                  <w:divBdr>
                    <w:top w:val="none" w:sz="0" w:space="0" w:color="auto"/>
                    <w:left w:val="none" w:sz="0" w:space="0" w:color="auto"/>
                    <w:bottom w:val="none" w:sz="0" w:space="0" w:color="auto"/>
                    <w:right w:val="none" w:sz="0" w:space="0" w:color="auto"/>
                  </w:divBdr>
                  <w:divsChild>
                    <w:div w:id="116000057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638098098">
      <w:bodyDiv w:val="1"/>
      <w:marLeft w:val="0"/>
      <w:marRight w:val="0"/>
      <w:marTop w:val="0"/>
      <w:marBottom w:val="0"/>
      <w:divBdr>
        <w:top w:val="none" w:sz="0" w:space="0" w:color="auto"/>
        <w:left w:val="none" w:sz="0" w:space="0" w:color="auto"/>
        <w:bottom w:val="none" w:sz="0" w:space="0" w:color="auto"/>
        <w:right w:val="none" w:sz="0" w:space="0" w:color="auto"/>
      </w:divBdr>
    </w:div>
    <w:div w:id="1647515923">
      <w:bodyDiv w:val="1"/>
      <w:marLeft w:val="0"/>
      <w:marRight w:val="0"/>
      <w:marTop w:val="0"/>
      <w:marBottom w:val="0"/>
      <w:divBdr>
        <w:top w:val="none" w:sz="0" w:space="0" w:color="auto"/>
        <w:left w:val="none" w:sz="0" w:space="0" w:color="auto"/>
        <w:bottom w:val="none" w:sz="0" w:space="0" w:color="auto"/>
        <w:right w:val="none" w:sz="0" w:space="0" w:color="auto"/>
      </w:divBdr>
    </w:div>
    <w:div w:id="1662544241">
      <w:bodyDiv w:val="1"/>
      <w:marLeft w:val="0"/>
      <w:marRight w:val="0"/>
      <w:marTop w:val="0"/>
      <w:marBottom w:val="0"/>
      <w:divBdr>
        <w:top w:val="none" w:sz="0" w:space="0" w:color="auto"/>
        <w:left w:val="none" w:sz="0" w:space="0" w:color="auto"/>
        <w:bottom w:val="none" w:sz="0" w:space="0" w:color="auto"/>
        <w:right w:val="none" w:sz="0" w:space="0" w:color="auto"/>
      </w:divBdr>
    </w:div>
    <w:div w:id="1666739413">
      <w:bodyDiv w:val="1"/>
      <w:marLeft w:val="0"/>
      <w:marRight w:val="0"/>
      <w:marTop w:val="0"/>
      <w:marBottom w:val="0"/>
      <w:divBdr>
        <w:top w:val="none" w:sz="0" w:space="0" w:color="auto"/>
        <w:left w:val="none" w:sz="0" w:space="0" w:color="auto"/>
        <w:bottom w:val="none" w:sz="0" w:space="0" w:color="auto"/>
        <w:right w:val="none" w:sz="0" w:space="0" w:color="auto"/>
      </w:divBdr>
    </w:div>
    <w:div w:id="1668286406">
      <w:bodyDiv w:val="1"/>
      <w:marLeft w:val="0"/>
      <w:marRight w:val="0"/>
      <w:marTop w:val="0"/>
      <w:marBottom w:val="0"/>
      <w:divBdr>
        <w:top w:val="none" w:sz="0" w:space="0" w:color="auto"/>
        <w:left w:val="none" w:sz="0" w:space="0" w:color="auto"/>
        <w:bottom w:val="none" w:sz="0" w:space="0" w:color="auto"/>
        <w:right w:val="none" w:sz="0" w:space="0" w:color="auto"/>
      </w:divBdr>
    </w:div>
    <w:div w:id="1668943057">
      <w:bodyDiv w:val="1"/>
      <w:marLeft w:val="0"/>
      <w:marRight w:val="0"/>
      <w:marTop w:val="0"/>
      <w:marBottom w:val="0"/>
      <w:divBdr>
        <w:top w:val="none" w:sz="0" w:space="0" w:color="auto"/>
        <w:left w:val="none" w:sz="0" w:space="0" w:color="auto"/>
        <w:bottom w:val="none" w:sz="0" w:space="0" w:color="auto"/>
        <w:right w:val="none" w:sz="0" w:space="0" w:color="auto"/>
      </w:divBdr>
    </w:div>
    <w:div w:id="1673948339">
      <w:bodyDiv w:val="1"/>
      <w:marLeft w:val="0"/>
      <w:marRight w:val="0"/>
      <w:marTop w:val="0"/>
      <w:marBottom w:val="0"/>
      <w:divBdr>
        <w:top w:val="none" w:sz="0" w:space="0" w:color="auto"/>
        <w:left w:val="none" w:sz="0" w:space="0" w:color="auto"/>
        <w:bottom w:val="none" w:sz="0" w:space="0" w:color="auto"/>
        <w:right w:val="none" w:sz="0" w:space="0" w:color="auto"/>
      </w:divBdr>
    </w:div>
    <w:div w:id="1675259812">
      <w:bodyDiv w:val="1"/>
      <w:marLeft w:val="0"/>
      <w:marRight w:val="0"/>
      <w:marTop w:val="0"/>
      <w:marBottom w:val="0"/>
      <w:divBdr>
        <w:top w:val="none" w:sz="0" w:space="0" w:color="auto"/>
        <w:left w:val="none" w:sz="0" w:space="0" w:color="auto"/>
        <w:bottom w:val="none" w:sz="0" w:space="0" w:color="auto"/>
        <w:right w:val="none" w:sz="0" w:space="0" w:color="auto"/>
      </w:divBdr>
    </w:div>
    <w:div w:id="1675958702">
      <w:bodyDiv w:val="1"/>
      <w:marLeft w:val="0"/>
      <w:marRight w:val="0"/>
      <w:marTop w:val="0"/>
      <w:marBottom w:val="0"/>
      <w:divBdr>
        <w:top w:val="none" w:sz="0" w:space="0" w:color="auto"/>
        <w:left w:val="none" w:sz="0" w:space="0" w:color="auto"/>
        <w:bottom w:val="none" w:sz="0" w:space="0" w:color="auto"/>
        <w:right w:val="none" w:sz="0" w:space="0" w:color="auto"/>
      </w:divBdr>
    </w:div>
    <w:div w:id="1676110753">
      <w:bodyDiv w:val="1"/>
      <w:marLeft w:val="0"/>
      <w:marRight w:val="0"/>
      <w:marTop w:val="0"/>
      <w:marBottom w:val="0"/>
      <w:divBdr>
        <w:top w:val="none" w:sz="0" w:space="0" w:color="auto"/>
        <w:left w:val="none" w:sz="0" w:space="0" w:color="auto"/>
        <w:bottom w:val="none" w:sz="0" w:space="0" w:color="auto"/>
        <w:right w:val="none" w:sz="0" w:space="0" w:color="auto"/>
      </w:divBdr>
    </w:div>
    <w:div w:id="1700204227">
      <w:bodyDiv w:val="1"/>
      <w:marLeft w:val="0"/>
      <w:marRight w:val="0"/>
      <w:marTop w:val="0"/>
      <w:marBottom w:val="0"/>
      <w:divBdr>
        <w:top w:val="none" w:sz="0" w:space="0" w:color="auto"/>
        <w:left w:val="none" w:sz="0" w:space="0" w:color="auto"/>
        <w:bottom w:val="none" w:sz="0" w:space="0" w:color="auto"/>
        <w:right w:val="none" w:sz="0" w:space="0" w:color="auto"/>
      </w:divBdr>
      <w:divsChild>
        <w:div w:id="1980647361">
          <w:marLeft w:val="0"/>
          <w:marRight w:val="0"/>
          <w:marTop w:val="0"/>
          <w:marBottom w:val="0"/>
          <w:divBdr>
            <w:top w:val="none" w:sz="0" w:space="0" w:color="auto"/>
            <w:left w:val="none" w:sz="0" w:space="0" w:color="auto"/>
            <w:bottom w:val="none" w:sz="0" w:space="0" w:color="auto"/>
            <w:right w:val="none" w:sz="0" w:space="0" w:color="auto"/>
          </w:divBdr>
          <w:divsChild>
            <w:div w:id="773868809">
              <w:marLeft w:val="0"/>
              <w:marRight w:val="0"/>
              <w:marTop w:val="0"/>
              <w:marBottom w:val="0"/>
              <w:divBdr>
                <w:top w:val="none" w:sz="0" w:space="0" w:color="auto"/>
                <w:left w:val="none" w:sz="0" w:space="0" w:color="auto"/>
                <w:bottom w:val="none" w:sz="0" w:space="0" w:color="auto"/>
                <w:right w:val="none" w:sz="0" w:space="0" w:color="auto"/>
              </w:divBdr>
              <w:divsChild>
                <w:div w:id="837036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901633">
      <w:bodyDiv w:val="1"/>
      <w:marLeft w:val="0"/>
      <w:marRight w:val="0"/>
      <w:marTop w:val="0"/>
      <w:marBottom w:val="0"/>
      <w:divBdr>
        <w:top w:val="none" w:sz="0" w:space="0" w:color="auto"/>
        <w:left w:val="none" w:sz="0" w:space="0" w:color="auto"/>
        <w:bottom w:val="none" w:sz="0" w:space="0" w:color="auto"/>
        <w:right w:val="none" w:sz="0" w:space="0" w:color="auto"/>
      </w:divBdr>
    </w:div>
    <w:div w:id="1713924806">
      <w:bodyDiv w:val="1"/>
      <w:marLeft w:val="0"/>
      <w:marRight w:val="0"/>
      <w:marTop w:val="0"/>
      <w:marBottom w:val="0"/>
      <w:divBdr>
        <w:top w:val="none" w:sz="0" w:space="0" w:color="auto"/>
        <w:left w:val="none" w:sz="0" w:space="0" w:color="auto"/>
        <w:bottom w:val="none" w:sz="0" w:space="0" w:color="auto"/>
        <w:right w:val="none" w:sz="0" w:space="0" w:color="auto"/>
      </w:divBdr>
      <w:divsChild>
        <w:div w:id="569585496">
          <w:marLeft w:val="0"/>
          <w:marRight w:val="0"/>
          <w:marTop w:val="0"/>
          <w:marBottom w:val="0"/>
          <w:divBdr>
            <w:top w:val="none" w:sz="0" w:space="0" w:color="auto"/>
            <w:left w:val="none" w:sz="0" w:space="0" w:color="auto"/>
            <w:bottom w:val="none" w:sz="0" w:space="0" w:color="auto"/>
            <w:right w:val="none" w:sz="0" w:space="0" w:color="auto"/>
          </w:divBdr>
          <w:divsChild>
            <w:div w:id="1920020858">
              <w:marLeft w:val="0"/>
              <w:marRight w:val="0"/>
              <w:marTop w:val="0"/>
              <w:marBottom w:val="0"/>
              <w:divBdr>
                <w:top w:val="none" w:sz="0" w:space="0" w:color="auto"/>
                <w:left w:val="none" w:sz="0" w:space="0" w:color="auto"/>
                <w:bottom w:val="none" w:sz="0" w:space="0" w:color="auto"/>
                <w:right w:val="none" w:sz="0" w:space="0" w:color="auto"/>
              </w:divBdr>
              <w:divsChild>
                <w:div w:id="1155878170">
                  <w:marLeft w:val="0"/>
                  <w:marRight w:val="0"/>
                  <w:marTop w:val="0"/>
                  <w:marBottom w:val="0"/>
                  <w:divBdr>
                    <w:top w:val="none" w:sz="0" w:space="0" w:color="auto"/>
                    <w:left w:val="none" w:sz="0" w:space="0" w:color="auto"/>
                    <w:bottom w:val="none" w:sz="0" w:space="0" w:color="auto"/>
                    <w:right w:val="none" w:sz="0" w:space="0" w:color="auto"/>
                  </w:divBdr>
                  <w:divsChild>
                    <w:div w:id="1099526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4139227">
      <w:bodyDiv w:val="1"/>
      <w:marLeft w:val="0"/>
      <w:marRight w:val="0"/>
      <w:marTop w:val="0"/>
      <w:marBottom w:val="0"/>
      <w:divBdr>
        <w:top w:val="none" w:sz="0" w:space="0" w:color="auto"/>
        <w:left w:val="none" w:sz="0" w:space="0" w:color="auto"/>
        <w:bottom w:val="none" w:sz="0" w:space="0" w:color="auto"/>
        <w:right w:val="none" w:sz="0" w:space="0" w:color="auto"/>
      </w:divBdr>
    </w:div>
    <w:div w:id="1726756341">
      <w:bodyDiv w:val="1"/>
      <w:marLeft w:val="0"/>
      <w:marRight w:val="0"/>
      <w:marTop w:val="0"/>
      <w:marBottom w:val="0"/>
      <w:divBdr>
        <w:top w:val="none" w:sz="0" w:space="0" w:color="auto"/>
        <w:left w:val="none" w:sz="0" w:space="0" w:color="auto"/>
        <w:bottom w:val="none" w:sz="0" w:space="0" w:color="auto"/>
        <w:right w:val="none" w:sz="0" w:space="0" w:color="auto"/>
      </w:divBdr>
    </w:div>
    <w:div w:id="1730419370">
      <w:bodyDiv w:val="1"/>
      <w:marLeft w:val="0"/>
      <w:marRight w:val="0"/>
      <w:marTop w:val="0"/>
      <w:marBottom w:val="0"/>
      <w:divBdr>
        <w:top w:val="none" w:sz="0" w:space="0" w:color="auto"/>
        <w:left w:val="none" w:sz="0" w:space="0" w:color="auto"/>
        <w:bottom w:val="none" w:sz="0" w:space="0" w:color="auto"/>
        <w:right w:val="none" w:sz="0" w:space="0" w:color="auto"/>
      </w:divBdr>
    </w:div>
    <w:div w:id="1733501147">
      <w:bodyDiv w:val="1"/>
      <w:marLeft w:val="0"/>
      <w:marRight w:val="0"/>
      <w:marTop w:val="0"/>
      <w:marBottom w:val="0"/>
      <w:divBdr>
        <w:top w:val="none" w:sz="0" w:space="0" w:color="auto"/>
        <w:left w:val="none" w:sz="0" w:space="0" w:color="auto"/>
        <w:bottom w:val="none" w:sz="0" w:space="0" w:color="auto"/>
        <w:right w:val="none" w:sz="0" w:space="0" w:color="auto"/>
      </w:divBdr>
    </w:div>
    <w:div w:id="1733575766">
      <w:bodyDiv w:val="1"/>
      <w:marLeft w:val="0"/>
      <w:marRight w:val="0"/>
      <w:marTop w:val="0"/>
      <w:marBottom w:val="0"/>
      <w:divBdr>
        <w:top w:val="none" w:sz="0" w:space="0" w:color="auto"/>
        <w:left w:val="none" w:sz="0" w:space="0" w:color="auto"/>
        <w:bottom w:val="none" w:sz="0" w:space="0" w:color="auto"/>
        <w:right w:val="none" w:sz="0" w:space="0" w:color="auto"/>
      </w:divBdr>
    </w:div>
    <w:div w:id="1736663692">
      <w:bodyDiv w:val="1"/>
      <w:marLeft w:val="0"/>
      <w:marRight w:val="0"/>
      <w:marTop w:val="0"/>
      <w:marBottom w:val="0"/>
      <w:divBdr>
        <w:top w:val="none" w:sz="0" w:space="0" w:color="auto"/>
        <w:left w:val="none" w:sz="0" w:space="0" w:color="auto"/>
        <w:bottom w:val="none" w:sz="0" w:space="0" w:color="auto"/>
        <w:right w:val="none" w:sz="0" w:space="0" w:color="auto"/>
      </w:divBdr>
    </w:div>
    <w:div w:id="1741634756">
      <w:bodyDiv w:val="1"/>
      <w:marLeft w:val="0"/>
      <w:marRight w:val="0"/>
      <w:marTop w:val="0"/>
      <w:marBottom w:val="0"/>
      <w:divBdr>
        <w:top w:val="none" w:sz="0" w:space="0" w:color="auto"/>
        <w:left w:val="none" w:sz="0" w:space="0" w:color="auto"/>
        <w:bottom w:val="none" w:sz="0" w:space="0" w:color="auto"/>
        <w:right w:val="none" w:sz="0" w:space="0" w:color="auto"/>
      </w:divBdr>
    </w:div>
    <w:div w:id="1746873484">
      <w:bodyDiv w:val="1"/>
      <w:marLeft w:val="0"/>
      <w:marRight w:val="0"/>
      <w:marTop w:val="0"/>
      <w:marBottom w:val="0"/>
      <w:divBdr>
        <w:top w:val="none" w:sz="0" w:space="0" w:color="auto"/>
        <w:left w:val="none" w:sz="0" w:space="0" w:color="auto"/>
        <w:bottom w:val="none" w:sz="0" w:space="0" w:color="auto"/>
        <w:right w:val="none" w:sz="0" w:space="0" w:color="auto"/>
      </w:divBdr>
    </w:div>
    <w:div w:id="1746996028">
      <w:bodyDiv w:val="1"/>
      <w:marLeft w:val="0"/>
      <w:marRight w:val="0"/>
      <w:marTop w:val="0"/>
      <w:marBottom w:val="0"/>
      <w:divBdr>
        <w:top w:val="none" w:sz="0" w:space="0" w:color="auto"/>
        <w:left w:val="none" w:sz="0" w:space="0" w:color="auto"/>
        <w:bottom w:val="none" w:sz="0" w:space="0" w:color="auto"/>
        <w:right w:val="none" w:sz="0" w:space="0" w:color="auto"/>
      </w:divBdr>
    </w:div>
    <w:div w:id="1751541587">
      <w:bodyDiv w:val="1"/>
      <w:marLeft w:val="0"/>
      <w:marRight w:val="0"/>
      <w:marTop w:val="0"/>
      <w:marBottom w:val="0"/>
      <w:divBdr>
        <w:top w:val="none" w:sz="0" w:space="0" w:color="auto"/>
        <w:left w:val="none" w:sz="0" w:space="0" w:color="auto"/>
        <w:bottom w:val="none" w:sz="0" w:space="0" w:color="auto"/>
        <w:right w:val="none" w:sz="0" w:space="0" w:color="auto"/>
      </w:divBdr>
    </w:div>
    <w:div w:id="1759984060">
      <w:bodyDiv w:val="1"/>
      <w:marLeft w:val="0"/>
      <w:marRight w:val="0"/>
      <w:marTop w:val="0"/>
      <w:marBottom w:val="0"/>
      <w:divBdr>
        <w:top w:val="none" w:sz="0" w:space="0" w:color="auto"/>
        <w:left w:val="none" w:sz="0" w:space="0" w:color="auto"/>
        <w:bottom w:val="none" w:sz="0" w:space="0" w:color="auto"/>
        <w:right w:val="none" w:sz="0" w:space="0" w:color="auto"/>
      </w:divBdr>
    </w:div>
    <w:div w:id="1767846998">
      <w:bodyDiv w:val="1"/>
      <w:marLeft w:val="0"/>
      <w:marRight w:val="0"/>
      <w:marTop w:val="0"/>
      <w:marBottom w:val="0"/>
      <w:divBdr>
        <w:top w:val="none" w:sz="0" w:space="0" w:color="auto"/>
        <w:left w:val="none" w:sz="0" w:space="0" w:color="auto"/>
        <w:bottom w:val="none" w:sz="0" w:space="0" w:color="auto"/>
        <w:right w:val="none" w:sz="0" w:space="0" w:color="auto"/>
      </w:divBdr>
      <w:divsChild>
        <w:div w:id="1003778919">
          <w:marLeft w:val="0"/>
          <w:marRight w:val="0"/>
          <w:marTop w:val="0"/>
          <w:marBottom w:val="0"/>
          <w:divBdr>
            <w:top w:val="none" w:sz="0" w:space="0" w:color="auto"/>
            <w:left w:val="none" w:sz="0" w:space="0" w:color="auto"/>
            <w:bottom w:val="none" w:sz="0" w:space="0" w:color="auto"/>
            <w:right w:val="none" w:sz="0" w:space="0" w:color="auto"/>
          </w:divBdr>
          <w:divsChild>
            <w:div w:id="2119910693">
              <w:marLeft w:val="0"/>
              <w:marRight w:val="0"/>
              <w:marTop w:val="0"/>
              <w:marBottom w:val="0"/>
              <w:divBdr>
                <w:top w:val="none" w:sz="0" w:space="0" w:color="auto"/>
                <w:left w:val="none" w:sz="0" w:space="0" w:color="auto"/>
                <w:bottom w:val="none" w:sz="0" w:space="0" w:color="auto"/>
                <w:right w:val="none" w:sz="0" w:space="0" w:color="auto"/>
              </w:divBdr>
              <w:divsChild>
                <w:div w:id="1177231609">
                  <w:marLeft w:val="0"/>
                  <w:marRight w:val="0"/>
                  <w:marTop w:val="0"/>
                  <w:marBottom w:val="0"/>
                  <w:divBdr>
                    <w:top w:val="none" w:sz="0" w:space="0" w:color="auto"/>
                    <w:left w:val="none" w:sz="0" w:space="0" w:color="auto"/>
                    <w:bottom w:val="none" w:sz="0" w:space="0" w:color="auto"/>
                    <w:right w:val="none" w:sz="0" w:space="0" w:color="auto"/>
                  </w:divBdr>
                  <w:divsChild>
                    <w:div w:id="429085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8600567">
      <w:bodyDiv w:val="1"/>
      <w:marLeft w:val="0"/>
      <w:marRight w:val="0"/>
      <w:marTop w:val="0"/>
      <w:marBottom w:val="0"/>
      <w:divBdr>
        <w:top w:val="none" w:sz="0" w:space="0" w:color="auto"/>
        <w:left w:val="none" w:sz="0" w:space="0" w:color="auto"/>
        <w:bottom w:val="none" w:sz="0" w:space="0" w:color="auto"/>
        <w:right w:val="none" w:sz="0" w:space="0" w:color="auto"/>
      </w:divBdr>
    </w:div>
    <w:div w:id="1782989007">
      <w:bodyDiv w:val="1"/>
      <w:marLeft w:val="0"/>
      <w:marRight w:val="0"/>
      <w:marTop w:val="0"/>
      <w:marBottom w:val="0"/>
      <w:divBdr>
        <w:top w:val="none" w:sz="0" w:space="0" w:color="auto"/>
        <w:left w:val="none" w:sz="0" w:space="0" w:color="auto"/>
        <w:bottom w:val="none" w:sz="0" w:space="0" w:color="auto"/>
        <w:right w:val="none" w:sz="0" w:space="0" w:color="auto"/>
      </w:divBdr>
    </w:div>
    <w:div w:id="1784029405">
      <w:bodyDiv w:val="1"/>
      <w:marLeft w:val="0"/>
      <w:marRight w:val="0"/>
      <w:marTop w:val="0"/>
      <w:marBottom w:val="0"/>
      <w:divBdr>
        <w:top w:val="none" w:sz="0" w:space="0" w:color="auto"/>
        <w:left w:val="none" w:sz="0" w:space="0" w:color="auto"/>
        <w:bottom w:val="none" w:sz="0" w:space="0" w:color="auto"/>
        <w:right w:val="none" w:sz="0" w:space="0" w:color="auto"/>
      </w:divBdr>
    </w:div>
    <w:div w:id="1785491583">
      <w:bodyDiv w:val="1"/>
      <w:marLeft w:val="0"/>
      <w:marRight w:val="0"/>
      <w:marTop w:val="0"/>
      <w:marBottom w:val="0"/>
      <w:divBdr>
        <w:top w:val="none" w:sz="0" w:space="0" w:color="auto"/>
        <w:left w:val="none" w:sz="0" w:space="0" w:color="auto"/>
        <w:bottom w:val="none" w:sz="0" w:space="0" w:color="auto"/>
        <w:right w:val="none" w:sz="0" w:space="0" w:color="auto"/>
      </w:divBdr>
    </w:div>
    <w:div w:id="1786847477">
      <w:bodyDiv w:val="1"/>
      <w:marLeft w:val="0"/>
      <w:marRight w:val="0"/>
      <w:marTop w:val="0"/>
      <w:marBottom w:val="0"/>
      <w:divBdr>
        <w:top w:val="none" w:sz="0" w:space="0" w:color="auto"/>
        <w:left w:val="none" w:sz="0" w:space="0" w:color="auto"/>
        <w:bottom w:val="none" w:sz="0" w:space="0" w:color="auto"/>
        <w:right w:val="none" w:sz="0" w:space="0" w:color="auto"/>
      </w:divBdr>
    </w:div>
    <w:div w:id="1811170569">
      <w:bodyDiv w:val="1"/>
      <w:marLeft w:val="0"/>
      <w:marRight w:val="0"/>
      <w:marTop w:val="0"/>
      <w:marBottom w:val="0"/>
      <w:divBdr>
        <w:top w:val="none" w:sz="0" w:space="0" w:color="auto"/>
        <w:left w:val="none" w:sz="0" w:space="0" w:color="auto"/>
        <w:bottom w:val="none" w:sz="0" w:space="0" w:color="auto"/>
        <w:right w:val="none" w:sz="0" w:space="0" w:color="auto"/>
      </w:divBdr>
    </w:div>
    <w:div w:id="1824270764">
      <w:bodyDiv w:val="1"/>
      <w:marLeft w:val="0"/>
      <w:marRight w:val="0"/>
      <w:marTop w:val="0"/>
      <w:marBottom w:val="0"/>
      <w:divBdr>
        <w:top w:val="none" w:sz="0" w:space="0" w:color="auto"/>
        <w:left w:val="none" w:sz="0" w:space="0" w:color="auto"/>
        <w:bottom w:val="none" w:sz="0" w:space="0" w:color="auto"/>
        <w:right w:val="none" w:sz="0" w:space="0" w:color="auto"/>
      </w:divBdr>
    </w:div>
    <w:div w:id="1854372690">
      <w:bodyDiv w:val="1"/>
      <w:marLeft w:val="0"/>
      <w:marRight w:val="0"/>
      <w:marTop w:val="0"/>
      <w:marBottom w:val="0"/>
      <w:divBdr>
        <w:top w:val="none" w:sz="0" w:space="0" w:color="auto"/>
        <w:left w:val="none" w:sz="0" w:space="0" w:color="auto"/>
        <w:bottom w:val="none" w:sz="0" w:space="0" w:color="auto"/>
        <w:right w:val="none" w:sz="0" w:space="0" w:color="auto"/>
      </w:divBdr>
    </w:div>
    <w:div w:id="1856192002">
      <w:bodyDiv w:val="1"/>
      <w:marLeft w:val="0"/>
      <w:marRight w:val="0"/>
      <w:marTop w:val="0"/>
      <w:marBottom w:val="0"/>
      <w:divBdr>
        <w:top w:val="none" w:sz="0" w:space="0" w:color="auto"/>
        <w:left w:val="none" w:sz="0" w:space="0" w:color="auto"/>
        <w:bottom w:val="none" w:sz="0" w:space="0" w:color="auto"/>
        <w:right w:val="none" w:sz="0" w:space="0" w:color="auto"/>
      </w:divBdr>
    </w:div>
    <w:div w:id="1860269619">
      <w:bodyDiv w:val="1"/>
      <w:marLeft w:val="0"/>
      <w:marRight w:val="0"/>
      <w:marTop w:val="0"/>
      <w:marBottom w:val="0"/>
      <w:divBdr>
        <w:top w:val="none" w:sz="0" w:space="0" w:color="auto"/>
        <w:left w:val="none" w:sz="0" w:space="0" w:color="auto"/>
        <w:bottom w:val="none" w:sz="0" w:space="0" w:color="auto"/>
        <w:right w:val="none" w:sz="0" w:space="0" w:color="auto"/>
      </w:divBdr>
    </w:div>
    <w:div w:id="1866139348">
      <w:bodyDiv w:val="1"/>
      <w:marLeft w:val="0"/>
      <w:marRight w:val="0"/>
      <w:marTop w:val="0"/>
      <w:marBottom w:val="0"/>
      <w:divBdr>
        <w:top w:val="none" w:sz="0" w:space="0" w:color="auto"/>
        <w:left w:val="none" w:sz="0" w:space="0" w:color="auto"/>
        <w:bottom w:val="none" w:sz="0" w:space="0" w:color="auto"/>
        <w:right w:val="none" w:sz="0" w:space="0" w:color="auto"/>
      </w:divBdr>
      <w:divsChild>
        <w:div w:id="1728143339">
          <w:marLeft w:val="0"/>
          <w:marRight w:val="0"/>
          <w:marTop w:val="0"/>
          <w:marBottom w:val="0"/>
          <w:divBdr>
            <w:top w:val="none" w:sz="0" w:space="0" w:color="auto"/>
            <w:left w:val="none" w:sz="0" w:space="0" w:color="auto"/>
            <w:bottom w:val="none" w:sz="0" w:space="0" w:color="auto"/>
            <w:right w:val="none" w:sz="0" w:space="0" w:color="auto"/>
          </w:divBdr>
          <w:divsChild>
            <w:div w:id="1225291567">
              <w:marLeft w:val="0"/>
              <w:marRight w:val="0"/>
              <w:marTop w:val="0"/>
              <w:marBottom w:val="0"/>
              <w:divBdr>
                <w:top w:val="none" w:sz="0" w:space="0" w:color="auto"/>
                <w:left w:val="none" w:sz="0" w:space="0" w:color="auto"/>
                <w:bottom w:val="none" w:sz="0" w:space="0" w:color="auto"/>
                <w:right w:val="none" w:sz="0" w:space="0" w:color="auto"/>
              </w:divBdr>
              <w:divsChild>
                <w:div w:id="1000083070">
                  <w:marLeft w:val="0"/>
                  <w:marRight w:val="0"/>
                  <w:marTop w:val="0"/>
                  <w:marBottom w:val="0"/>
                  <w:divBdr>
                    <w:top w:val="none" w:sz="0" w:space="0" w:color="auto"/>
                    <w:left w:val="none" w:sz="0" w:space="0" w:color="auto"/>
                    <w:bottom w:val="none" w:sz="0" w:space="0" w:color="auto"/>
                    <w:right w:val="none" w:sz="0" w:space="0" w:color="auto"/>
                  </w:divBdr>
                </w:div>
                <w:div w:id="2097244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7601979">
      <w:bodyDiv w:val="1"/>
      <w:marLeft w:val="0"/>
      <w:marRight w:val="0"/>
      <w:marTop w:val="0"/>
      <w:marBottom w:val="0"/>
      <w:divBdr>
        <w:top w:val="none" w:sz="0" w:space="0" w:color="auto"/>
        <w:left w:val="none" w:sz="0" w:space="0" w:color="auto"/>
        <w:bottom w:val="none" w:sz="0" w:space="0" w:color="auto"/>
        <w:right w:val="none" w:sz="0" w:space="0" w:color="auto"/>
      </w:divBdr>
      <w:divsChild>
        <w:div w:id="1871988187">
          <w:marLeft w:val="0"/>
          <w:marRight w:val="0"/>
          <w:marTop w:val="0"/>
          <w:marBottom w:val="0"/>
          <w:divBdr>
            <w:top w:val="none" w:sz="0" w:space="0" w:color="auto"/>
            <w:left w:val="none" w:sz="0" w:space="0" w:color="auto"/>
            <w:bottom w:val="none" w:sz="0" w:space="0" w:color="auto"/>
            <w:right w:val="none" w:sz="0" w:space="0" w:color="auto"/>
          </w:divBdr>
          <w:divsChild>
            <w:div w:id="589854778">
              <w:marLeft w:val="0"/>
              <w:marRight w:val="0"/>
              <w:marTop w:val="0"/>
              <w:marBottom w:val="0"/>
              <w:divBdr>
                <w:top w:val="none" w:sz="0" w:space="0" w:color="auto"/>
                <w:left w:val="none" w:sz="0" w:space="0" w:color="auto"/>
                <w:bottom w:val="none" w:sz="0" w:space="0" w:color="auto"/>
                <w:right w:val="none" w:sz="0" w:space="0" w:color="auto"/>
              </w:divBdr>
              <w:divsChild>
                <w:div w:id="122371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0950719">
      <w:bodyDiv w:val="1"/>
      <w:marLeft w:val="0"/>
      <w:marRight w:val="0"/>
      <w:marTop w:val="0"/>
      <w:marBottom w:val="0"/>
      <w:divBdr>
        <w:top w:val="none" w:sz="0" w:space="0" w:color="auto"/>
        <w:left w:val="none" w:sz="0" w:space="0" w:color="auto"/>
        <w:bottom w:val="none" w:sz="0" w:space="0" w:color="auto"/>
        <w:right w:val="none" w:sz="0" w:space="0" w:color="auto"/>
      </w:divBdr>
    </w:div>
    <w:div w:id="1874615715">
      <w:bodyDiv w:val="1"/>
      <w:marLeft w:val="0"/>
      <w:marRight w:val="0"/>
      <w:marTop w:val="0"/>
      <w:marBottom w:val="0"/>
      <w:divBdr>
        <w:top w:val="none" w:sz="0" w:space="0" w:color="auto"/>
        <w:left w:val="none" w:sz="0" w:space="0" w:color="auto"/>
        <w:bottom w:val="none" w:sz="0" w:space="0" w:color="auto"/>
        <w:right w:val="none" w:sz="0" w:space="0" w:color="auto"/>
      </w:divBdr>
    </w:div>
    <w:div w:id="1877085679">
      <w:bodyDiv w:val="1"/>
      <w:marLeft w:val="0"/>
      <w:marRight w:val="0"/>
      <w:marTop w:val="0"/>
      <w:marBottom w:val="0"/>
      <w:divBdr>
        <w:top w:val="none" w:sz="0" w:space="0" w:color="auto"/>
        <w:left w:val="none" w:sz="0" w:space="0" w:color="auto"/>
        <w:bottom w:val="none" w:sz="0" w:space="0" w:color="auto"/>
        <w:right w:val="none" w:sz="0" w:space="0" w:color="auto"/>
      </w:divBdr>
    </w:div>
    <w:div w:id="1881549818">
      <w:bodyDiv w:val="1"/>
      <w:marLeft w:val="0"/>
      <w:marRight w:val="0"/>
      <w:marTop w:val="0"/>
      <w:marBottom w:val="0"/>
      <w:divBdr>
        <w:top w:val="none" w:sz="0" w:space="0" w:color="auto"/>
        <w:left w:val="none" w:sz="0" w:space="0" w:color="auto"/>
        <w:bottom w:val="none" w:sz="0" w:space="0" w:color="auto"/>
        <w:right w:val="none" w:sz="0" w:space="0" w:color="auto"/>
      </w:divBdr>
    </w:div>
    <w:div w:id="1889563645">
      <w:bodyDiv w:val="1"/>
      <w:marLeft w:val="0"/>
      <w:marRight w:val="0"/>
      <w:marTop w:val="0"/>
      <w:marBottom w:val="0"/>
      <w:divBdr>
        <w:top w:val="none" w:sz="0" w:space="0" w:color="auto"/>
        <w:left w:val="none" w:sz="0" w:space="0" w:color="auto"/>
        <w:bottom w:val="none" w:sz="0" w:space="0" w:color="auto"/>
        <w:right w:val="none" w:sz="0" w:space="0" w:color="auto"/>
      </w:divBdr>
    </w:div>
    <w:div w:id="1889953396">
      <w:bodyDiv w:val="1"/>
      <w:marLeft w:val="0"/>
      <w:marRight w:val="0"/>
      <w:marTop w:val="0"/>
      <w:marBottom w:val="0"/>
      <w:divBdr>
        <w:top w:val="none" w:sz="0" w:space="0" w:color="auto"/>
        <w:left w:val="none" w:sz="0" w:space="0" w:color="auto"/>
        <w:bottom w:val="none" w:sz="0" w:space="0" w:color="auto"/>
        <w:right w:val="none" w:sz="0" w:space="0" w:color="auto"/>
      </w:divBdr>
    </w:div>
    <w:div w:id="1890531631">
      <w:bodyDiv w:val="1"/>
      <w:marLeft w:val="0"/>
      <w:marRight w:val="0"/>
      <w:marTop w:val="0"/>
      <w:marBottom w:val="0"/>
      <w:divBdr>
        <w:top w:val="none" w:sz="0" w:space="0" w:color="auto"/>
        <w:left w:val="none" w:sz="0" w:space="0" w:color="auto"/>
        <w:bottom w:val="none" w:sz="0" w:space="0" w:color="auto"/>
        <w:right w:val="none" w:sz="0" w:space="0" w:color="auto"/>
      </w:divBdr>
    </w:div>
    <w:div w:id="1893811991">
      <w:bodyDiv w:val="1"/>
      <w:marLeft w:val="0"/>
      <w:marRight w:val="0"/>
      <w:marTop w:val="0"/>
      <w:marBottom w:val="0"/>
      <w:divBdr>
        <w:top w:val="none" w:sz="0" w:space="0" w:color="auto"/>
        <w:left w:val="none" w:sz="0" w:space="0" w:color="auto"/>
        <w:bottom w:val="none" w:sz="0" w:space="0" w:color="auto"/>
        <w:right w:val="none" w:sz="0" w:space="0" w:color="auto"/>
      </w:divBdr>
    </w:div>
    <w:div w:id="1898784758">
      <w:bodyDiv w:val="1"/>
      <w:marLeft w:val="0"/>
      <w:marRight w:val="0"/>
      <w:marTop w:val="0"/>
      <w:marBottom w:val="0"/>
      <w:divBdr>
        <w:top w:val="none" w:sz="0" w:space="0" w:color="auto"/>
        <w:left w:val="none" w:sz="0" w:space="0" w:color="auto"/>
        <w:bottom w:val="none" w:sz="0" w:space="0" w:color="auto"/>
        <w:right w:val="none" w:sz="0" w:space="0" w:color="auto"/>
      </w:divBdr>
    </w:div>
    <w:div w:id="1906062495">
      <w:bodyDiv w:val="1"/>
      <w:marLeft w:val="0"/>
      <w:marRight w:val="0"/>
      <w:marTop w:val="0"/>
      <w:marBottom w:val="0"/>
      <w:divBdr>
        <w:top w:val="none" w:sz="0" w:space="0" w:color="auto"/>
        <w:left w:val="none" w:sz="0" w:space="0" w:color="auto"/>
        <w:bottom w:val="none" w:sz="0" w:space="0" w:color="auto"/>
        <w:right w:val="none" w:sz="0" w:space="0" w:color="auto"/>
      </w:divBdr>
    </w:div>
    <w:div w:id="1909999484">
      <w:bodyDiv w:val="1"/>
      <w:marLeft w:val="0"/>
      <w:marRight w:val="0"/>
      <w:marTop w:val="0"/>
      <w:marBottom w:val="0"/>
      <w:divBdr>
        <w:top w:val="none" w:sz="0" w:space="0" w:color="auto"/>
        <w:left w:val="none" w:sz="0" w:space="0" w:color="auto"/>
        <w:bottom w:val="none" w:sz="0" w:space="0" w:color="auto"/>
        <w:right w:val="none" w:sz="0" w:space="0" w:color="auto"/>
      </w:divBdr>
    </w:div>
    <w:div w:id="1923024040">
      <w:bodyDiv w:val="1"/>
      <w:marLeft w:val="0"/>
      <w:marRight w:val="0"/>
      <w:marTop w:val="0"/>
      <w:marBottom w:val="0"/>
      <w:divBdr>
        <w:top w:val="none" w:sz="0" w:space="0" w:color="auto"/>
        <w:left w:val="none" w:sz="0" w:space="0" w:color="auto"/>
        <w:bottom w:val="none" w:sz="0" w:space="0" w:color="auto"/>
        <w:right w:val="none" w:sz="0" w:space="0" w:color="auto"/>
      </w:divBdr>
    </w:div>
    <w:div w:id="1929389616">
      <w:bodyDiv w:val="1"/>
      <w:marLeft w:val="0"/>
      <w:marRight w:val="0"/>
      <w:marTop w:val="0"/>
      <w:marBottom w:val="0"/>
      <w:divBdr>
        <w:top w:val="none" w:sz="0" w:space="0" w:color="auto"/>
        <w:left w:val="none" w:sz="0" w:space="0" w:color="auto"/>
        <w:bottom w:val="none" w:sz="0" w:space="0" w:color="auto"/>
        <w:right w:val="none" w:sz="0" w:space="0" w:color="auto"/>
      </w:divBdr>
    </w:div>
    <w:div w:id="1944876238">
      <w:bodyDiv w:val="1"/>
      <w:marLeft w:val="0"/>
      <w:marRight w:val="0"/>
      <w:marTop w:val="0"/>
      <w:marBottom w:val="0"/>
      <w:divBdr>
        <w:top w:val="none" w:sz="0" w:space="0" w:color="auto"/>
        <w:left w:val="none" w:sz="0" w:space="0" w:color="auto"/>
        <w:bottom w:val="none" w:sz="0" w:space="0" w:color="auto"/>
        <w:right w:val="none" w:sz="0" w:space="0" w:color="auto"/>
      </w:divBdr>
      <w:divsChild>
        <w:div w:id="1719086556">
          <w:marLeft w:val="0"/>
          <w:marRight w:val="0"/>
          <w:marTop w:val="0"/>
          <w:marBottom w:val="0"/>
          <w:divBdr>
            <w:top w:val="none" w:sz="0" w:space="0" w:color="auto"/>
            <w:left w:val="none" w:sz="0" w:space="0" w:color="auto"/>
            <w:bottom w:val="none" w:sz="0" w:space="0" w:color="auto"/>
            <w:right w:val="none" w:sz="0" w:space="0" w:color="auto"/>
          </w:divBdr>
          <w:divsChild>
            <w:div w:id="63338811">
              <w:marLeft w:val="0"/>
              <w:marRight w:val="0"/>
              <w:marTop w:val="0"/>
              <w:marBottom w:val="0"/>
              <w:divBdr>
                <w:top w:val="none" w:sz="0" w:space="0" w:color="auto"/>
                <w:left w:val="none" w:sz="0" w:space="0" w:color="auto"/>
                <w:bottom w:val="none" w:sz="0" w:space="0" w:color="auto"/>
                <w:right w:val="none" w:sz="0" w:space="0" w:color="auto"/>
              </w:divBdr>
              <w:divsChild>
                <w:div w:id="306983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1858723">
      <w:bodyDiv w:val="1"/>
      <w:marLeft w:val="0"/>
      <w:marRight w:val="0"/>
      <w:marTop w:val="0"/>
      <w:marBottom w:val="0"/>
      <w:divBdr>
        <w:top w:val="none" w:sz="0" w:space="0" w:color="auto"/>
        <w:left w:val="none" w:sz="0" w:space="0" w:color="auto"/>
        <w:bottom w:val="none" w:sz="0" w:space="0" w:color="auto"/>
        <w:right w:val="none" w:sz="0" w:space="0" w:color="auto"/>
      </w:divBdr>
      <w:divsChild>
        <w:div w:id="965234713">
          <w:marLeft w:val="0"/>
          <w:marRight w:val="0"/>
          <w:marTop w:val="0"/>
          <w:marBottom w:val="0"/>
          <w:divBdr>
            <w:top w:val="none" w:sz="0" w:space="0" w:color="auto"/>
            <w:left w:val="none" w:sz="0" w:space="0" w:color="auto"/>
            <w:bottom w:val="none" w:sz="0" w:space="0" w:color="auto"/>
            <w:right w:val="none" w:sz="0" w:space="0" w:color="auto"/>
          </w:divBdr>
          <w:divsChild>
            <w:div w:id="984119035">
              <w:marLeft w:val="0"/>
              <w:marRight w:val="0"/>
              <w:marTop w:val="0"/>
              <w:marBottom w:val="0"/>
              <w:divBdr>
                <w:top w:val="none" w:sz="0" w:space="0" w:color="auto"/>
                <w:left w:val="none" w:sz="0" w:space="0" w:color="auto"/>
                <w:bottom w:val="none" w:sz="0" w:space="0" w:color="auto"/>
                <w:right w:val="none" w:sz="0" w:space="0" w:color="auto"/>
              </w:divBdr>
              <w:divsChild>
                <w:div w:id="27702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4288171">
      <w:bodyDiv w:val="1"/>
      <w:marLeft w:val="0"/>
      <w:marRight w:val="0"/>
      <w:marTop w:val="0"/>
      <w:marBottom w:val="0"/>
      <w:divBdr>
        <w:top w:val="none" w:sz="0" w:space="0" w:color="auto"/>
        <w:left w:val="none" w:sz="0" w:space="0" w:color="auto"/>
        <w:bottom w:val="none" w:sz="0" w:space="0" w:color="auto"/>
        <w:right w:val="none" w:sz="0" w:space="0" w:color="auto"/>
      </w:divBdr>
    </w:div>
    <w:div w:id="1957298378">
      <w:bodyDiv w:val="1"/>
      <w:marLeft w:val="0"/>
      <w:marRight w:val="0"/>
      <w:marTop w:val="0"/>
      <w:marBottom w:val="0"/>
      <w:divBdr>
        <w:top w:val="none" w:sz="0" w:space="0" w:color="auto"/>
        <w:left w:val="none" w:sz="0" w:space="0" w:color="auto"/>
        <w:bottom w:val="none" w:sz="0" w:space="0" w:color="auto"/>
        <w:right w:val="none" w:sz="0" w:space="0" w:color="auto"/>
      </w:divBdr>
    </w:div>
    <w:div w:id="1966041743">
      <w:bodyDiv w:val="1"/>
      <w:marLeft w:val="0"/>
      <w:marRight w:val="0"/>
      <w:marTop w:val="0"/>
      <w:marBottom w:val="0"/>
      <w:divBdr>
        <w:top w:val="none" w:sz="0" w:space="0" w:color="auto"/>
        <w:left w:val="none" w:sz="0" w:space="0" w:color="auto"/>
        <w:bottom w:val="none" w:sz="0" w:space="0" w:color="auto"/>
        <w:right w:val="none" w:sz="0" w:space="0" w:color="auto"/>
      </w:divBdr>
      <w:divsChild>
        <w:div w:id="1155224308">
          <w:marLeft w:val="0"/>
          <w:marRight w:val="0"/>
          <w:marTop w:val="0"/>
          <w:marBottom w:val="0"/>
          <w:divBdr>
            <w:top w:val="none" w:sz="0" w:space="0" w:color="auto"/>
            <w:left w:val="none" w:sz="0" w:space="0" w:color="auto"/>
            <w:bottom w:val="none" w:sz="0" w:space="0" w:color="auto"/>
            <w:right w:val="none" w:sz="0" w:space="0" w:color="auto"/>
          </w:divBdr>
          <w:divsChild>
            <w:div w:id="142352922">
              <w:marLeft w:val="0"/>
              <w:marRight w:val="0"/>
              <w:marTop w:val="0"/>
              <w:marBottom w:val="0"/>
              <w:divBdr>
                <w:top w:val="none" w:sz="0" w:space="0" w:color="auto"/>
                <w:left w:val="none" w:sz="0" w:space="0" w:color="auto"/>
                <w:bottom w:val="none" w:sz="0" w:space="0" w:color="auto"/>
                <w:right w:val="none" w:sz="0" w:space="0" w:color="auto"/>
              </w:divBdr>
              <w:divsChild>
                <w:div w:id="27159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0033758">
      <w:bodyDiv w:val="1"/>
      <w:marLeft w:val="0"/>
      <w:marRight w:val="0"/>
      <w:marTop w:val="0"/>
      <w:marBottom w:val="0"/>
      <w:divBdr>
        <w:top w:val="none" w:sz="0" w:space="0" w:color="auto"/>
        <w:left w:val="none" w:sz="0" w:space="0" w:color="auto"/>
        <w:bottom w:val="none" w:sz="0" w:space="0" w:color="auto"/>
        <w:right w:val="none" w:sz="0" w:space="0" w:color="auto"/>
      </w:divBdr>
    </w:div>
    <w:div w:id="2015765679">
      <w:bodyDiv w:val="1"/>
      <w:marLeft w:val="0"/>
      <w:marRight w:val="0"/>
      <w:marTop w:val="0"/>
      <w:marBottom w:val="0"/>
      <w:divBdr>
        <w:top w:val="none" w:sz="0" w:space="0" w:color="auto"/>
        <w:left w:val="none" w:sz="0" w:space="0" w:color="auto"/>
        <w:bottom w:val="none" w:sz="0" w:space="0" w:color="auto"/>
        <w:right w:val="none" w:sz="0" w:space="0" w:color="auto"/>
      </w:divBdr>
    </w:div>
    <w:div w:id="2024701654">
      <w:bodyDiv w:val="1"/>
      <w:marLeft w:val="0"/>
      <w:marRight w:val="0"/>
      <w:marTop w:val="0"/>
      <w:marBottom w:val="0"/>
      <w:divBdr>
        <w:top w:val="none" w:sz="0" w:space="0" w:color="auto"/>
        <w:left w:val="none" w:sz="0" w:space="0" w:color="auto"/>
        <w:bottom w:val="none" w:sz="0" w:space="0" w:color="auto"/>
        <w:right w:val="none" w:sz="0" w:space="0" w:color="auto"/>
      </w:divBdr>
    </w:div>
    <w:div w:id="2027366819">
      <w:bodyDiv w:val="1"/>
      <w:marLeft w:val="0"/>
      <w:marRight w:val="0"/>
      <w:marTop w:val="0"/>
      <w:marBottom w:val="0"/>
      <w:divBdr>
        <w:top w:val="none" w:sz="0" w:space="0" w:color="auto"/>
        <w:left w:val="none" w:sz="0" w:space="0" w:color="auto"/>
        <w:bottom w:val="none" w:sz="0" w:space="0" w:color="auto"/>
        <w:right w:val="none" w:sz="0" w:space="0" w:color="auto"/>
      </w:divBdr>
    </w:div>
    <w:div w:id="2053966226">
      <w:bodyDiv w:val="1"/>
      <w:marLeft w:val="0"/>
      <w:marRight w:val="0"/>
      <w:marTop w:val="0"/>
      <w:marBottom w:val="0"/>
      <w:divBdr>
        <w:top w:val="none" w:sz="0" w:space="0" w:color="auto"/>
        <w:left w:val="none" w:sz="0" w:space="0" w:color="auto"/>
        <w:bottom w:val="none" w:sz="0" w:space="0" w:color="auto"/>
        <w:right w:val="none" w:sz="0" w:space="0" w:color="auto"/>
      </w:divBdr>
    </w:div>
    <w:div w:id="2054380395">
      <w:bodyDiv w:val="1"/>
      <w:marLeft w:val="0"/>
      <w:marRight w:val="0"/>
      <w:marTop w:val="0"/>
      <w:marBottom w:val="0"/>
      <w:divBdr>
        <w:top w:val="none" w:sz="0" w:space="0" w:color="auto"/>
        <w:left w:val="none" w:sz="0" w:space="0" w:color="auto"/>
        <w:bottom w:val="none" w:sz="0" w:space="0" w:color="auto"/>
        <w:right w:val="none" w:sz="0" w:space="0" w:color="auto"/>
      </w:divBdr>
      <w:divsChild>
        <w:div w:id="1872917692">
          <w:marLeft w:val="0"/>
          <w:marRight w:val="0"/>
          <w:marTop w:val="0"/>
          <w:marBottom w:val="0"/>
          <w:divBdr>
            <w:top w:val="none" w:sz="0" w:space="0" w:color="auto"/>
            <w:left w:val="none" w:sz="0" w:space="0" w:color="auto"/>
            <w:bottom w:val="none" w:sz="0" w:space="0" w:color="auto"/>
            <w:right w:val="none" w:sz="0" w:space="0" w:color="auto"/>
          </w:divBdr>
          <w:divsChild>
            <w:div w:id="1158230236">
              <w:marLeft w:val="0"/>
              <w:marRight w:val="0"/>
              <w:marTop w:val="0"/>
              <w:marBottom w:val="0"/>
              <w:divBdr>
                <w:top w:val="none" w:sz="0" w:space="0" w:color="auto"/>
                <w:left w:val="none" w:sz="0" w:space="0" w:color="auto"/>
                <w:bottom w:val="none" w:sz="0" w:space="0" w:color="auto"/>
                <w:right w:val="none" w:sz="0" w:space="0" w:color="auto"/>
              </w:divBdr>
              <w:divsChild>
                <w:div w:id="1942833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49730">
      <w:bodyDiv w:val="1"/>
      <w:marLeft w:val="0"/>
      <w:marRight w:val="0"/>
      <w:marTop w:val="0"/>
      <w:marBottom w:val="0"/>
      <w:divBdr>
        <w:top w:val="none" w:sz="0" w:space="0" w:color="auto"/>
        <w:left w:val="none" w:sz="0" w:space="0" w:color="auto"/>
        <w:bottom w:val="none" w:sz="0" w:space="0" w:color="auto"/>
        <w:right w:val="none" w:sz="0" w:space="0" w:color="auto"/>
      </w:divBdr>
    </w:div>
    <w:div w:id="2089495808">
      <w:bodyDiv w:val="1"/>
      <w:marLeft w:val="0"/>
      <w:marRight w:val="0"/>
      <w:marTop w:val="0"/>
      <w:marBottom w:val="0"/>
      <w:divBdr>
        <w:top w:val="none" w:sz="0" w:space="0" w:color="auto"/>
        <w:left w:val="none" w:sz="0" w:space="0" w:color="auto"/>
        <w:bottom w:val="none" w:sz="0" w:space="0" w:color="auto"/>
        <w:right w:val="none" w:sz="0" w:space="0" w:color="auto"/>
      </w:divBdr>
    </w:div>
    <w:div w:id="2096583918">
      <w:bodyDiv w:val="1"/>
      <w:marLeft w:val="0"/>
      <w:marRight w:val="0"/>
      <w:marTop w:val="0"/>
      <w:marBottom w:val="0"/>
      <w:divBdr>
        <w:top w:val="none" w:sz="0" w:space="0" w:color="auto"/>
        <w:left w:val="none" w:sz="0" w:space="0" w:color="auto"/>
        <w:bottom w:val="none" w:sz="0" w:space="0" w:color="auto"/>
        <w:right w:val="none" w:sz="0" w:space="0" w:color="auto"/>
      </w:divBdr>
    </w:div>
    <w:div w:id="2101094941">
      <w:bodyDiv w:val="1"/>
      <w:marLeft w:val="0"/>
      <w:marRight w:val="0"/>
      <w:marTop w:val="0"/>
      <w:marBottom w:val="0"/>
      <w:divBdr>
        <w:top w:val="none" w:sz="0" w:space="0" w:color="auto"/>
        <w:left w:val="none" w:sz="0" w:space="0" w:color="auto"/>
        <w:bottom w:val="none" w:sz="0" w:space="0" w:color="auto"/>
        <w:right w:val="none" w:sz="0" w:space="0" w:color="auto"/>
      </w:divBdr>
    </w:div>
    <w:div w:id="2104719032">
      <w:bodyDiv w:val="1"/>
      <w:marLeft w:val="0"/>
      <w:marRight w:val="0"/>
      <w:marTop w:val="0"/>
      <w:marBottom w:val="0"/>
      <w:divBdr>
        <w:top w:val="none" w:sz="0" w:space="0" w:color="auto"/>
        <w:left w:val="none" w:sz="0" w:space="0" w:color="auto"/>
        <w:bottom w:val="none" w:sz="0" w:space="0" w:color="auto"/>
        <w:right w:val="none" w:sz="0" w:space="0" w:color="auto"/>
      </w:divBdr>
    </w:div>
    <w:div w:id="2105418281">
      <w:bodyDiv w:val="1"/>
      <w:marLeft w:val="0"/>
      <w:marRight w:val="0"/>
      <w:marTop w:val="0"/>
      <w:marBottom w:val="0"/>
      <w:divBdr>
        <w:top w:val="none" w:sz="0" w:space="0" w:color="auto"/>
        <w:left w:val="none" w:sz="0" w:space="0" w:color="auto"/>
        <w:bottom w:val="none" w:sz="0" w:space="0" w:color="auto"/>
        <w:right w:val="none" w:sz="0" w:space="0" w:color="auto"/>
      </w:divBdr>
    </w:div>
    <w:div w:id="2111311309">
      <w:bodyDiv w:val="1"/>
      <w:marLeft w:val="0"/>
      <w:marRight w:val="0"/>
      <w:marTop w:val="0"/>
      <w:marBottom w:val="0"/>
      <w:divBdr>
        <w:top w:val="none" w:sz="0" w:space="0" w:color="auto"/>
        <w:left w:val="none" w:sz="0" w:space="0" w:color="auto"/>
        <w:bottom w:val="none" w:sz="0" w:space="0" w:color="auto"/>
        <w:right w:val="none" w:sz="0" w:space="0" w:color="auto"/>
      </w:divBdr>
      <w:divsChild>
        <w:div w:id="1838688222">
          <w:marLeft w:val="0"/>
          <w:marRight w:val="0"/>
          <w:marTop w:val="0"/>
          <w:marBottom w:val="0"/>
          <w:divBdr>
            <w:top w:val="none" w:sz="0" w:space="0" w:color="auto"/>
            <w:left w:val="none" w:sz="0" w:space="0" w:color="auto"/>
            <w:bottom w:val="none" w:sz="0" w:space="0" w:color="auto"/>
            <w:right w:val="none" w:sz="0" w:space="0" w:color="auto"/>
          </w:divBdr>
          <w:divsChild>
            <w:div w:id="925965760">
              <w:marLeft w:val="0"/>
              <w:marRight w:val="0"/>
              <w:marTop w:val="0"/>
              <w:marBottom w:val="0"/>
              <w:divBdr>
                <w:top w:val="none" w:sz="0" w:space="0" w:color="auto"/>
                <w:left w:val="none" w:sz="0" w:space="0" w:color="auto"/>
                <w:bottom w:val="none" w:sz="0" w:space="0" w:color="auto"/>
                <w:right w:val="none" w:sz="0" w:space="0" w:color="auto"/>
              </w:divBdr>
              <w:divsChild>
                <w:div w:id="678505546">
                  <w:marLeft w:val="0"/>
                  <w:marRight w:val="0"/>
                  <w:marTop w:val="0"/>
                  <w:marBottom w:val="0"/>
                  <w:divBdr>
                    <w:top w:val="none" w:sz="0" w:space="0" w:color="auto"/>
                    <w:left w:val="none" w:sz="0" w:space="0" w:color="auto"/>
                    <w:bottom w:val="none" w:sz="0" w:space="0" w:color="auto"/>
                    <w:right w:val="none" w:sz="0" w:space="0" w:color="auto"/>
                  </w:divBdr>
                  <w:divsChild>
                    <w:div w:id="34695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1388998">
      <w:bodyDiv w:val="1"/>
      <w:marLeft w:val="0"/>
      <w:marRight w:val="0"/>
      <w:marTop w:val="0"/>
      <w:marBottom w:val="0"/>
      <w:divBdr>
        <w:top w:val="none" w:sz="0" w:space="0" w:color="auto"/>
        <w:left w:val="none" w:sz="0" w:space="0" w:color="auto"/>
        <w:bottom w:val="none" w:sz="0" w:space="0" w:color="auto"/>
        <w:right w:val="none" w:sz="0" w:space="0" w:color="auto"/>
      </w:divBdr>
    </w:div>
    <w:div w:id="2117092744">
      <w:bodyDiv w:val="1"/>
      <w:marLeft w:val="0"/>
      <w:marRight w:val="0"/>
      <w:marTop w:val="0"/>
      <w:marBottom w:val="0"/>
      <w:divBdr>
        <w:top w:val="none" w:sz="0" w:space="0" w:color="auto"/>
        <w:left w:val="none" w:sz="0" w:space="0" w:color="auto"/>
        <w:bottom w:val="none" w:sz="0" w:space="0" w:color="auto"/>
        <w:right w:val="none" w:sz="0" w:space="0" w:color="auto"/>
      </w:divBdr>
    </w:div>
    <w:div w:id="2128694176">
      <w:bodyDiv w:val="1"/>
      <w:marLeft w:val="0"/>
      <w:marRight w:val="0"/>
      <w:marTop w:val="0"/>
      <w:marBottom w:val="0"/>
      <w:divBdr>
        <w:top w:val="none" w:sz="0" w:space="0" w:color="auto"/>
        <w:left w:val="none" w:sz="0" w:space="0" w:color="auto"/>
        <w:bottom w:val="none" w:sz="0" w:space="0" w:color="auto"/>
        <w:right w:val="none" w:sz="0" w:space="0" w:color="auto"/>
      </w:divBdr>
    </w:div>
    <w:div w:id="2131699973">
      <w:bodyDiv w:val="1"/>
      <w:marLeft w:val="0"/>
      <w:marRight w:val="0"/>
      <w:marTop w:val="0"/>
      <w:marBottom w:val="0"/>
      <w:divBdr>
        <w:top w:val="none" w:sz="0" w:space="0" w:color="auto"/>
        <w:left w:val="none" w:sz="0" w:space="0" w:color="auto"/>
        <w:bottom w:val="none" w:sz="0" w:space="0" w:color="auto"/>
        <w:right w:val="none" w:sz="0" w:space="0" w:color="auto"/>
      </w:divBdr>
    </w:div>
    <w:div w:id="2137791204">
      <w:bodyDiv w:val="1"/>
      <w:marLeft w:val="0"/>
      <w:marRight w:val="0"/>
      <w:marTop w:val="0"/>
      <w:marBottom w:val="0"/>
      <w:divBdr>
        <w:top w:val="none" w:sz="0" w:space="0" w:color="auto"/>
        <w:left w:val="none" w:sz="0" w:space="0" w:color="auto"/>
        <w:bottom w:val="none" w:sz="0" w:space="0" w:color="auto"/>
        <w:right w:val="none" w:sz="0" w:space="0" w:color="auto"/>
      </w:divBdr>
      <w:divsChild>
        <w:div w:id="26371633">
          <w:marLeft w:val="0"/>
          <w:marRight w:val="0"/>
          <w:marTop w:val="0"/>
          <w:marBottom w:val="0"/>
          <w:divBdr>
            <w:top w:val="none" w:sz="0" w:space="0" w:color="auto"/>
            <w:left w:val="none" w:sz="0" w:space="0" w:color="auto"/>
            <w:bottom w:val="none" w:sz="0" w:space="0" w:color="auto"/>
            <w:right w:val="none" w:sz="0" w:space="0" w:color="auto"/>
          </w:divBdr>
          <w:divsChild>
            <w:div w:id="430971699">
              <w:marLeft w:val="0"/>
              <w:marRight w:val="0"/>
              <w:marTop w:val="0"/>
              <w:marBottom w:val="0"/>
              <w:divBdr>
                <w:top w:val="none" w:sz="0" w:space="0" w:color="auto"/>
                <w:left w:val="none" w:sz="0" w:space="0" w:color="auto"/>
                <w:bottom w:val="none" w:sz="0" w:space="0" w:color="auto"/>
                <w:right w:val="none" w:sz="0" w:space="0" w:color="auto"/>
              </w:divBdr>
              <w:divsChild>
                <w:div w:id="836192171">
                  <w:marLeft w:val="0"/>
                  <w:marRight w:val="0"/>
                  <w:marTop w:val="0"/>
                  <w:marBottom w:val="0"/>
                  <w:divBdr>
                    <w:top w:val="none" w:sz="0" w:space="0" w:color="auto"/>
                    <w:left w:val="none" w:sz="0" w:space="0" w:color="auto"/>
                    <w:bottom w:val="none" w:sz="0" w:space="0" w:color="auto"/>
                    <w:right w:val="none" w:sz="0" w:space="0" w:color="auto"/>
                  </w:divBdr>
                  <w:divsChild>
                    <w:div w:id="116415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0493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oso@rn.dk"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3B9B291-3CEB-4625-B50F-8AC6CD3A48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27</Pages>
  <Words>37807</Words>
  <Characters>215506</Characters>
  <Application>Microsoft Office Word</Application>
  <DocSecurity>0</DocSecurity>
  <Lines>1795</Lines>
  <Paragraphs>505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_</vt:lpstr>
      <vt:lpstr>_</vt:lpstr>
    </vt:vector>
  </TitlesOfParts>
  <Company>Region Nordjylland</Company>
  <LinksUpToDate>false</LinksUpToDate>
  <CharactersWithSpaces>252808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Jacob Juel</dc:creator>
  <cp:lastModifiedBy>Academic Formatting Specialist</cp:lastModifiedBy>
  <cp:revision>2</cp:revision>
  <cp:lastPrinted>2017-04-24T07:33:00Z</cp:lastPrinted>
  <dcterms:created xsi:type="dcterms:W3CDTF">2020-03-23T16:53:00Z</dcterms:created>
  <dcterms:modified xsi:type="dcterms:W3CDTF">2020-03-23T16:53:00Z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nCUserId">
    <vt:lpwstr>289</vt:lpwstr>
  </property>
  <property fmtid="{D5CDD505-2E9C-101B-9397-08002B2CF9AE}" pid="3" name="WnCSubscriberId">
    <vt:lpwstr>5414</vt:lpwstr>
  </property>
  <property fmtid="{D5CDD505-2E9C-101B-9397-08002B2CF9AE}" pid="4" name="WnCOutputStyleId">
    <vt:lpwstr>1004</vt:lpwstr>
  </property>
  <property fmtid="{D5CDD505-2E9C-101B-9397-08002B2CF9AE}" pid="5" name="RWProductId">
    <vt:lpwstr>WnC</vt:lpwstr>
  </property>
  <property fmtid="{D5CDD505-2E9C-101B-9397-08002B2CF9AE}" pid="6" name="Mendeley Document_1">
    <vt:lpwstr>True</vt:lpwstr>
  </property>
  <property fmtid="{D5CDD505-2E9C-101B-9397-08002B2CF9AE}" pid="7" name="Mendeley Unique User Id_1">
    <vt:lpwstr>43cc6912-52c1-3d31-af21-c69e9861aa6e</vt:lpwstr>
  </property>
  <property fmtid="{D5CDD505-2E9C-101B-9397-08002B2CF9AE}" pid="8" name="Mendeley Recent Style Id 0_1">
    <vt:lpwstr>http://www.zotero.org/styles/american-medical-association</vt:lpwstr>
  </property>
  <property fmtid="{D5CDD505-2E9C-101B-9397-08002B2CF9AE}" pid="9" name="Mendeley Recent Style Name 0_1">
    <vt:lpwstr>American Medical Association</vt:lpwstr>
  </property>
  <property fmtid="{D5CDD505-2E9C-101B-9397-08002B2CF9AE}" pid="10" name="Mendeley Recent Style Id 1_1">
    <vt:lpwstr>http://www.zotero.org/styles/harvard-cite-them-right</vt:lpwstr>
  </property>
  <property fmtid="{D5CDD505-2E9C-101B-9397-08002B2CF9AE}" pid="11" name="Mendeley Recent Style Name 1_1">
    <vt:lpwstr>Cite Them Right 10th edition - Harvard</vt:lpwstr>
  </property>
  <property fmtid="{D5CDD505-2E9C-101B-9397-08002B2CF9AE}" pid="12" name="Mendeley Recent Style Id 2_1">
    <vt:lpwstr>http://www.zotero.org/styles/clinical-and-translational-gastroenterology</vt:lpwstr>
  </property>
  <property fmtid="{D5CDD505-2E9C-101B-9397-08002B2CF9AE}" pid="13" name="Mendeley Recent Style Name 2_1">
    <vt:lpwstr>Clinical and Translational Gastroenterology</vt:lpwstr>
  </property>
  <property fmtid="{D5CDD505-2E9C-101B-9397-08002B2CF9AE}" pid="14" name="Mendeley Recent Style Id 3_1">
    <vt:lpwstr>http://www.zotero.org/styles/european-journal-of-gastroenterology-and-hepatology</vt:lpwstr>
  </property>
  <property fmtid="{D5CDD505-2E9C-101B-9397-08002B2CF9AE}" pid="15" name="Mendeley Recent Style Name 3_1">
    <vt:lpwstr>European Journal of Gastroenterology &amp; Hepatology</vt:lpwstr>
  </property>
  <property fmtid="{D5CDD505-2E9C-101B-9397-08002B2CF9AE}" pid="16" name="Mendeley Recent Style Id 4_1">
    <vt:lpwstr>http://www.zotero.org/styles/gastroenterology</vt:lpwstr>
  </property>
  <property fmtid="{D5CDD505-2E9C-101B-9397-08002B2CF9AE}" pid="17" name="Mendeley Recent Style Name 4_1">
    <vt:lpwstr>Gastroenterology</vt:lpwstr>
  </property>
  <property fmtid="{D5CDD505-2E9C-101B-9397-08002B2CF9AE}" pid="18" name="Mendeley Recent Style Id 5_1">
    <vt:lpwstr>http://www.zotero.org/styles/journal-of-gastroenterology-and-hepatology</vt:lpwstr>
  </property>
  <property fmtid="{D5CDD505-2E9C-101B-9397-08002B2CF9AE}" pid="19" name="Mendeley Recent Style Name 5_1">
    <vt:lpwstr>Journal of Gastroenterology and Hepatology</vt:lpwstr>
  </property>
  <property fmtid="{D5CDD505-2E9C-101B-9397-08002B2CF9AE}" pid="20" name="Mendeley Recent Style Id 6_1">
    <vt:lpwstr>http://www.zotero.org/styles/pancreatology</vt:lpwstr>
  </property>
  <property fmtid="{D5CDD505-2E9C-101B-9397-08002B2CF9AE}" pid="21" name="Mendeley Recent Style Name 6_1">
    <vt:lpwstr>Pancreatology</vt:lpwstr>
  </property>
  <property fmtid="{D5CDD505-2E9C-101B-9397-08002B2CF9AE}" pid="22" name="Mendeley Recent Style Id 7_1">
    <vt:lpwstr>http://www.zotero.org/styles/sage-vancouver</vt:lpwstr>
  </property>
  <property fmtid="{D5CDD505-2E9C-101B-9397-08002B2CF9AE}" pid="23" name="Mendeley Recent Style Name 7_1">
    <vt:lpwstr>SAGE - Vancouver</vt:lpwstr>
  </property>
  <property fmtid="{D5CDD505-2E9C-101B-9397-08002B2CF9AE}" pid="24" name="Mendeley Recent Style Id 8_1">
    <vt:lpwstr>http://www.zotero.org/styles/the-american-journal-of-gastroenterology</vt:lpwstr>
  </property>
  <property fmtid="{D5CDD505-2E9C-101B-9397-08002B2CF9AE}" pid="25" name="Mendeley Recent Style Name 8_1">
    <vt:lpwstr>The American Journal of Gastroenterology</vt:lpwstr>
  </property>
  <property fmtid="{D5CDD505-2E9C-101B-9397-08002B2CF9AE}" pid="26" name="Mendeley Recent Style Id 9_1">
    <vt:lpwstr>http://www.zotero.org/styles/trials</vt:lpwstr>
  </property>
  <property fmtid="{D5CDD505-2E9C-101B-9397-08002B2CF9AE}" pid="27" name="Mendeley Recent Style Name 9_1">
    <vt:lpwstr>Trials</vt:lpwstr>
  </property>
  <property fmtid="{D5CDD505-2E9C-101B-9397-08002B2CF9AE}" pid="28" name="Mendeley Citation Style_1">
    <vt:lpwstr>http://www.zotero.org/styles/trials</vt:lpwstr>
  </property>
</Properties>
</file>