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0B9B" w14:textId="114462E5" w:rsidR="00222750" w:rsidRPr="0033650D" w:rsidRDefault="00222750" w:rsidP="00BE6129">
      <w:pPr>
        <w:ind w:left="720" w:firstLine="1170"/>
        <w:rPr>
          <w:rFonts w:asciiTheme="majorHAnsi" w:hAnsiTheme="majorHAnsi"/>
          <w:b/>
          <w:sz w:val="16"/>
          <w:szCs w:val="16"/>
        </w:rPr>
      </w:pPr>
    </w:p>
    <w:p w14:paraId="3D46097B" w14:textId="068D6891" w:rsidR="00BE6129" w:rsidRPr="00D02DC7" w:rsidRDefault="00D02DC7" w:rsidP="00233889">
      <w:pPr>
        <w:ind w:left="720" w:firstLine="1170"/>
        <w:rPr>
          <w:rFonts w:asciiTheme="majorHAnsi" w:hAnsiTheme="majorHAnsi"/>
          <w:b/>
          <w:sz w:val="32"/>
          <w:szCs w:val="32"/>
        </w:rPr>
      </w:pPr>
      <w:r w:rsidRPr="00D02DC7">
        <w:rPr>
          <w:rFonts w:asciiTheme="majorHAnsi" w:hAnsiTheme="majorHAnsi"/>
          <w:b/>
          <w:sz w:val="32"/>
          <w:szCs w:val="32"/>
        </w:rPr>
        <w:t>CARE Checklist –:</w:t>
      </w:r>
      <w:r w:rsidR="00DA6C2E">
        <w:rPr>
          <w:rFonts w:asciiTheme="majorHAnsi" w:hAnsiTheme="majorHAnsi"/>
          <w:b/>
          <w:sz w:val="32"/>
          <w:szCs w:val="32"/>
        </w:rPr>
        <w:t xml:space="preserve">  </w:t>
      </w:r>
      <w:r w:rsidR="00C34555">
        <w:rPr>
          <w:rFonts w:asciiTheme="majorHAnsi" w:hAnsiTheme="majorHAnsi"/>
          <w:b/>
          <w:sz w:val="32"/>
          <w:szCs w:val="32"/>
        </w:rPr>
        <w:t>Case Reports</w:t>
      </w:r>
    </w:p>
    <w:p w14:paraId="42E69B29" w14:textId="1A6D87FB" w:rsidR="003377AC" w:rsidRPr="00767FF6" w:rsidRDefault="003377AC" w:rsidP="00BE6129">
      <w:pPr>
        <w:spacing w:line="240" w:lineRule="exact"/>
        <w:ind w:left="720" w:firstLine="1166"/>
        <w:rPr>
          <w:rFonts w:asciiTheme="minorBidi" w:hAnsiTheme="minorBidi"/>
          <w:bCs/>
          <w:color w:val="FF0000"/>
          <w:sz w:val="18"/>
          <w:szCs w:val="18"/>
        </w:rPr>
      </w:pPr>
    </w:p>
    <w:tbl>
      <w:tblPr>
        <w:tblStyle w:val="a3"/>
        <w:tblW w:w="4582" w:type="pct"/>
        <w:tblInd w:w="468" w:type="dxa"/>
        <w:tblLook w:val="04A0" w:firstRow="1" w:lastRow="0" w:firstColumn="1" w:lastColumn="0" w:noHBand="0" w:noVBand="1"/>
      </w:tblPr>
      <w:tblGrid>
        <w:gridCol w:w="905"/>
        <w:gridCol w:w="2908"/>
        <w:gridCol w:w="7629"/>
        <w:gridCol w:w="2660"/>
      </w:tblGrid>
      <w:tr w:rsidR="004A05F4" w:rsidRPr="002D1E5D" w14:paraId="4C82F308" w14:textId="77777777" w:rsidTr="004A05F4">
        <w:trPr>
          <w:trHeight w:val="692"/>
        </w:trPr>
        <w:tc>
          <w:tcPr>
            <w:tcW w:w="321" w:type="pct"/>
          </w:tcPr>
          <w:p w14:paraId="23DB47D1" w14:textId="77777777" w:rsidR="004A05F4" w:rsidRPr="004A05F4" w:rsidRDefault="004A05F4" w:rsidP="004A05F4">
            <w:pPr>
              <w:spacing w:before="120" w:after="120"/>
              <w:rPr>
                <w:rFonts w:asciiTheme="majorHAnsi" w:hAnsiTheme="majorHAnsi" w:cs="Arial"/>
                <w:b/>
                <w:bCs/>
                <w:sz w:val="32"/>
                <w:szCs w:val="32"/>
              </w:rPr>
            </w:pPr>
            <w:r w:rsidRPr="004A05F4">
              <w:rPr>
                <w:b/>
                <w:bCs/>
              </w:rPr>
              <w:t>Item</w:t>
            </w:r>
          </w:p>
        </w:tc>
        <w:tc>
          <w:tcPr>
            <w:tcW w:w="1031" w:type="pct"/>
            <w:vAlign w:val="center"/>
          </w:tcPr>
          <w:p w14:paraId="2E5EE130" w14:textId="77777777" w:rsidR="004A05F4" w:rsidRPr="002D1E5D" w:rsidRDefault="004A05F4" w:rsidP="004A05F4">
            <w:pPr>
              <w:spacing w:before="120" w:after="120"/>
              <w:rPr>
                <w:rFonts w:asciiTheme="majorHAnsi" w:hAnsiTheme="majorHAnsi" w:cs="Arial"/>
                <w:b/>
                <w:sz w:val="32"/>
                <w:szCs w:val="32"/>
              </w:rPr>
            </w:pPr>
            <w:r w:rsidRPr="002D1E5D">
              <w:rPr>
                <w:rFonts w:asciiTheme="majorHAnsi" w:hAnsiTheme="majorHAnsi" w:cs="Arial"/>
                <w:b/>
                <w:sz w:val="32"/>
                <w:szCs w:val="32"/>
              </w:rPr>
              <w:t>Topic</w:t>
            </w:r>
          </w:p>
        </w:tc>
        <w:tc>
          <w:tcPr>
            <w:tcW w:w="2705" w:type="pct"/>
          </w:tcPr>
          <w:p w14:paraId="08F1B420" w14:textId="77777777" w:rsidR="004A05F4" w:rsidRPr="002D1E5D" w:rsidRDefault="004A05F4" w:rsidP="004A05F4">
            <w:pPr>
              <w:spacing w:before="120" w:after="120"/>
              <w:rPr>
                <w:rFonts w:asciiTheme="majorHAnsi" w:hAnsiTheme="majorHAnsi" w:cs="Arial"/>
                <w:b/>
                <w:sz w:val="32"/>
                <w:szCs w:val="32"/>
              </w:rPr>
            </w:pPr>
            <w:r w:rsidRPr="002D1E5D">
              <w:rPr>
                <w:rFonts w:asciiTheme="majorHAnsi" w:hAnsiTheme="majorHAnsi" w:cs="Arial"/>
                <w:b/>
                <w:sz w:val="32"/>
                <w:szCs w:val="32"/>
              </w:rPr>
              <w:t>Checklist item description</w:t>
            </w:r>
          </w:p>
        </w:tc>
        <w:tc>
          <w:tcPr>
            <w:tcW w:w="943" w:type="pct"/>
          </w:tcPr>
          <w:p w14:paraId="3B97E041" w14:textId="77777777" w:rsidR="004A05F4" w:rsidRPr="002D1E5D" w:rsidRDefault="004A05F4" w:rsidP="004A05F4">
            <w:pPr>
              <w:spacing w:before="120" w:after="120"/>
              <w:rPr>
                <w:rFonts w:asciiTheme="majorHAnsi" w:hAnsiTheme="majorHAnsi" w:cs="Arial"/>
                <w:b/>
                <w:sz w:val="32"/>
                <w:szCs w:val="32"/>
              </w:rPr>
            </w:pPr>
            <w:r w:rsidRPr="002D1E5D">
              <w:rPr>
                <w:rFonts w:asciiTheme="majorHAnsi" w:hAnsiTheme="majorHAnsi" w:cs="Arial"/>
                <w:b/>
                <w:sz w:val="32"/>
                <w:szCs w:val="32"/>
              </w:rPr>
              <w:t>Line/page</w:t>
            </w:r>
          </w:p>
        </w:tc>
      </w:tr>
      <w:tr w:rsidR="004A05F4" w:rsidRPr="00E735A4" w14:paraId="559ACFEA" w14:textId="77777777" w:rsidTr="004A05F4">
        <w:tc>
          <w:tcPr>
            <w:tcW w:w="321" w:type="pct"/>
          </w:tcPr>
          <w:p w14:paraId="56B25671" w14:textId="77777777" w:rsidR="004A05F4" w:rsidRPr="00E735A4" w:rsidRDefault="004A05F4" w:rsidP="004A05F4">
            <w:pPr>
              <w:spacing w:before="120" w:after="120" w:line="220" w:lineRule="exact"/>
              <w:rPr>
                <w:rFonts w:asciiTheme="majorHAnsi" w:hAnsiTheme="majorHAnsi" w:cs="Arial"/>
                <w:b/>
                <w:sz w:val="22"/>
                <w:szCs w:val="22"/>
              </w:rPr>
            </w:pPr>
            <w:r w:rsidRPr="00AE35E5">
              <w:t>1</w:t>
            </w:r>
          </w:p>
        </w:tc>
        <w:tc>
          <w:tcPr>
            <w:tcW w:w="1031" w:type="pct"/>
            <w:vAlign w:val="center"/>
          </w:tcPr>
          <w:p w14:paraId="12AB1368"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Title</w:t>
            </w:r>
          </w:p>
        </w:tc>
        <w:tc>
          <w:tcPr>
            <w:tcW w:w="2705" w:type="pct"/>
          </w:tcPr>
          <w:p w14:paraId="2CD4F50E" w14:textId="77777777" w:rsidR="001A11E1" w:rsidRPr="001A11E1" w:rsidRDefault="001A11E1" w:rsidP="001A11E1">
            <w:pPr>
              <w:spacing w:before="120" w:after="120" w:line="220" w:lineRule="exact"/>
              <w:rPr>
                <w:rFonts w:asciiTheme="majorHAnsi" w:hAnsiTheme="majorHAnsi" w:cs="Arial"/>
                <w:b/>
                <w:bCs/>
                <w:spacing w:val="-10"/>
                <w:sz w:val="22"/>
                <w:szCs w:val="22"/>
              </w:rPr>
            </w:pPr>
            <w:r w:rsidRPr="001A11E1">
              <w:rPr>
                <w:rFonts w:asciiTheme="majorHAnsi" w:hAnsiTheme="majorHAnsi" w:cs="Arial"/>
                <w:b/>
                <w:bCs/>
                <w:spacing w:val="-10"/>
                <w:sz w:val="22"/>
                <w:szCs w:val="22"/>
              </w:rPr>
              <w:t xml:space="preserve">Unusual Endolymphatic Sac Tumor: Case Report and Literature Review  </w:t>
            </w:r>
          </w:p>
          <w:p w14:paraId="481434E7" w14:textId="00C9F727" w:rsidR="004A05F4" w:rsidRPr="00E735A4" w:rsidRDefault="001A11E1" w:rsidP="001A11E1">
            <w:pPr>
              <w:spacing w:before="120" w:after="120" w:line="220" w:lineRule="exact"/>
              <w:rPr>
                <w:rFonts w:asciiTheme="majorHAnsi" w:hAnsiTheme="majorHAnsi" w:cs="Arial"/>
                <w:b/>
                <w:sz w:val="22"/>
                <w:szCs w:val="22"/>
              </w:rPr>
            </w:pPr>
            <w:r w:rsidRPr="001A11E1">
              <w:rPr>
                <w:rFonts w:asciiTheme="majorHAnsi" w:hAnsiTheme="majorHAnsi" w:cs="Arial"/>
                <w:spacing w:val="-10"/>
                <w:sz w:val="22"/>
                <w:szCs w:val="22"/>
              </w:rPr>
              <w:br/>
            </w:r>
          </w:p>
        </w:tc>
        <w:tc>
          <w:tcPr>
            <w:tcW w:w="943" w:type="pct"/>
          </w:tcPr>
          <w:p w14:paraId="4A3E5DA1" w14:textId="4C546E30" w:rsidR="004A05F4" w:rsidRPr="00E735A4" w:rsidRDefault="001A11E1"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01/01</w:t>
            </w:r>
          </w:p>
        </w:tc>
      </w:tr>
      <w:tr w:rsidR="004A05F4" w:rsidRPr="00E735A4" w14:paraId="5F48620E" w14:textId="77777777" w:rsidTr="004A05F4">
        <w:tc>
          <w:tcPr>
            <w:tcW w:w="321" w:type="pct"/>
          </w:tcPr>
          <w:p w14:paraId="2F272976" w14:textId="77777777" w:rsidR="004A05F4" w:rsidRPr="00E735A4" w:rsidRDefault="004A05F4" w:rsidP="004A05F4">
            <w:pPr>
              <w:spacing w:before="120" w:after="120" w:line="220" w:lineRule="exact"/>
              <w:rPr>
                <w:rFonts w:asciiTheme="majorHAnsi" w:hAnsiTheme="majorHAnsi" w:cs="Arial"/>
                <w:b/>
                <w:sz w:val="22"/>
                <w:szCs w:val="22"/>
              </w:rPr>
            </w:pPr>
            <w:r w:rsidRPr="00AE35E5">
              <w:t>2</w:t>
            </w:r>
          </w:p>
        </w:tc>
        <w:tc>
          <w:tcPr>
            <w:tcW w:w="1031" w:type="pct"/>
            <w:vAlign w:val="center"/>
          </w:tcPr>
          <w:p w14:paraId="0C6E6B76"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Key</w:t>
            </w:r>
            <w:r>
              <w:rPr>
                <w:rFonts w:asciiTheme="majorHAnsi" w:hAnsiTheme="majorHAnsi" w:cs="Arial"/>
                <w:b/>
                <w:sz w:val="22"/>
                <w:szCs w:val="22"/>
              </w:rPr>
              <w:t>w</w:t>
            </w:r>
            <w:r w:rsidRPr="00E735A4">
              <w:rPr>
                <w:rFonts w:asciiTheme="majorHAnsi" w:hAnsiTheme="majorHAnsi" w:cs="Arial"/>
                <w:b/>
                <w:sz w:val="22"/>
                <w:szCs w:val="22"/>
              </w:rPr>
              <w:t>ords</w:t>
            </w:r>
          </w:p>
        </w:tc>
        <w:tc>
          <w:tcPr>
            <w:tcW w:w="2705" w:type="pct"/>
          </w:tcPr>
          <w:p w14:paraId="68EC8BBB" w14:textId="77777777" w:rsidR="001A11E1" w:rsidRPr="001A11E1" w:rsidRDefault="001A11E1" w:rsidP="001A11E1">
            <w:pPr>
              <w:spacing w:before="120" w:after="120" w:line="220" w:lineRule="exact"/>
              <w:rPr>
                <w:rFonts w:asciiTheme="majorHAnsi" w:hAnsiTheme="majorHAnsi" w:cs="Arial"/>
                <w:spacing w:val="-10"/>
                <w:sz w:val="22"/>
                <w:szCs w:val="22"/>
              </w:rPr>
            </w:pPr>
            <w:r w:rsidRPr="001A11E1">
              <w:rPr>
                <w:rFonts w:asciiTheme="majorHAnsi" w:hAnsiTheme="majorHAnsi" w:cs="Arial"/>
                <w:b/>
                <w:bCs/>
                <w:spacing w:val="-10"/>
                <w:sz w:val="22"/>
                <w:szCs w:val="22"/>
              </w:rPr>
              <w:t>Keywords:</w:t>
            </w:r>
          </w:p>
          <w:p w14:paraId="55B97A1F" w14:textId="0ED9601A" w:rsidR="001A11E1" w:rsidRPr="001A11E1" w:rsidRDefault="001A11E1" w:rsidP="001A11E1">
            <w:pPr>
              <w:spacing w:before="120" w:after="120" w:line="220" w:lineRule="exact"/>
              <w:rPr>
                <w:rFonts w:asciiTheme="majorHAnsi" w:hAnsiTheme="majorHAnsi" w:cs="Arial"/>
                <w:spacing w:val="-10"/>
                <w:sz w:val="22"/>
                <w:szCs w:val="22"/>
              </w:rPr>
            </w:pPr>
            <w:r w:rsidRPr="001A11E1">
              <w:rPr>
                <w:rFonts w:asciiTheme="majorHAnsi" w:hAnsiTheme="majorHAnsi" w:cs="Arial"/>
                <w:spacing w:val="-10"/>
                <w:sz w:val="22"/>
                <w:szCs w:val="22"/>
              </w:rPr>
              <w:t>Endolymphatic sac tumor; Temporal bone tumor; Facial nerve palsy; Hearing loss; Skull base surgery; Case report; Neurotology</w:t>
            </w:r>
            <w:r>
              <w:rPr>
                <w:rFonts w:asciiTheme="majorHAnsi" w:hAnsiTheme="majorHAnsi" w:cs="Arial"/>
                <w:spacing w:val="-10"/>
                <w:sz w:val="22"/>
                <w:szCs w:val="22"/>
              </w:rPr>
              <w:t>, case report</w:t>
            </w:r>
          </w:p>
          <w:p w14:paraId="031D4E4F" w14:textId="04B32DB1" w:rsidR="004A05F4" w:rsidRPr="00E735A4" w:rsidRDefault="004A05F4" w:rsidP="004A05F4">
            <w:pPr>
              <w:spacing w:before="120" w:after="120" w:line="220" w:lineRule="exact"/>
              <w:rPr>
                <w:rFonts w:asciiTheme="majorHAnsi" w:hAnsiTheme="majorHAnsi" w:cs="Arial"/>
                <w:spacing w:val="-10"/>
                <w:sz w:val="22"/>
                <w:szCs w:val="22"/>
              </w:rPr>
            </w:pPr>
          </w:p>
        </w:tc>
        <w:tc>
          <w:tcPr>
            <w:tcW w:w="943" w:type="pct"/>
          </w:tcPr>
          <w:p w14:paraId="1651E845" w14:textId="76E32E02" w:rsidR="004A05F4" w:rsidRPr="00E735A4" w:rsidRDefault="001A11E1"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10/01</w:t>
            </w:r>
          </w:p>
        </w:tc>
      </w:tr>
      <w:tr w:rsidR="004A05F4" w:rsidRPr="00E735A4" w14:paraId="01413D7F" w14:textId="77777777" w:rsidTr="004A05F4">
        <w:tc>
          <w:tcPr>
            <w:tcW w:w="321" w:type="pct"/>
          </w:tcPr>
          <w:p w14:paraId="76E68C66" w14:textId="77777777" w:rsidR="004A05F4" w:rsidRPr="00E735A4" w:rsidRDefault="004A05F4" w:rsidP="004A05F4">
            <w:pPr>
              <w:spacing w:before="120" w:after="120" w:line="220" w:lineRule="exact"/>
              <w:rPr>
                <w:rFonts w:asciiTheme="majorHAnsi" w:hAnsiTheme="majorHAnsi" w:cs="Arial"/>
                <w:b/>
                <w:sz w:val="22"/>
                <w:szCs w:val="22"/>
              </w:rPr>
            </w:pPr>
            <w:r w:rsidRPr="00AE35E5">
              <w:t>3a</w:t>
            </w:r>
          </w:p>
        </w:tc>
        <w:tc>
          <w:tcPr>
            <w:tcW w:w="1031" w:type="pct"/>
            <w:vMerge w:val="restart"/>
            <w:vAlign w:val="center"/>
          </w:tcPr>
          <w:p w14:paraId="05A512AE"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Abstract</w:t>
            </w:r>
          </w:p>
        </w:tc>
        <w:tc>
          <w:tcPr>
            <w:tcW w:w="2705" w:type="pct"/>
          </w:tcPr>
          <w:p w14:paraId="559DD267" w14:textId="77777777" w:rsidR="001A11E1" w:rsidRPr="001A11E1" w:rsidRDefault="004A05F4" w:rsidP="001A11E1">
            <w:pPr>
              <w:spacing w:before="120" w:after="120" w:line="220" w:lineRule="exact"/>
              <w:rPr>
                <w:rFonts w:asciiTheme="majorHAnsi" w:hAnsiTheme="majorHAnsi" w:cs="Arial"/>
                <w:spacing w:val="-10"/>
                <w:sz w:val="22"/>
                <w:szCs w:val="22"/>
              </w:rPr>
            </w:pPr>
            <w:r w:rsidRPr="004A05F4">
              <w:rPr>
                <w:rFonts w:asciiTheme="majorHAnsi" w:hAnsiTheme="majorHAnsi" w:cs="Arial"/>
                <w:b/>
                <w:bCs/>
                <w:spacing w:val="-10"/>
                <w:sz w:val="22"/>
                <w:szCs w:val="22"/>
              </w:rPr>
              <w:t>Background:</w:t>
            </w:r>
            <w:r w:rsidRPr="00E735A4">
              <w:rPr>
                <w:rFonts w:asciiTheme="majorHAnsi" w:hAnsiTheme="majorHAnsi" w:cs="Arial"/>
                <w:spacing w:val="-10"/>
                <w:sz w:val="22"/>
                <w:szCs w:val="22"/>
              </w:rPr>
              <w:t xml:space="preserve"> </w:t>
            </w:r>
            <w:r w:rsidR="001A11E1" w:rsidRPr="001A11E1">
              <w:rPr>
                <w:rFonts w:asciiTheme="majorHAnsi" w:hAnsiTheme="majorHAnsi" w:cs="Arial"/>
                <w:spacing w:val="-10"/>
                <w:sz w:val="22"/>
                <w:szCs w:val="22"/>
              </w:rPr>
              <w:t xml:space="preserve">Endolymphatic sac tumors (ELSTs) are uncommon low-grade tumors with highly local aggressive features. These tumors could be associated with Von Hippel-Lindau disease or isolated. These tumors mostly present with audiovestibular and neurological symptoms. The definitive diagnosis can be achieved through histopathological examination of the post-surgical excised specimen. </w:t>
            </w:r>
          </w:p>
          <w:p w14:paraId="28CA46CC" w14:textId="229D9A61" w:rsidR="004A05F4" w:rsidRPr="00E735A4" w:rsidRDefault="004A05F4" w:rsidP="004A05F4">
            <w:pPr>
              <w:spacing w:before="120" w:after="120" w:line="220" w:lineRule="exact"/>
              <w:rPr>
                <w:rFonts w:asciiTheme="majorHAnsi" w:hAnsiTheme="majorHAnsi" w:cs="Arial"/>
                <w:spacing w:val="-10"/>
                <w:sz w:val="22"/>
                <w:szCs w:val="22"/>
              </w:rPr>
            </w:pPr>
          </w:p>
        </w:tc>
        <w:tc>
          <w:tcPr>
            <w:tcW w:w="943" w:type="pct"/>
          </w:tcPr>
          <w:p w14:paraId="730AD2AD" w14:textId="267879BE" w:rsidR="004A05F4" w:rsidRPr="00E735A4" w:rsidRDefault="001A11E1"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02/01</w:t>
            </w:r>
          </w:p>
        </w:tc>
      </w:tr>
      <w:tr w:rsidR="004A05F4" w:rsidRPr="00E735A4" w14:paraId="641012A2" w14:textId="77777777" w:rsidTr="004A05F4">
        <w:tc>
          <w:tcPr>
            <w:tcW w:w="321" w:type="pct"/>
          </w:tcPr>
          <w:p w14:paraId="3EE0F459" w14:textId="77777777" w:rsidR="004A05F4" w:rsidRPr="00E735A4" w:rsidRDefault="004A05F4" w:rsidP="004A05F4">
            <w:pPr>
              <w:spacing w:before="120" w:after="120" w:line="220" w:lineRule="exact"/>
              <w:rPr>
                <w:rFonts w:asciiTheme="majorHAnsi" w:hAnsiTheme="majorHAnsi" w:cs="Arial"/>
                <w:b/>
                <w:sz w:val="22"/>
                <w:szCs w:val="22"/>
              </w:rPr>
            </w:pPr>
            <w:r w:rsidRPr="00AE35E5">
              <w:t>3b</w:t>
            </w:r>
          </w:p>
        </w:tc>
        <w:tc>
          <w:tcPr>
            <w:tcW w:w="1031" w:type="pct"/>
            <w:vMerge/>
            <w:vAlign w:val="center"/>
          </w:tcPr>
          <w:p w14:paraId="570AD18C"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2950E7E4" w14:textId="77777777" w:rsidR="001A11E1" w:rsidRPr="001A11E1" w:rsidRDefault="004A05F4" w:rsidP="001A11E1">
            <w:pPr>
              <w:spacing w:before="120" w:after="120" w:line="220" w:lineRule="exact"/>
              <w:rPr>
                <w:rFonts w:asciiTheme="majorHAnsi" w:hAnsiTheme="majorHAnsi" w:cs="Arial"/>
                <w:spacing w:val="-10"/>
                <w:sz w:val="22"/>
                <w:szCs w:val="22"/>
              </w:rPr>
            </w:pPr>
            <w:r w:rsidRPr="004A05F4">
              <w:rPr>
                <w:rFonts w:asciiTheme="majorHAnsi" w:hAnsiTheme="majorHAnsi" w:cs="Arial"/>
                <w:b/>
                <w:bCs/>
                <w:spacing w:val="-10"/>
                <w:sz w:val="22"/>
                <w:szCs w:val="22"/>
              </w:rPr>
              <w:t>Case Presentation:</w:t>
            </w:r>
            <w:r w:rsidRPr="00E735A4">
              <w:rPr>
                <w:rFonts w:asciiTheme="majorHAnsi" w:hAnsiTheme="majorHAnsi" w:cs="Arial"/>
                <w:spacing w:val="-10"/>
                <w:sz w:val="22"/>
                <w:szCs w:val="22"/>
              </w:rPr>
              <w:t xml:space="preserve"> </w:t>
            </w:r>
            <w:r w:rsidR="001A11E1" w:rsidRPr="001A11E1">
              <w:rPr>
                <w:rFonts w:asciiTheme="majorHAnsi" w:hAnsiTheme="majorHAnsi" w:cs="Arial"/>
                <w:spacing w:val="-10"/>
                <w:sz w:val="22"/>
                <w:szCs w:val="22"/>
              </w:rPr>
              <w:t>A 42-year-old female who was previously healthy presented to the neurology department with a primary complaint of headache, mainly migraine, accompanied by nausea and vomiting. Additionally, she reported slowly progressive left facial weakness. During the neurological examination, there was a grade VI House-Brackmann facial nerve paralysis. At that time, there was also a progression of hearing loss; therefore, referred to neurotology and the lateral skull base clinic.</w:t>
            </w:r>
          </w:p>
          <w:p w14:paraId="1FDCCFD3" w14:textId="77777777" w:rsidR="001A11E1" w:rsidRPr="001A11E1" w:rsidRDefault="001A11E1" w:rsidP="001A11E1">
            <w:pPr>
              <w:spacing w:before="120" w:after="120" w:line="220" w:lineRule="exact"/>
              <w:rPr>
                <w:rFonts w:asciiTheme="majorHAnsi" w:hAnsiTheme="majorHAnsi" w:cs="Arial"/>
                <w:spacing w:val="-10"/>
                <w:sz w:val="22"/>
                <w:szCs w:val="22"/>
              </w:rPr>
            </w:pPr>
            <w:r w:rsidRPr="001A11E1">
              <w:rPr>
                <w:rFonts w:asciiTheme="majorHAnsi" w:hAnsiTheme="majorHAnsi" w:cs="Arial"/>
                <w:spacing w:val="-10"/>
                <w:sz w:val="22"/>
                <w:szCs w:val="22"/>
              </w:rPr>
              <w:t xml:space="preserve">During her first evaluation at the neurotology and lateral skull base clinic. The patient reported there was a left ear reduction in hearing sense with intermittent bloody ear discharge. A comprehensive ear, nose, throat, larynx, and head and neck examination revealed only granulation tissue protruding from the left tympanic membrane and mixed with purulent discharge, with complete (grade VI) facial nerve palsy. A clinical hearing assessment showed a negative Rinne’s test and lateralization to the right ear during the Weber’s test, which was consistent with SNHL type. </w:t>
            </w:r>
          </w:p>
          <w:p w14:paraId="751D9BC1" w14:textId="77777777" w:rsidR="001A11E1" w:rsidRPr="001A11E1" w:rsidRDefault="001A11E1" w:rsidP="001A11E1">
            <w:pPr>
              <w:spacing w:before="120" w:after="120" w:line="220" w:lineRule="exact"/>
              <w:rPr>
                <w:rFonts w:asciiTheme="majorHAnsi" w:hAnsiTheme="majorHAnsi" w:cs="Arial"/>
                <w:spacing w:val="-10"/>
                <w:sz w:val="22"/>
                <w:szCs w:val="22"/>
              </w:rPr>
            </w:pPr>
            <w:r w:rsidRPr="001A11E1">
              <w:rPr>
                <w:rFonts w:asciiTheme="majorHAnsi" w:hAnsiTheme="majorHAnsi" w:cs="Arial"/>
                <w:spacing w:val="-10"/>
                <w:sz w:val="22"/>
                <w:szCs w:val="22"/>
              </w:rPr>
              <w:t xml:space="preserve">A pure tone audiometry was requested to quantify the hearing loss level and to confirm the hearing loss type. PTA results showed profound SNHL in the left ear with a normal hearing level in the right ear. Additionally, tympanometry showed bilateral type A curves.  </w:t>
            </w:r>
          </w:p>
          <w:p w14:paraId="0BED2D9B" w14:textId="77777777" w:rsidR="001A11E1" w:rsidRPr="001A11E1" w:rsidRDefault="001A11E1" w:rsidP="001A11E1">
            <w:pPr>
              <w:spacing w:before="120" w:after="120" w:line="220" w:lineRule="exact"/>
              <w:rPr>
                <w:rFonts w:asciiTheme="majorHAnsi" w:hAnsiTheme="majorHAnsi" w:cs="Arial"/>
                <w:spacing w:val="-10"/>
                <w:sz w:val="22"/>
                <w:szCs w:val="22"/>
              </w:rPr>
            </w:pPr>
            <w:r w:rsidRPr="001A11E1">
              <w:rPr>
                <w:rFonts w:asciiTheme="majorHAnsi" w:hAnsiTheme="majorHAnsi" w:cs="Arial"/>
                <w:spacing w:val="-10"/>
                <w:sz w:val="22"/>
                <w:szCs w:val="22"/>
              </w:rPr>
              <w:t>Based on these clinical findings, imaging modalities such as a CT scan and MRI were warranted for further evaluation. A CT scan of the temporal bone, as shown in [Figure 1], demonstrates features suggestive of a neoplastic process involving the petrous part of the left temporal bone. Following the CT Scan findings, a further MRI with Gadolinium contrast was obtained for better visualization of the lesion. The study revealed findings suggestive of a left-sided endolymphatic sac tumor infiltrating the internal auditory canal, involving the vestibulocochlear nerve (CN VIII) and the tympanic segment of the facial nerve (CN VII), as well as the interosseous component of the glossopharyngeal nerve (CN IX), as shown in [Figure 2].</w:t>
            </w:r>
          </w:p>
          <w:p w14:paraId="5515DDA5" w14:textId="24FB5BC4" w:rsidR="004A05F4" w:rsidRPr="00E735A4" w:rsidRDefault="004A05F4" w:rsidP="004A05F4">
            <w:pPr>
              <w:spacing w:before="120" w:after="120" w:line="220" w:lineRule="exact"/>
              <w:rPr>
                <w:rFonts w:asciiTheme="majorHAnsi" w:hAnsiTheme="majorHAnsi" w:cs="Arial"/>
                <w:spacing w:val="-10"/>
                <w:sz w:val="22"/>
                <w:szCs w:val="22"/>
              </w:rPr>
            </w:pPr>
          </w:p>
        </w:tc>
        <w:tc>
          <w:tcPr>
            <w:tcW w:w="943" w:type="pct"/>
          </w:tcPr>
          <w:p w14:paraId="42E4F176" w14:textId="5A3427DB" w:rsidR="004A05F4" w:rsidRPr="00E735A4" w:rsidRDefault="008219B6"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25</w:t>
            </w:r>
            <w:r w:rsidR="001A11E1">
              <w:rPr>
                <w:rFonts w:asciiTheme="majorHAnsi" w:hAnsiTheme="majorHAnsi" w:cs="Arial"/>
                <w:bCs/>
                <w:sz w:val="22"/>
                <w:szCs w:val="22"/>
              </w:rPr>
              <w:t>/02</w:t>
            </w:r>
          </w:p>
        </w:tc>
      </w:tr>
      <w:tr w:rsidR="004A05F4" w:rsidRPr="00E735A4" w14:paraId="6DD64268" w14:textId="77777777" w:rsidTr="004A05F4">
        <w:tc>
          <w:tcPr>
            <w:tcW w:w="321" w:type="pct"/>
          </w:tcPr>
          <w:p w14:paraId="57A7B7BA" w14:textId="77777777" w:rsidR="004A05F4" w:rsidRPr="00E735A4" w:rsidRDefault="004A05F4" w:rsidP="004A05F4">
            <w:pPr>
              <w:spacing w:before="120" w:after="120" w:line="220" w:lineRule="exact"/>
              <w:rPr>
                <w:rFonts w:asciiTheme="majorHAnsi" w:hAnsiTheme="majorHAnsi" w:cs="Arial"/>
                <w:b/>
                <w:sz w:val="22"/>
                <w:szCs w:val="22"/>
              </w:rPr>
            </w:pPr>
            <w:r w:rsidRPr="00AE35E5">
              <w:t>3c</w:t>
            </w:r>
          </w:p>
        </w:tc>
        <w:tc>
          <w:tcPr>
            <w:tcW w:w="1031" w:type="pct"/>
            <w:vMerge/>
            <w:vAlign w:val="center"/>
          </w:tcPr>
          <w:p w14:paraId="58404378"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4925814F" w14:textId="77777777" w:rsidR="008219B6" w:rsidRPr="008219B6" w:rsidRDefault="004A05F4" w:rsidP="008219B6">
            <w:pPr>
              <w:spacing w:before="120" w:after="120" w:line="220" w:lineRule="exact"/>
              <w:rPr>
                <w:rFonts w:asciiTheme="majorHAnsi" w:hAnsiTheme="majorHAnsi" w:cs="Arial"/>
                <w:spacing w:val="-10"/>
                <w:sz w:val="22"/>
                <w:szCs w:val="22"/>
              </w:rPr>
            </w:pPr>
            <w:r w:rsidRPr="004A05F4">
              <w:rPr>
                <w:rFonts w:asciiTheme="majorHAnsi" w:hAnsiTheme="majorHAnsi" w:cs="Arial"/>
                <w:b/>
                <w:bCs/>
                <w:spacing w:val="-10"/>
                <w:sz w:val="22"/>
                <w:szCs w:val="22"/>
              </w:rPr>
              <w:t>Conclusion:</w:t>
            </w:r>
            <w:r w:rsidRPr="00E735A4">
              <w:rPr>
                <w:rFonts w:asciiTheme="majorHAnsi" w:hAnsiTheme="majorHAnsi" w:cs="Arial"/>
                <w:spacing w:val="-10"/>
                <w:sz w:val="22"/>
                <w:szCs w:val="22"/>
              </w:rPr>
              <w:t xml:space="preserve"> </w:t>
            </w:r>
            <w:r w:rsidR="008219B6" w:rsidRPr="008219B6">
              <w:rPr>
                <w:rFonts w:asciiTheme="majorHAnsi" w:hAnsiTheme="majorHAnsi" w:cs="Arial"/>
                <w:spacing w:val="-10"/>
                <w:sz w:val="22"/>
                <w:szCs w:val="22"/>
              </w:rPr>
              <w:t xml:space="preserve">In conclusion, endolymphatic sac tumors are rare with local aggressive behavior. In our reporting case, the patient initially presented to the neurology department and was subsequently referred to us, where the diagnosis was established. Intraoperatively, the mass exhibited an atypical spongiform appearance with associated bony fragments. The excised mass was sent for histopathological examination, which confirmed the diagnosis of endolymphatic sac tumor. </w:t>
            </w:r>
          </w:p>
          <w:p w14:paraId="346937D3" w14:textId="3EDEA2BE" w:rsidR="004A05F4" w:rsidRPr="00E735A4" w:rsidRDefault="004A05F4" w:rsidP="004A05F4">
            <w:pPr>
              <w:spacing w:before="120" w:after="120" w:line="220" w:lineRule="exact"/>
              <w:rPr>
                <w:rFonts w:asciiTheme="majorHAnsi" w:hAnsiTheme="majorHAnsi" w:cs="Arial"/>
                <w:spacing w:val="-10"/>
                <w:sz w:val="22"/>
                <w:szCs w:val="22"/>
              </w:rPr>
            </w:pPr>
          </w:p>
        </w:tc>
        <w:tc>
          <w:tcPr>
            <w:tcW w:w="943" w:type="pct"/>
          </w:tcPr>
          <w:p w14:paraId="438F5C57" w14:textId="6DF42E67" w:rsidR="004A05F4" w:rsidRPr="00E735A4" w:rsidRDefault="008219B6"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35/10</w:t>
            </w:r>
          </w:p>
        </w:tc>
      </w:tr>
      <w:tr w:rsidR="004A05F4" w:rsidRPr="00E735A4" w14:paraId="2B15BFE6" w14:textId="77777777" w:rsidTr="004A05F4">
        <w:tc>
          <w:tcPr>
            <w:tcW w:w="321" w:type="pct"/>
          </w:tcPr>
          <w:p w14:paraId="4FBE7097" w14:textId="77777777" w:rsidR="004A05F4" w:rsidRPr="00E735A4" w:rsidRDefault="004A05F4" w:rsidP="004A05F4">
            <w:pPr>
              <w:spacing w:before="120" w:after="120" w:line="220" w:lineRule="exact"/>
              <w:rPr>
                <w:rFonts w:asciiTheme="majorHAnsi" w:hAnsiTheme="majorHAnsi" w:cs="Arial"/>
                <w:b/>
                <w:sz w:val="22"/>
                <w:szCs w:val="22"/>
              </w:rPr>
            </w:pPr>
            <w:r w:rsidRPr="00AE35E5">
              <w:t>4</w:t>
            </w:r>
          </w:p>
        </w:tc>
        <w:tc>
          <w:tcPr>
            <w:tcW w:w="1031" w:type="pct"/>
            <w:vAlign w:val="center"/>
          </w:tcPr>
          <w:p w14:paraId="57F21E68"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Introduction/background</w:t>
            </w:r>
          </w:p>
        </w:tc>
        <w:tc>
          <w:tcPr>
            <w:tcW w:w="2705" w:type="pct"/>
          </w:tcPr>
          <w:p w14:paraId="7E85558B" w14:textId="77777777" w:rsidR="004A05F4" w:rsidRPr="00E735A4" w:rsidRDefault="004A05F4" w:rsidP="004A05F4">
            <w:pPr>
              <w:spacing w:before="120" w:after="120" w:line="220" w:lineRule="exact"/>
              <w:rPr>
                <w:rFonts w:asciiTheme="majorHAnsi" w:hAnsiTheme="majorHAnsi" w:cs="Arial"/>
                <w:sz w:val="22"/>
                <w:szCs w:val="22"/>
              </w:rPr>
            </w:pPr>
            <w:r w:rsidRPr="00E735A4">
              <w:rPr>
                <w:rFonts w:asciiTheme="majorHAnsi" w:hAnsiTheme="majorHAnsi" w:cs="Arial"/>
                <w:spacing w:val="-10"/>
                <w:sz w:val="22"/>
                <w:szCs w:val="22"/>
              </w:rPr>
              <w:t>The current standard of care and contributions of this case—with references (1-2 paragraphs)</w:t>
            </w:r>
          </w:p>
        </w:tc>
        <w:tc>
          <w:tcPr>
            <w:tcW w:w="943" w:type="pct"/>
          </w:tcPr>
          <w:p w14:paraId="5C2FA690" w14:textId="0D79F98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12694453" w14:textId="77777777" w:rsidTr="004A05F4">
        <w:tc>
          <w:tcPr>
            <w:tcW w:w="321" w:type="pct"/>
          </w:tcPr>
          <w:p w14:paraId="7C6FAF5F" w14:textId="77777777" w:rsidR="004A05F4" w:rsidRPr="00E735A4" w:rsidRDefault="004A05F4" w:rsidP="004A05F4">
            <w:pPr>
              <w:spacing w:before="120" w:after="120" w:line="220" w:lineRule="exact"/>
              <w:rPr>
                <w:rFonts w:asciiTheme="majorHAnsi" w:hAnsiTheme="majorHAnsi" w:cs="Arial"/>
                <w:b/>
                <w:sz w:val="22"/>
                <w:szCs w:val="22"/>
              </w:rPr>
            </w:pPr>
            <w:r w:rsidRPr="00AE35E5">
              <w:t>5</w:t>
            </w:r>
          </w:p>
        </w:tc>
        <w:tc>
          <w:tcPr>
            <w:tcW w:w="1031" w:type="pct"/>
            <w:vAlign w:val="center"/>
          </w:tcPr>
          <w:p w14:paraId="63A7C107"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Timeline</w:t>
            </w:r>
          </w:p>
        </w:tc>
        <w:tc>
          <w:tcPr>
            <w:tcW w:w="2705" w:type="pct"/>
          </w:tcPr>
          <w:p w14:paraId="35A50A93" w14:textId="77777777" w:rsidR="004A05F4" w:rsidRPr="00E735A4" w:rsidRDefault="004A05F4" w:rsidP="004A05F4">
            <w:pPr>
              <w:spacing w:before="120" w:after="120" w:line="220" w:lineRule="exact"/>
              <w:rPr>
                <w:rFonts w:asciiTheme="majorHAnsi" w:hAnsiTheme="majorHAnsi" w:cs="Arial"/>
                <w:sz w:val="22"/>
                <w:szCs w:val="22"/>
              </w:rPr>
            </w:pPr>
            <w:r w:rsidRPr="00E735A4">
              <w:rPr>
                <w:rFonts w:asciiTheme="majorHAnsi" w:hAnsiTheme="majorHAnsi" w:cs="Arial"/>
                <w:spacing w:val="-10"/>
                <w:sz w:val="22"/>
                <w:szCs w:val="22"/>
              </w:rPr>
              <w:t>Information from this case report organized into a timeline (table or figure)</w:t>
            </w:r>
          </w:p>
        </w:tc>
        <w:tc>
          <w:tcPr>
            <w:tcW w:w="943" w:type="pct"/>
          </w:tcPr>
          <w:p w14:paraId="17938BDC" w14:textId="1B66708F" w:rsidR="004A05F4" w:rsidRPr="00B711CA" w:rsidRDefault="004A05F4" w:rsidP="004A05F4">
            <w:pPr>
              <w:spacing w:before="120" w:after="120" w:line="220" w:lineRule="exact"/>
              <w:rPr>
                <w:rFonts w:asciiTheme="majorHAnsi" w:hAnsiTheme="majorHAnsi" w:cs="Arial"/>
                <w:bCs/>
                <w:color w:val="FF0000"/>
                <w:sz w:val="22"/>
                <w:szCs w:val="22"/>
              </w:rPr>
            </w:pPr>
          </w:p>
        </w:tc>
      </w:tr>
      <w:tr w:rsidR="008219B6" w:rsidRPr="00E735A4" w14:paraId="23ABF4F5" w14:textId="77777777" w:rsidTr="004A05F4">
        <w:tc>
          <w:tcPr>
            <w:tcW w:w="321" w:type="pct"/>
          </w:tcPr>
          <w:p w14:paraId="6B6EEFFA" w14:textId="77777777" w:rsidR="008219B6" w:rsidRPr="00E735A4" w:rsidRDefault="008219B6" w:rsidP="008219B6">
            <w:pPr>
              <w:spacing w:before="120" w:after="120" w:line="220" w:lineRule="exact"/>
              <w:rPr>
                <w:rFonts w:asciiTheme="majorHAnsi" w:hAnsiTheme="majorHAnsi" w:cs="Arial"/>
                <w:b/>
                <w:sz w:val="22"/>
                <w:szCs w:val="22"/>
              </w:rPr>
            </w:pPr>
            <w:r w:rsidRPr="00AE35E5">
              <w:t>6a</w:t>
            </w:r>
          </w:p>
        </w:tc>
        <w:tc>
          <w:tcPr>
            <w:tcW w:w="1031" w:type="pct"/>
            <w:vMerge w:val="restart"/>
            <w:vAlign w:val="center"/>
          </w:tcPr>
          <w:p w14:paraId="19F94322" w14:textId="77777777" w:rsidR="008219B6" w:rsidRPr="00E735A4" w:rsidRDefault="008219B6" w:rsidP="008219B6">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Patient Information</w:t>
            </w:r>
          </w:p>
        </w:tc>
        <w:tc>
          <w:tcPr>
            <w:tcW w:w="2705" w:type="pct"/>
          </w:tcPr>
          <w:p w14:paraId="0A9125D4" w14:textId="7EFEECBD" w:rsidR="008219B6" w:rsidRPr="00E735A4" w:rsidRDefault="008219B6" w:rsidP="008219B6">
            <w:pPr>
              <w:spacing w:before="120" w:after="120" w:line="220" w:lineRule="exact"/>
              <w:rPr>
                <w:rFonts w:asciiTheme="majorHAnsi" w:hAnsiTheme="majorHAnsi" w:cs="Arial"/>
                <w:spacing w:val="-10"/>
                <w:sz w:val="22"/>
                <w:szCs w:val="22"/>
              </w:rPr>
            </w:pPr>
            <w:r w:rsidRPr="008219B6">
              <w:rPr>
                <w:rFonts w:asciiTheme="majorHAnsi" w:hAnsiTheme="majorHAnsi" w:cs="Arial"/>
                <w:bCs/>
                <w:sz w:val="22"/>
                <w:szCs w:val="22"/>
              </w:rPr>
              <w:t>A 42-year-old female who was previously healthy</w:t>
            </w:r>
          </w:p>
        </w:tc>
        <w:tc>
          <w:tcPr>
            <w:tcW w:w="943" w:type="pct"/>
          </w:tcPr>
          <w:p w14:paraId="7D64EB83" w14:textId="19910F68" w:rsidR="008219B6" w:rsidRPr="00E735A4" w:rsidRDefault="008219B6" w:rsidP="008219B6">
            <w:pPr>
              <w:spacing w:before="120" w:after="120" w:line="220" w:lineRule="exact"/>
              <w:rPr>
                <w:rFonts w:asciiTheme="majorHAnsi" w:hAnsiTheme="majorHAnsi" w:cs="Arial"/>
                <w:bCs/>
                <w:sz w:val="22"/>
                <w:szCs w:val="22"/>
              </w:rPr>
            </w:pPr>
            <w:r>
              <w:rPr>
                <w:rFonts w:asciiTheme="majorHAnsi" w:hAnsiTheme="majorHAnsi" w:cs="Arial"/>
                <w:bCs/>
                <w:sz w:val="22"/>
                <w:szCs w:val="22"/>
              </w:rPr>
              <w:t>25/02</w:t>
            </w:r>
          </w:p>
        </w:tc>
      </w:tr>
      <w:tr w:rsidR="004A05F4" w:rsidRPr="00E735A4" w14:paraId="20AB513E" w14:textId="77777777" w:rsidTr="004A05F4">
        <w:tc>
          <w:tcPr>
            <w:tcW w:w="321" w:type="pct"/>
          </w:tcPr>
          <w:p w14:paraId="16E111EE" w14:textId="77777777" w:rsidR="004A05F4" w:rsidRPr="00E735A4" w:rsidRDefault="004A05F4" w:rsidP="004A05F4">
            <w:pPr>
              <w:spacing w:before="120" w:after="120" w:line="220" w:lineRule="exact"/>
              <w:rPr>
                <w:rFonts w:asciiTheme="majorHAnsi" w:hAnsiTheme="majorHAnsi" w:cs="Arial"/>
                <w:b/>
                <w:sz w:val="22"/>
                <w:szCs w:val="22"/>
              </w:rPr>
            </w:pPr>
            <w:r w:rsidRPr="00AE35E5">
              <w:t>6b</w:t>
            </w:r>
          </w:p>
        </w:tc>
        <w:tc>
          <w:tcPr>
            <w:tcW w:w="1031" w:type="pct"/>
            <w:vMerge/>
            <w:vAlign w:val="center"/>
          </w:tcPr>
          <w:p w14:paraId="53799068"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79A5C16A" w14:textId="16A6A8A9" w:rsidR="004A05F4" w:rsidRPr="00E735A4" w:rsidRDefault="008219B6" w:rsidP="004A05F4">
            <w:pPr>
              <w:spacing w:before="120" w:after="120" w:line="220" w:lineRule="exact"/>
              <w:rPr>
                <w:rFonts w:asciiTheme="majorHAnsi" w:hAnsiTheme="majorHAnsi" w:cs="Arial"/>
                <w:sz w:val="22"/>
                <w:szCs w:val="22"/>
              </w:rPr>
            </w:pPr>
            <w:r>
              <w:rPr>
                <w:rFonts w:asciiTheme="majorHAnsi" w:hAnsiTheme="majorHAnsi" w:cs="Arial"/>
                <w:bCs/>
                <w:sz w:val="22"/>
                <w:szCs w:val="22"/>
              </w:rPr>
              <w:t xml:space="preserve">Facial nerve paralysis, hearing loss and headache   </w:t>
            </w:r>
          </w:p>
        </w:tc>
        <w:tc>
          <w:tcPr>
            <w:tcW w:w="943" w:type="pct"/>
          </w:tcPr>
          <w:p w14:paraId="66FA0554" w14:textId="6DBEEE70" w:rsidR="004A05F4" w:rsidRPr="00E735A4" w:rsidRDefault="008219B6"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26/02</w:t>
            </w:r>
          </w:p>
        </w:tc>
      </w:tr>
      <w:tr w:rsidR="004A05F4" w:rsidRPr="00E735A4" w14:paraId="5B6FB26A" w14:textId="77777777" w:rsidTr="004A05F4">
        <w:tc>
          <w:tcPr>
            <w:tcW w:w="321" w:type="pct"/>
          </w:tcPr>
          <w:p w14:paraId="67587650" w14:textId="77777777" w:rsidR="004A05F4" w:rsidRPr="00E735A4" w:rsidRDefault="004A05F4" w:rsidP="004A05F4">
            <w:pPr>
              <w:spacing w:before="120" w:after="120" w:line="220" w:lineRule="exact"/>
              <w:rPr>
                <w:rFonts w:asciiTheme="majorHAnsi" w:hAnsiTheme="majorHAnsi" w:cs="Arial"/>
                <w:b/>
                <w:sz w:val="22"/>
                <w:szCs w:val="22"/>
              </w:rPr>
            </w:pPr>
            <w:r w:rsidRPr="00AE35E5">
              <w:t>6c</w:t>
            </w:r>
          </w:p>
        </w:tc>
        <w:tc>
          <w:tcPr>
            <w:tcW w:w="1031" w:type="pct"/>
            <w:vMerge/>
            <w:vAlign w:val="center"/>
          </w:tcPr>
          <w:p w14:paraId="47BFBD25"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05A4369C" w14:textId="77777777" w:rsidR="00DB10F3" w:rsidRPr="00DB10F3" w:rsidRDefault="00DB10F3" w:rsidP="00DB10F3">
            <w:pPr>
              <w:spacing w:before="120" w:after="120" w:line="220" w:lineRule="exact"/>
              <w:rPr>
                <w:rFonts w:asciiTheme="majorHAnsi" w:hAnsiTheme="majorHAnsi" w:cs="Arial"/>
                <w:sz w:val="22"/>
                <w:szCs w:val="22"/>
              </w:rPr>
            </w:pPr>
            <w:r w:rsidRPr="00DB10F3">
              <w:rPr>
                <w:rFonts w:asciiTheme="majorHAnsi" w:hAnsiTheme="majorHAnsi" w:cs="Arial"/>
                <w:sz w:val="22"/>
                <w:szCs w:val="22"/>
              </w:rPr>
              <w:t>the patient underwent surgical resection of the tumor via a transmastoid-translabyrinthine approach</w:t>
            </w:r>
            <w:r>
              <w:rPr>
                <w:rFonts w:asciiTheme="majorHAnsi" w:hAnsiTheme="majorHAnsi" w:cs="Arial"/>
                <w:sz w:val="22"/>
                <w:szCs w:val="22"/>
              </w:rPr>
              <w:t xml:space="preserve">. </w:t>
            </w:r>
            <w:r w:rsidRPr="00DB10F3">
              <w:rPr>
                <w:rFonts w:asciiTheme="majorHAnsi" w:hAnsiTheme="majorHAnsi" w:cs="Arial"/>
                <w:sz w:val="22"/>
                <w:szCs w:val="22"/>
              </w:rPr>
              <w:t>]. Following surgery, the patient was successfully extubated and sent to the intensive care unit (ICU) for observation. She was then sent home in stable condition with a genetic referral for a von Hippel-Lindau (VHL) disease study and follow-up.</w:t>
            </w:r>
          </w:p>
          <w:p w14:paraId="21C8055E" w14:textId="07CFB73F" w:rsidR="004A05F4" w:rsidRPr="00E735A4" w:rsidRDefault="004A05F4" w:rsidP="00DB10F3">
            <w:pPr>
              <w:spacing w:before="120" w:after="120" w:line="220" w:lineRule="exact"/>
              <w:rPr>
                <w:rFonts w:asciiTheme="majorHAnsi" w:hAnsiTheme="majorHAnsi" w:cs="Arial"/>
                <w:sz w:val="22"/>
                <w:szCs w:val="22"/>
              </w:rPr>
            </w:pPr>
          </w:p>
        </w:tc>
        <w:tc>
          <w:tcPr>
            <w:tcW w:w="943" w:type="pct"/>
          </w:tcPr>
          <w:p w14:paraId="1182A139" w14:textId="6E8FCCD7" w:rsidR="004A05F4" w:rsidRPr="00E735A4" w:rsidRDefault="00DB10F3"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04/04</w:t>
            </w:r>
          </w:p>
        </w:tc>
      </w:tr>
      <w:tr w:rsidR="004A05F4" w:rsidRPr="00E735A4" w14:paraId="23782F77" w14:textId="77777777" w:rsidTr="004A05F4">
        <w:tc>
          <w:tcPr>
            <w:tcW w:w="321" w:type="pct"/>
          </w:tcPr>
          <w:p w14:paraId="671C7AE0" w14:textId="77777777" w:rsidR="004A05F4" w:rsidRPr="00E735A4" w:rsidRDefault="004A05F4" w:rsidP="004A05F4">
            <w:pPr>
              <w:spacing w:before="120" w:after="120" w:line="220" w:lineRule="exact"/>
              <w:rPr>
                <w:rFonts w:asciiTheme="majorHAnsi" w:hAnsiTheme="majorHAnsi" w:cs="Arial"/>
                <w:b/>
                <w:sz w:val="22"/>
                <w:szCs w:val="22"/>
              </w:rPr>
            </w:pPr>
            <w:r w:rsidRPr="00AE35E5">
              <w:t>7</w:t>
            </w:r>
          </w:p>
        </w:tc>
        <w:tc>
          <w:tcPr>
            <w:tcW w:w="1031" w:type="pct"/>
            <w:vAlign w:val="center"/>
          </w:tcPr>
          <w:p w14:paraId="4AA2D291"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Physical Exam</w:t>
            </w:r>
          </w:p>
        </w:tc>
        <w:tc>
          <w:tcPr>
            <w:tcW w:w="2705" w:type="pct"/>
          </w:tcPr>
          <w:p w14:paraId="10123CB5" w14:textId="77777777" w:rsidR="00DB10F3" w:rsidRPr="00DB10F3" w:rsidRDefault="00DB10F3" w:rsidP="00DB10F3">
            <w:pPr>
              <w:spacing w:before="120" w:after="120" w:line="220" w:lineRule="exact"/>
              <w:rPr>
                <w:rFonts w:asciiTheme="majorHAnsi" w:hAnsiTheme="majorHAnsi" w:cs="Arial"/>
                <w:sz w:val="22"/>
                <w:szCs w:val="22"/>
              </w:rPr>
            </w:pPr>
            <w:r w:rsidRPr="00DB10F3">
              <w:rPr>
                <w:rFonts w:asciiTheme="majorHAnsi" w:hAnsiTheme="majorHAnsi" w:cs="Arial"/>
                <w:sz w:val="22"/>
                <w:szCs w:val="22"/>
              </w:rPr>
              <w:t xml:space="preserve">A comprehensive ear, nose, throat, larynx, and head and neck examination revealed only granulation tissue protruding from the left tympanic membrane and mixed with purulent discharge, with complete (grade VI) facial nerve palsy. A clinical hearing assessment showed a negative Rinne’s test and lateralization to the right ear during the Weber’s test, which was consistent with SNHL type. </w:t>
            </w:r>
          </w:p>
          <w:p w14:paraId="6374F3CB" w14:textId="29F3FBDE" w:rsidR="004A05F4" w:rsidRPr="00E735A4" w:rsidRDefault="004A05F4" w:rsidP="004A05F4">
            <w:pPr>
              <w:spacing w:before="120" w:after="120" w:line="220" w:lineRule="exact"/>
              <w:rPr>
                <w:rFonts w:asciiTheme="majorHAnsi" w:hAnsiTheme="majorHAnsi" w:cs="Arial"/>
                <w:sz w:val="22"/>
                <w:szCs w:val="22"/>
              </w:rPr>
            </w:pPr>
          </w:p>
        </w:tc>
        <w:tc>
          <w:tcPr>
            <w:tcW w:w="943" w:type="pct"/>
          </w:tcPr>
          <w:p w14:paraId="18B99AE6" w14:textId="6D3816B4" w:rsidR="004A05F4" w:rsidRPr="00E735A4" w:rsidRDefault="00DB10F3"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27/02</w:t>
            </w:r>
          </w:p>
        </w:tc>
      </w:tr>
      <w:tr w:rsidR="004A05F4" w:rsidRPr="00E735A4" w14:paraId="3E950065" w14:textId="77777777" w:rsidTr="004A05F4">
        <w:tc>
          <w:tcPr>
            <w:tcW w:w="321" w:type="pct"/>
          </w:tcPr>
          <w:p w14:paraId="54C1ADC3" w14:textId="77777777" w:rsidR="004A05F4" w:rsidRPr="00E735A4" w:rsidRDefault="004A05F4" w:rsidP="004A05F4">
            <w:pPr>
              <w:spacing w:before="120" w:after="120" w:line="220" w:lineRule="exact"/>
              <w:rPr>
                <w:rFonts w:asciiTheme="majorHAnsi" w:hAnsiTheme="majorHAnsi" w:cs="Arial"/>
                <w:b/>
                <w:sz w:val="22"/>
                <w:szCs w:val="22"/>
              </w:rPr>
            </w:pPr>
            <w:r w:rsidRPr="00AE35E5">
              <w:t>8a</w:t>
            </w:r>
          </w:p>
        </w:tc>
        <w:tc>
          <w:tcPr>
            <w:tcW w:w="1031" w:type="pct"/>
            <w:vAlign w:val="center"/>
          </w:tcPr>
          <w:p w14:paraId="25340143"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Diagnostic</w:t>
            </w:r>
          </w:p>
        </w:tc>
        <w:tc>
          <w:tcPr>
            <w:tcW w:w="2705" w:type="pct"/>
          </w:tcPr>
          <w:p w14:paraId="57211EA3" w14:textId="10541426" w:rsidR="004A05F4" w:rsidRPr="00E735A4" w:rsidRDefault="00DB10F3" w:rsidP="00DB10F3">
            <w:pPr>
              <w:spacing w:before="120" w:after="120" w:line="220" w:lineRule="exact"/>
              <w:rPr>
                <w:rFonts w:asciiTheme="majorHAnsi" w:hAnsiTheme="majorHAnsi" w:cs="Arial"/>
                <w:sz w:val="22"/>
                <w:szCs w:val="22"/>
              </w:rPr>
            </w:pPr>
            <w:r w:rsidRPr="00DB10F3">
              <w:rPr>
                <w:rFonts w:asciiTheme="majorHAnsi" w:hAnsiTheme="majorHAnsi" w:cs="Arial"/>
                <w:sz w:val="22"/>
                <w:szCs w:val="22"/>
              </w:rPr>
              <w:t>A CT scan of the temporal bone, as shown in [Figure 1], demonstrates features suggestive of a neoplastic process involving the petrous part of the left temporal bone. Following the CT Scan findings, a further MRI with Gadolinium contrast was obtained for better visualization of the lesion. The study revealed findings suggestive of a left-sided endolymphatic sac tumor infiltrating the internal auditory canal, involving the vestibulocochlear nerve (CN VIII) and the tympanic segment of the facial nerve (CN VII), as well as the interosseous component of the glossopharyngeal nerve (CN IX), as shown in [Figure 2].</w:t>
            </w:r>
          </w:p>
        </w:tc>
        <w:tc>
          <w:tcPr>
            <w:tcW w:w="943" w:type="pct"/>
          </w:tcPr>
          <w:p w14:paraId="2CA12F01" w14:textId="3245367B" w:rsidR="004A05F4" w:rsidRPr="00E735A4" w:rsidRDefault="00DB10F3"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08/03</w:t>
            </w:r>
          </w:p>
        </w:tc>
      </w:tr>
      <w:tr w:rsidR="004A05F4" w:rsidRPr="00E735A4" w14:paraId="691A2668" w14:textId="77777777" w:rsidTr="004A05F4">
        <w:tc>
          <w:tcPr>
            <w:tcW w:w="321" w:type="pct"/>
          </w:tcPr>
          <w:p w14:paraId="753D0405" w14:textId="77777777" w:rsidR="004A05F4" w:rsidRPr="00E735A4" w:rsidRDefault="004A05F4" w:rsidP="004A05F4">
            <w:pPr>
              <w:spacing w:before="120" w:after="120" w:line="220" w:lineRule="exact"/>
              <w:rPr>
                <w:rFonts w:asciiTheme="majorHAnsi" w:hAnsiTheme="majorHAnsi" w:cs="Arial"/>
                <w:b/>
                <w:sz w:val="22"/>
                <w:szCs w:val="22"/>
              </w:rPr>
            </w:pPr>
            <w:r w:rsidRPr="00AE35E5">
              <w:t>8b</w:t>
            </w:r>
          </w:p>
        </w:tc>
        <w:tc>
          <w:tcPr>
            <w:tcW w:w="1031" w:type="pct"/>
            <w:vMerge w:val="restart"/>
            <w:vAlign w:val="center"/>
          </w:tcPr>
          <w:p w14:paraId="40D03225"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Assessment</w:t>
            </w:r>
          </w:p>
        </w:tc>
        <w:tc>
          <w:tcPr>
            <w:tcW w:w="2705" w:type="pct"/>
          </w:tcPr>
          <w:p w14:paraId="0E2098E0" w14:textId="19EDE53F" w:rsidR="004A05F4" w:rsidRPr="00E735A4" w:rsidRDefault="004A05F4" w:rsidP="00DB10F3">
            <w:pPr>
              <w:spacing w:before="120" w:after="120" w:line="220" w:lineRule="exact"/>
              <w:rPr>
                <w:rFonts w:asciiTheme="majorHAnsi" w:hAnsiTheme="majorHAnsi" w:cs="Arial"/>
                <w:sz w:val="22"/>
                <w:szCs w:val="22"/>
              </w:rPr>
            </w:pPr>
            <w:r w:rsidRPr="00E735A4">
              <w:rPr>
                <w:rFonts w:asciiTheme="majorHAnsi" w:hAnsiTheme="majorHAnsi" w:cs="Arial"/>
                <w:sz w:val="22"/>
                <w:szCs w:val="22"/>
              </w:rPr>
              <w:t>Diagnostic reasoning including other diagnoses considered and challen</w:t>
            </w:r>
            <w:r w:rsidR="00DB10F3" w:rsidRPr="00DB10F3">
              <w:rPr>
                <w:rFonts w:cstheme="minorHAnsi"/>
              </w:rPr>
              <w:t xml:space="preserve"> </w:t>
            </w:r>
            <w:r w:rsidR="00DB10F3" w:rsidRPr="00DB10F3">
              <w:rPr>
                <w:rFonts w:asciiTheme="majorHAnsi" w:hAnsiTheme="majorHAnsi" w:cs="Arial"/>
                <w:sz w:val="22"/>
                <w:szCs w:val="22"/>
              </w:rPr>
              <w:t xml:space="preserve">Based on these clinical findings, imaging modalities such as a CT scan and MRI were warranted for further evaluation. </w:t>
            </w:r>
            <w:r w:rsidRPr="00E735A4">
              <w:rPr>
                <w:rFonts w:asciiTheme="majorHAnsi" w:hAnsiTheme="majorHAnsi" w:cs="Arial"/>
                <w:sz w:val="22"/>
                <w:szCs w:val="22"/>
              </w:rPr>
              <w:t xml:space="preserve">ges </w:t>
            </w:r>
          </w:p>
        </w:tc>
        <w:tc>
          <w:tcPr>
            <w:tcW w:w="943" w:type="pct"/>
          </w:tcPr>
          <w:p w14:paraId="13957E47" w14:textId="462D1AD0" w:rsidR="004A05F4" w:rsidRPr="00E735A4" w:rsidRDefault="00DB10F3"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07/03</w:t>
            </w:r>
          </w:p>
        </w:tc>
      </w:tr>
      <w:tr w:rsidR="004A05F4" w:rsidRPr="00E735A4" w14:paraId="42A99C78" w14:textId="77777777" w:rsidTr="004A05F4">
        <w:tc>
          <w:tcPr>
            <w:tcW w:w="321" w:type="pct"/>
          </w:tcPr>
          <w:p w14:paraId="2B4061F6" w14:textId="77777777" w:rsidR="004A05F4" w:rsidRPr="00E735A4" w:rsidRDefault="004A05F4" w:rsidP="004A05F4">
            <w:pPr>
              <w:spacing w:before="120" w:after="120" w:line="220" w:lineRule="exact"/>
              <w:rPr>
                <w:rFonts w:asciiTheme="majorHAnsi" w:hAnsiTheme="majorHAnsi" w:cs="Arial"/>
                <w:b/>
                <w:sz w:val="22"/>
                <w:szCs w:val="22"/>
              </w:rPr>
            </w:pPr>
            <w:r w:rsidRPr="00AE35E5">
              <w:t>8c</w:t>
            </w:r>
          </w:p>
        </w:tc>
        <w:tc>
          <w:tcPr>
            <w:tcW w:w="1031" w:type="pct"/>
            <w:vMerge/>
            <w:vAlign w:val="center"/>
          </w:tcPr>
          <w:p w14:paraId="5FFAEFB5"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38CAEEB0" w14:textId="77777777" w:rsidR="004A05F4" w:rsidRPr="00E735A4" w:rsidRDefault="004A05F4" w:rsidP="004A05F4">
            <w:pPr>
              <w:spacing w:before="120" w:after="120" w:line="220" w:lineRule="exact"/>
              <w:rPr>
                <w:rFonts w:asciiTheme="majorHAnsi" w:hAnsiTheme="majorHAnsi" w:cs="Arial"/>
                <w:sz w:val="22"/>
                <w:szCs w:val="22"/>
              </w:rPr>
            </w:pPr>
            <w:r w:rsidRPr="00E735A4">
              <w:rPr>
                <w:rFonts w:asciiTheme="majorHAnsi" w:hAnsiTheme="majorHAnsi" w:cs="Arial"/>
                <w:sz w:val="22"/>
                <w:szCs w:val="22"/>
              </w:rPr>
              <w:t xml:space="preserve">Consider tables or figures linking assessment, diagnoses and interventions       </w:t>
            </w:r>
          </w:p>
        </w:tc>
        <w:tc>
          <w:tcPr>
            <w:tcW w:w="943" w:type="pct"/>
          </w:tcPr>
          <w:p w14:paraId="5C339A0C"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0121E98B" w14:textId="77777777" w:rsidTr="004A05F4">
        <w:tc>
          <w:tcPr>
            <w:tcW w:w="321" w:type="pct"/>
          </w:tcPr>
          <w:p w14:paraId="7FE486D3" w14:textId="77777777" w:rsidR="004A05F4" w:rsidRPr="00E735A4" w:rsidRDefault="004A05F4" w:rsidP="004A05F4">
            <w:pPr>
              <w:spacing w:before="120" w:after="120" w:line="220" w:lineRule="exact"/>
              <w:rPr>
                <w:rFonts w:asciiTheme="majorHAnsi" w:hAnsiTheme="majorHAnsi" w:cs="Arial"/>
                <w:b/>
                <w:sz w:val="22"/>
                <w:szCs w:val="22"/>
              </w:rPr>
            </w:pPr>
            <w:r w:rsidRPr="00AE35E5">
              <w:t>8d</w:t>
            </w:r>
          </w:p>
        </w:tc>
        <w:tc>
          <w:tcPr>
            <w:tcW w:w="1031" w:type="pct"/>
            <w:vMerge/>
            <w:vAlign w:val="center"/>
          </w:tcPr>
          <w:p w14:paraId="7D1547AE"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346BE84E" w14:textId="77777777" w:rsidR="004A05F4" w:rsidRPr="00E735A4" w:rsidRDefault="004A05F4" w:rsidP="004A05F4">
            <w:pPr>
              <w:spacing w:before="120" w:after="120" w:line="220" w:lineRule="exact"/>
              <w:rPr>
                <w:rFonts w:asciiTheme="majorHAnsi" w:hAnsiTheme="majorHAnsi" w:cs="Arial"/>
                <w:sz w:val="22"/>
                <w:szCs w:val="22"/>
              </w:rPr>
            </w:pPr>
            <w:r w:rsidRPr="00E735A4">
              <w:rPr>
                <w:rFonts w:asciiTheme="majorHAnsi" w:hAnsiTheme="majorHAnsi" w:cs="Arial"/>
                <w:sz w:val="22"/>
                <w:szCs w:val="22"/>
              </w:rPr>
              <w:t>Prognostic characteristics where applicable</w:t>
            </w:r>
          </w:p>
        </w:tc>
        <w:tc>
          <w:tcPr>
            <w:tcW w:w="943" w:type="pct"/>
          </w:tcPr>
          <w:p w14:paraId="2ABBC92F" w14:textId="78A62DC1" w:rsidR="004A05F4" w:rsidRPr="00B711CA" w:rsidRDefault="004A05F4" w:rsidP="004A05F4">
            <w:pPr>
              <w:spacing w:before="120" w:after="120" w:line="220" w:lineRule="exact"/>
              <w:rPr>
                <w:rFonts w:asciiTheme="majorHAnsi" w:hAnsiTheme="majorHAnsi" w:cs="Arial"/>
                <w:bCs/>
                <w:color w:val="FF0000"/>
                <w:sz w:val="22"/>
                <w:szCs w:val="22"/>
              </w:rPr>
            </w:pPr>
          </w:p>
        </w:tc>
      </w:tr>
      <w:tr w:rsidR="004A05F4" w:rsidRPr="00E735A4" w14:paraId="6DCE8A52" w14:textId="77777777" w:rsidTr="004A05F4">
        <w:tc>
          <w:tcPr>
            <w:tcW w:w="321" w:type="pct"/>
          </w:tcPr>
          <w:p w14:paraId="0D092854" w14:textId="77777777" w:rsidR="004A05F4" w:rsidRPr="00E735A4" w:rsidRDefault="004A05F4" w:rsidP="004A05F4">
            <w:pPr>
              <w:spacing w:before="120" w:after="120" w:line="220" w:lineRule="exact"/>
              <w:rPr>
                <w:rFonts w:asciiTheme="majorHAnsi" w:hAnsiTheme="majorHAnsi" w:cs="Arial"/>
                <w:b/>
                <w:sz w:val="22"/>
                <w:szCs w:val="22"/>
              </w:rPr>
            </w:pPr>
            <w:r w:rsidRPr="00AE35E5">
              <w:t>9a</w:t>
            </w:r>
          </w:p>
        </w:tc>
        <w:tc>
          <w:tcPr>
            <w:tcW w:w="1031" w:type="pct"/>
            <w:vMerge w:val="restart"/>
            <w:vAlign w:val="center"/>
          </w:tcPr>
          <w:p w14:paraId="335CE626"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Interventions</w:t>
            </w:r>
          </w:p>
        </w:tc>
        <w:tc>
          <w:tcPr>
            <w:tcW w:w="2705" w:type="pct"/>
          </w:tcPr>
          <w:p w14:paraId="0DF617A9" w14:textId="4B6A7108" w:rsidR="004A05F4" w:rsidRPr="00E735A4" w:rsidRDefault="004A05F4" w:rsidP="004A05F4">
            <w:pPr>
              <w:spacing w:before="120" w:after="120" w:line="220" w:lineRule="exact"/>
              <w:rPr>
                <w:rFonts w:asciiTheme="majorHAnsi" w:hAnsiTheme="majorHAnsi" w:cs="Arial"/>
                <w:sz w:val="22"/>
                <w:szCs w:val="22"/>
              </w:rPr>
            </w:pPr>
          </w:p>
        </w:tc>
        <w:tc>
          <w:tcPr>
            <w:tcW w:w="943" w:type="pct"/>
          </w:tcPr>
          <w:p w14:paraId="34F6740B"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6D10F494" w14:textId="77777777" w:rsidTr="004A05F4">
        <w:tc>
          <w:tcPr>
            <w:tcW w:w="321" w:type="pct"/>
          </w:tcPr>
          <w:p w14:paraId="279D5674" w14:textId="77777777" w:rsidR="004A05F4" w:rsidRPr="00E735A4" w:rsidRDefault="004A05F4" w:rsidP="004A05F4">
            <w:pPr>
              <w:spacing w:before="120" w:after="120" w:line="220" w:lineRule="exact"/>
              <w:rPr>
                <w:rFonts w:asciiTheme="majorHAnsi" w:hAnsiTheme="majorHAnsi" w:cs="Arial"/>
                <w:b/>
                <w:sz w:val="22"/>
                <w:szCs w:val="22"/>
              </w:rPr>
            </w:pPr>
            <w:r w:rsidRPr="00AE35E5">
              <w:t>9b</w:t>
            </w:r>
          </w:p>
        </w:tc>
        <w:tc>
          <w:tcPr>
            <w:tcW w:w="1031" w:type="pct"/>
            <w:vMerge/>
            <w:vAlign w:val="center"/>
          </w:tcPr>
          <w:p w14:paraId="5A0A562A"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1D42B86D" w14:textId="77777777" w:rsidR="00DB10F3" w:rsidRPr="00DB10F3" w:rsidRDefault="00DB10F3" w:rsidP="00DB10F3">
            <w:pPr>
              <w:spacing w:before="120" w:after="120" w:line="220" w:lineRule="exact"/>
              <w:rPr>
                <w:rFonts w:asciiTheme="majorHAnsi" w:hAnsiTheme="majorHAnsi" w:cs="Arial"/>
                <w:sz w:val="22"/>
                <w:szCs w:val="22"/>
              </w:rPr>
            </w:pPr>
            <w:r w:rsidRPr="00DB10F3">
              <w:rPr>
                <w:rFonts w:asciiTheme="majorHAnsi" w:hAnsiTheme="majorHAnsi" w:cs="Arial"/>
                <w:sz w:val="22"/>
                <w:szCs w:val="22"/>
              </w:rPr>
              <w:t>the patient underwent surgical resection of the tumor via a transmastoid-translabyrinthine approach</w:t>
            </w:r>
            <w:r>
              <w:rPr>
                <w:rFonts w:asciiTheme="majorHAnsi" w:hAnsiTheme="majorHAnsi" w:cs="Arial"/>
                <w:sz w:val="22"/>
                <w:szCs w:val="22"/>
              </w:rPr>
              <w:t xml:space="preserve">. </w:t>
            </w:r>
            <w:r w:rsidRPr="00DB10F3">
              <w:rPr>
                <w:rFonts w:asciiTheme="majorHAnsi" w:hAnsiTheme="majorHAnsi" w:cs="Arial"/>
                <w:sz w:val="22"/>
                <w:szCs w:val="22"/>
              </w:rPr>
              <w:t>]. Following surgery, the patient was successfully extubated and sent to the intensive care unit (ICU) for observation. She was then sent home in stable condition with a genetic referral for a von Hippel-Lindau (VHL) disease study and follow-up.</w:t>
            </w:r>
          </w:p>
          <w:p w14:paraId="599861AC" w14:textId="22186761" w:rsidR="004A05F4" w:rsidRPr="00E735A4" w:rsidRDefault="004A05F4" w:rsidP="004A05F4">
            <w:pPr>
              <w:spacing w:before="120" w:after="120" w:line="220" w:lineRule="exact"/>
              <w:rPr>
                <w:rFonts w:asciiTheme="majorHAnsi" w:hAnsiTheme="majorHAnsi" w:cs="Arial"/>
                <w:sz w:val="22"/>
                <w:szCs w:val="22"/>
              </w:rPr>
            </w:pPr>
          </w:p>
        </w:tc>
        <w:tc>
          <w:tcPr>
            <w:tcW w:w="943" w:type="pct"/>
          </w:tcPr>
          <w:p w14:paraId="45E7EA36" w14:textId="6DB1E58E" w:rsidR="004A05F4" w:rsidRPr="00E735A4" w:rsidRDefault="00DB10F3" w:rsidP="004A05F4">
            <w:pPr>
              <w:spacing w:before="120" w:after="120" w:line="220" w:lineRule="exact"/>
              <w:rPr>
                <w:rFonts w:asciiTheme="majorHAnsi" w:hAnsiTheme="majorHAnsi" w:cs="Arial"/>
                <w:bCs/>
                <w:sz w:val="22"/>
                <w:szCs w:val="22"/>
              </w:rPr>
            </w:pPr>
            <w:r>
              <w:rPr>
                <w:rFonts w:asciiTheme="majorHAnsi" w:hAnsiTheme="majorHAnsi" w:cs="Arial"/>
                <w:bCs/>
                <w:sz w:val="22"/>
                <w:szCs w:val="22"/>
              </w:rPr>
              <w:t>04/04</w:t>
            </w:r>
          </w:p>
        </w:tc>
      </w:tr>
      <w:tr w:rsidR="004A05F4" w:rsidRPr="00E735A4" w14:paraId="38A7801F" w14:textId="77777777" w:rsidTr="004A05F4">
        <w:tc>
          <w:tcPr>
            <w:tcW w:w="321" w:type="pct"/>
          </w:tcPr>
          <w:p w14:paraId="3E83BF3C" w14:textId="77777777" w:rsidR="004A05F4" w:rsidRPr="00E735A4" w:rsidRDefault="004A05F4" w:rsidP="004A05F4">
            <w:pPr>
              <w:spacing w:before="120" w:after="120" w:line="220" w:lineRule="exact"/>
              <w:rPr>
                <w:rFonts w:asciiTheme="majorHAnsi" w:hAnsiTheme="majorHAnsi" w:cs="Arial"/>
                <w:b/>
                <w:sz w:val="22"/>
                <w:szCs w:val="22"/>
              </w:rPr>
            </w:pPr>
            <w:r w:rsidRPr="00AE35E5">
              <w:t>9c</w:t>
            </w:r>
          </w:p>
        </w:tc>
        <w:tc>
          <w:tcPr>
            <w:tcW w:w="1031" w:type="pct"/>
            <w:vMerge/>
            <w:vAlign w:val="center"/>
          </w:tcPr>
          <w:p w14:paraId="5F4C492C"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0C9FF7CD"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Note changes in intervention with explanation</w:t>
            </w:r>
          </w:p>
        </w:tc>
        <w:tc>
          <w:tcPr>
            <w:tcW w:w="943" w:type="pct"/>
          </w:tcPr>
          <w:p w14:paraId="6FF22CA4" w14:textId="77777777" w:rsidR="004A05F4" w:rsidRPr="00E735A4" w:rsidRDefault="004A05F4" w:rsidP="004A05F4">
            <w:pPr>
              <w:spacing w:before="120" w:after="120" w:line="220" w:lineRule="exact"/>
              <w:rPr>
                <w:rFonts w:asciiTheme="majorHAnsi" w:hAnsiTheme="majorHAnsi" w:cs="Arial"/>
                <w:bCs/>
                <w:spacing w:val="-10"/>
                <w:sz w:val="22"/>
                <w:szCs w:val="22"/>
              </w:rPr>
            </w:pPr>
          </w:p>
        </w:tc>
      </w:tr>
      <w:tr w:rsidR="004A05F4" w:rsidRPr="00E735A4" w14:paraId="51C80074" w14:textId="77777777" w:rsidTr="004A05F4">
        <w:tc>
          <w:tcPr>
            <w:tcW w:w="321" w:type="pct"/>
          </w:tcPr>
          <w:p w14:paraId="0CEAF883" w14:textId="77777777" w:rsidR="004A05F4" w:rsidRPr="00E735A4" w:rsidRDefault="004A05F4" w:rsidP="004A05F4">
            <w:pPr>
              <w:spacing w:before="120" w:after="120" w:line="220" w:lineRule="exact"/>
              <w:rPr>
                <w:rFonts w:asciiTheme="majorHAnsi" w:hAnsiTheme="majorHAnsi" w:cs="Arial"/>
                <w:spacing w:val="-10"/>
                <w:sz w:val="22"/>
                <w:szCs w:val="22"/>
              </w:rPr>
            </w:pPr>
            <w:r w:rsidRPr="00AE35E5">
              <w:t>9d</w:t>
            </w:r>
          </w:p>
        </w:tc>
        <w:tc>
          <w:tcPr>
            <w:tcW w:w="1031" w:type="pct"/>
            <w:vMerge/>
            <w:vAlign w:val="center"/>
          </w:tcPr>
          <w:p w14:paraId="2D4C6580" w14:textId="77777777" w:rsidR="004A05F4" w:rsidRPr="00E735A4" w:rsidRDefault="004A05F4" w:rsidP="004A05F4">
            <w:pPr>
              <w:spacing w:before="120" w:after="120" w:line="220" w:lineRule="exact"/>
              <w:rPr>
                <w:rFonts w:asciiTheme="majorHAnsi" w:hAnsiTheme="majorHAnsi" w:cs="Arial"/>
                <w:spacing w:val="-10"/>
                <w:sz w:val="22"/>
                <w:szCs w:val="22"/>
              </w:rPr>
            </w:pPr>
          </w:p>
        </w:tc>
        <w:tc>
          <w:tcPr>
            <w:tcW w:w="2705" w:type="pct"/>
          </w:tcPr>
          <w:p w14:paraId="66DEA3E8"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Other concurrent interventions</w:t>
            </w:r>
          </w:p>
        </w:tc>
        <w:tc>
          <w:tcPr>
            <w:tcW w:w="943" w:type="pct"/>
          </w:tcPr>
          <w:p w14:paraId="0642F545"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461BD6C0" w14:textId="77777777" w:rsidTr="004A05F4">
        <w:tc>
          <w:tcPr>
            <w:tcW w:w="321" w:type="pct"/>
          </w:tcPr>
          <w:p w14:paraId="00C63850" w14:textId="77777777" w:rsidR="004A05F4" w:rsidRPr="00E735A4" w:rsidRDefault="004A05F4" w:rsidP="004A05F4">
            <w:pPr>
              <w:spacing w:before="120" w:after="120" w:line="220" w:lineRule="exact"/>
              <w:rPr>
                <w:rFonts w:asciiTheme="majorHAnsi" w:hAnsiTheme="majorHAnsi" w:cs="Arial"/>
                <w:b/>
                <w:sz w:val="22"/>
                <w:szCs w:val="22"/>
              </w:rPr>
            </w:pPr>
            <w:r w:rsidRPr="00AE35E5">
              <w:t>10a</w:t>
            </w:r>
          </w:p>
        </w:tc>
        <w:tc>
          <w:tcPr>
            <w:tcW w:w="1031" w:type="pct"/>
            <w:vAlign w:val="center"/>
          </w:tcPr>
          <w:p w14:paraId="4F6B0431"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 xml:space="preserve">Follow-up and </w:t>
            </w:r>
          </w:p>
        </w:tc>
        <w:tc>
          <w:tcPr>
            <w:tcW w:w="2705" w:type="pct"/>
          </w:tcPr>
          <w:p w14:paraId="578CAF4E" w14:textId="337A8502" w:rsidR="004A05F4" w:rsidRPr="00E735A4" w:rsidRDefault="00DB10F3" w:rsidP="004A05F4">
            <w:pPr>
              <w:spacing w:before="120" w:after="120" w:line="220" w:lineRule="exact"/>
              <w:rPr>
                <w:rFonts w:asciiTheme="majorHAnsi" w:eastAsia="PMingLiU" w:hAnsiTheme="majorHAnsi" w:cs="Arial"/>
                <w:spacing w:val="-10"/>
                <w:sz w:val="22"/>
                <w:szCs w:val="22"/>
              </w:rPr>
            </w:pPr>
            <w:r>
              <w:rPr>
                <w:rFonts w:asciiTheme="majorHAnsi" w:hAnsiTheme="majorHAnsi" w:cs="Arial"/>
                <w:spacing w:val="-10"/>
                <w:sz w:val="22"/>
                <w:szCs w:val="22"/>
              </w:rPr>
              <w:t xml:space="preserve">Opd FU </w:t>
            </w:r>
          </w:p>
        </w:tc>
        <w:tc>
          <w:tcPr>
            <w:tcW w:w="943" w:type="pct"/>
          </w:tcPr>
          <w:p w14:paraId="4B2E3108"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67E45A92" w14:textId="77777777" w:rsidTr="004A05F4">
        <w:tc>
          <w:tcPr>
            <w:tcW w:w="321" w:type="pct"/>
          </w:tcPr>
          <w:p w14:paraId="350A4B3C" w14:textId="77777777" w:rsidR="004A05F4" w:rsidRPr="00E735A4" w:rsidRDefault="004A05F4" w:rsidP="004A05F4">
            <w:pPr>
              <w:spacing w:before="120" w:after="120" w:line="220" w:lineRule="exact"/>
              <w:rPr>
                <w:rFonts w:asciiTheme="majorHAnsi" w:hAnsiTheme="majorHAnsi" w:cs="Arial"/>
                <w:b/>
                <w:sz w:val="22"/>
                <w:szCs w:val="22"/>
              </w:rPr>
            </w:pPr>
            <w:r w:rsidRPr="00AE35E5">
              <w:t>10b</w:t>
            </w:r>
          </w:p>
        </w:tc>
        <w:tc>
          <w:tcPr>
            <w:tcW w:w="1031" w:type="pct"/>
            <w:vMerge w:val="restart"/>
            <w:vAlign w:val="center"/>
          </w:tcPr>
          <w:p w14:paraId="66F4FB36"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Outcomes</w:t>
            </w:r>
          </w:p>
        </w:tc>
        <w:tc>
          <w:tcPr>
            <w:tcW w:w="2705" w:type="pct"/>
          </w:tcPr>
          <w:p w14:paraId="5F562C38" w14:textId="77777777" w:rsidR="004A05F4" w:rsidRPr="00E735A4" w:rsidRDefault="004A05F4" w:rsidP="004A05F4">
            <w:pPr>
              <w:spacing w:before="120" w:after="120" w:line="220" w:lineRule="exact"/>
              <w:rPr>
                <w:rFonts w:asciiTheme="majorHAnsi" w:eastAsia="PMingLiU" w:hAnsiTheme="majorHAnsi" w:cs="Arial"/>
                <w:spacing w:val="-10"/>
                <w:sz w:val="22"/>
                <w:szCs w:val="22"/>
              </w:rPr>
            </w:pPr>
            <w:r w:rsidRPr="00E735A4">
              <w:rPr>
                <w:rFonts w:asciiTheme="majorHAnsi" w:hAnsiTheme="majorHAnsi" w:cs="Arial"/>
                <w:spacing w:val="-10"/>
                <w:sz w:val="22"/>
                <w:szCs w:val="22"/>
              </w:rPr>
              <w:t>Important follow-up diagnostic evaluations</w:t>
            </w:r>
          </w:p>
        </w:tc>
        <w:tc>
          <w:tcPr>
            <w:tcW w:w="943" w:type="pct"/>
          </w:tcPr>
          <w:p w14:paraId="07EB45E0"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4024DECD" w14:textId="77777777" w:rsidTr="004A05F4">
        <w:tc>
          <w:tcPr>
            <w:tcW w:w="321" w:type="pct"/>
          </w:tcPr>
          <w:p w14:paraId="3E7375B8" w14:textId="77777777" w:rsidR="004A05F4" w:rsidRPr="00E735A4" w:rsidRDefault="004A05F4" w:rsidP="004A05F4">
            <w:pPr>
              <w:spacing w:before="120" w:after="120" w:line="220" w:lineRule="exact"/>
              <w:rPr>
                <w:rFonts w:asciiTheme="majorHAnsi" w:hAnsiTheme="majorHAnsi" w:cs="Arial"/>
                <w:b/>
                <w:sz w:val="22"/>
                <w:szCs w:val="22"/>
              </w:rPr>
            </w:pPr>
            <w:r w:rsidRPr="00AE35E5">
              <w:t>10c</w:t>
            </w:r>
          </w:p>
        </w:tc>
        <w:tc>
          <w:tcPr>
            <w:tcW w:w="1031" w:type="pct"/>
            <w:vMerge/>
            <w:vAlign w:val="center"/>
          </w:tcPr>
          <w:p w14:paraId="6E77F626"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0B2AF5A3"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Assessment of intervention adherence and tolerability, including adverse events</w:t>
            </w:r>
          </w:p>
        </w:tc>
        <w:tc>
          <w:tcPr>
            <w:tcW w:w="943" w:type="pct"/>
          </w:tcPr>
          <w:p w14:paraId="0A1E1C00"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26F016CB" w14:textId="77777777" w:rsidTr="004A05F4">
        <w:tc>
          <w:tcPr>
            <w:tcW w:w="321" w:type="pct"/>
          </w:tcPr>
          <w:p w14:paraId="61843E28" w14:textId="77777777" w:rsidR="004A05F4" w:rsidRPr="00E735A4" w:rsidRDefault="004A05F4" w:rsidP="004A05F4">
            <w:pPr>
              <w:spacing w:before="120" w:after="120" w:line="220" w:lineRule="exact"/>
              <w:rPr>
                <w:rFonts w:asciiTheme="majorHAnsi" w:hAnsiTheme="majorHAnsi" w:cs="Arial"/>
                <w:b/>
                <w:sz w:val="22"/>
                <w:szCs w:val="22"/>
              </w:rPr>
            </w:pPr>
            <w:r w:rsidRPr="00AE35E5">
              <w:t>11a</w:t>
            </w:r>
          </w:p>
        </w:tc>
        <w:tc>
          <w:tcPr>
            <w:tcW w:w="1031" w:type="pct"/>
            <w:vMerge w:val="restart"/>
            <w:vAlign w:val="center"/>
          </w:tcPr>
          <w:p w14:paraId="29515CA6"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Discussion</w:t>
            </w:r>
          </w:p>
        </w:tc>
        <w:tc>
          <w:tcPr>
            <w:tcW w:w="2705" w:type="pct"/>
          </w:tcPr>
          <w:p w14:paraId="315C1729" w14:textId="3FFA7A1A" w:rsidR="004A05F4" w:rsidRPr="00E735A4" w:rsidRDefault="00DB10F3" w:rsidP="004A05F4">
            <w:pPr>
              <w:spacing w:before="120" w:after="120" w:line="220" w:lineRule="exact"/>
              <w:rPr>
                <w:rFonts w:asciiTheme="majorHAnsi" w:hAnsiTheme="majorHAnsi" w:cs="Arial"/>
                <w:spacing w:val="-10"/>
                <w:sz w:val="22"/>
                <w:szCs w:val="22"/>
              </w:rPr>
            </w:pPr>
            <w:r>
              <w:rPr>
                <w:rFonts w:asciiTheme="majorHAnsi" w:hAnsiTheme="majorHAnsi" w:cs="Arial"/>
                <w:spacing w:val="-10"/>
                <w:sz w:val="22"/>
                <w:szCs w:val="22"/>
              </w:rPr>
              <w:t>THIS is rare presentation of a rare tumour. Limitation including being case report and late presentation of pateitn with no reports of previyos visits to other hospitals.</w:t>
            </w:r>
          </w:p>
        </w:tc>
        <w:tc>
          <w:tcPr>
            <w:tcW w:w="943" w:type="pct"/>
          </w:tcPr>
          <w:p w14:paraId="34F144FB" w14:textId="77777777" w:rsidR="004A05F4" w:rsidRPr="00E735A4" w:rsidRDefault="004A05F4" w:rsidP="004A05F4">
            <w:pPr>
              <w:spacing w:before="120" w:after="120" w:line="220" w:lineRule="exact"/>
              <w:rPr>
                <w:rFonts w:asciiTheme="majorHAnsi" w:hAnsiTheme="majorHAnsi" w:cs="Arial"/>
                <w:bCs/>
                <w:spacing w:val="-10"/>
                <w:sz w:val="22"/>
                <w:szCs w:val="22"/>
              </w:rPr>
            </w:pPr>
          </w:p>
        </w:tc>
      </w:tr>
      <w:tr w:rsidR="004A05F4" w:rsidRPr="00E735A4" w14:paraId="3185A0E5" w14:textId="77777777" w:rsidTr="004A05F4">
        <w:tc>
          <w:tcPr>
            <w:tcW w:w="321" w:type="pct"/>
          </w:tcPr>
          <w:p w14:paraId="63A739C5" w14:textId="77777777" w:rsidR="004A05F4" w:rsidRPr="00E735A4" w:rsidRDefault="004A05F4" w:rsidP="004A05F4">
            <w:pPr>
              <w:spacing w:before="120" w:after="120" w:line="220" w:lineRule="exact"/>
              <w:rPr>
                <w:rFonts w:asciiTheme="majorHAnsi" w:hAnsiTheme="majorHAnsi" w:cs="Arial"/>
                <w:spacing w:val="-10"/>
                <w:sz w:val="22"/>
                <w:szCs w:val="22"/>
              </w:rPr>
            </w:pPr>
            <w:r w:rsidRPr="00AE35E5">
              <w:t>11b</w:t>
            </w:r>
          </w:p>
        </w:tc>
        <w:tc>
          <w:tcPr>
            <w:tcW w:w="1031" w:type="pct"/>
            <w:vMerge/>
            <w:vAlign w:val="center"/>
          </w:tcPr>
          <w:p w14:paraId="2160141C" w14:textId="77777777" w:rsidR="004A05F4" w:rsidRPr="00E735A4" w:rsidRDefault="004A05F4" w:rsidP="004A05F4">
            <w:pPr>
              <w:spacing w:before="120" w:after="120" w:line="220" w:lineRule="exact"/>
              <w:rPr>
                <w:rFonts w:asciiTheme="majorHAnsi" w:hAnsiTheme="majorHAnsi" w:cs="Arial"/>
                <w:spacing w:val="-10"/>
                <w:sz w:val="22"/>
                <w:szCs w:val="22"/>
              </w:rPr>
            </w:pPr>
          </w:p>
        </w:tc>
        <w:tc>
          <w:tcPr>
            <w:tcW w:w="2705" w:type="pct"/>
          </w:tcPr>
          <w:p w14:paraId="7DF02BF8"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 xml:space="preserve">Specify how this case report informs practice or Clinical Practice Guidelines (CPG) </w:t>
            </w:r>
          </w:p>
        </w:tc>
        <w:tc>
          <w:tcPr>
            <w:tcW w:w="943" w:type="pct"/>
          </w:tcPr>
          <w:p w14:paraId="01D3B2F9" w14:textId="77777777" w:rsidR="004A05F4" w:rsidRPr="00E735A4" w:rsidRDefault="004A05F4" w:rsidP="004A05F4">
            <w:pPr>
              <w:spacing w:before="120" w:after="120" w:line="220" w:lineRule="exact"/>
              <w:rPr>
                <w:rFonts w:asciiTheme="majorHAnsi" w:hAnsiTheme="majorHAnsi" w:cs="Arial"/>
                <w:bCs/>
                <w:spacing w:val="-10"/>
                <w:sz w:val="22"/>
                <w:szCs w:val="22"/>
              </w:rPr>
            </w:pPr>
          </w:p>
        </w:tc>
      </w:tr>
      <w:tr w:rsidR="004A05F4" w:rsidRPr="00E735A4" w14:paraId="64DB0793" w14:textId="77777777" w:rsidTr="004A05F4">
        <w:tc>
          <w:tcPr>
            <w:tcW w:w="321" w:type="pct"/>
          </w:tcPr>
          <w:p w14:paraId="6E7A5200" w14:textId="77777777" w:rsidR="004A05F4" w:rsidRPr="00E735A4" w:rsidRDefault="004A05F4" w:rsidP="004A05F4">
            <w:pPr>
              <w:spacing w:before="120" w:after="120" w:line="220" w:lineRule="exact"/>
              <w:rPr>
                <w:rFonts w:asciiTheme="majorHAnsi" w:hAnsiTheme="majorHAnsi" w:cs="Arial"/>
                <w:spacing w:val="-10"/>
                <w:sz w:val="22"/>
                <w:szCs w:val="22"/>
              </w:rPr>
            </w:pPr>
            <w:r w:rsidRPr="00AE35E5">
              <w:t>11c</w:t>
            </w:r>
          </w:p>
        </w:tc>
        <w:tc>
          <w:tcPr>
            <w:tcW w:w="1031" w:type="pct"/>
            <w:vMerge/>
            <w:vAlign w:val="center"/>
          </w:tcPr>
          <w:p w14:paraId="65A8AE8D" w14:textId="77777777" w:rsidR="004A05F4" w:rsidRPr="00E735A4" w:rsidRDefault="004A05F4" w:rsidP="004A05F4">
            <w:pPr>
              <w:spacing w:before="120" w:after="120" w:line="220" w:lineRule="exact"/>
              <w:rPr>
                <w:rFonts w:asciiTheme="majorHAnsi" w:hAnsiTheme="majorHAnsi" w:cs="Arial"/>
                <w:spacing w:val="-10"/>
                <w:sz w:val="22"/>
                <w:szCs w:val="22"/>
              </w:rPr>
            </w:pPr>
          </w:p>
        </w:tc>
        <w:tc>
          <w:tcPr>
            <w:tcW w:w="2705" w:type="pct"/>
          </w:tcPr>
          <w:p w14:paraId="133D4E70"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How does this case report suggest a testable hypothesis?</w:t>
            </w:r>
          </w:p>
        </w:tc>
        <w:tc>
          <w:tcPr>
            <w:tcW w:w="943" w:type="pct"/>
          </w:tcPr>
          <w:p w14:paraId="31F6D1CA"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5819ED93" w14:textId="77777777" w:rsidTr="004A05F4">
        <w:tc>
          <w:tcPr>
            <w:tcW w:w="321" w:type="pct"/>
          </w:tcPr>
          <w:p w14:paraId="41BE8066" w14:textId="77777777" w:rsidR="004A05F4" w:rsidRPr="00E735A4" w:rsidRDefault="004A05F4" w:rsidP="004A05F4">
            <w:pPr>
              <w:spacing w:before="120" w:after="120" w:line="220" w:lineRule="exact"/>
              <w:rPr>
                <w:rFonts w:asciiTheme="majorHAnsi" w:hAnsiTheme="majorHAnsi" w:cs="Arial"/>
                <w:b/>
                <w:sz w:val="22"/>
                <w:szCs w:val="22"/>
              </w:rPr>
            </w:pPr>
            <w:r w:rsidRPr="00AE35E5">
              <w:t>11d</w:t>
            </w:r>
          </w:p>
        </w:tc>
        <w:tc>
          <w:tcPr>
            <w:tcW w:w="1031" w:type="pct"/>
            <w:vMerge/>
            <w:vAlign w:val="center"/>
          </w:tcPr>
          <w:p w14:paraId="44509568" w14:textId="77777777" w:rsidR="004A05F4" w:rsidRPr="00E735A4" w:rsidRDefault="004A05F4" w:rsidP="004A05F4">
            <w:pPr>
              <w:spacing w:before="120" w:after="120" w:line="220" w:lineRule="exact"/>
              <w:rPr>
                <w:rFonts w:asciiTheme="majorHAnsi" w:hAnsiTheme="majorHAnsi" w:cs="Arial"/>
                <w:b/>
                <w:sz w:val="22"/>
                <w:szCs w:val="22"/>
              </w:rPr>
            </w:pPr>
          </w:p>
        </w:tc>
        <w:tc>
          <w:tcPr>
            <w:tcW w:w="2705" w:type="pct"/>
          </w:tcPr>
          <w:p w14:paraId="62809424"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 xml:space="preserve">Conclusions and rationale </w:t>
            </w:r>
          </w:p>
        </w:tc>
        <w:tc>
          <w:tcPr>
            <w:tcW w:w="943" w:type="pct"/>
          </w:tcPr>
          <w:p w14:paraId="79C00F5A"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060AAEC5" w14:textId="77777777" w:rsidTr="004A05F4">
        <w:tc>
          <w:tcPr>
            <w:tcW w:w="321" w:type="pct"/>
          </w:tcPr>
          <w:p w14:paraId="75BC003C" w14:textId="77777777" w:rsidR="004A05F4" w:rsidRPr="00E735A4" w:rsidRDefault="004A05F4" w:rsidP="004A05F4">
            <w:pPr>
              <w:spacing w:before="120" w:after="120" w:line="220" w:lineRule="exact"/>
              <w:rPr>
                <w:rFonts w:asciiTheme="majorHAnsi" w:hAnsiTheme="majorHAnsi" w:cs="Arial"/>
                <w:b/>
                <w:sz w:val="22"/>
                <w:szCs w:val="22"/>
              </w:rPr>
            </w:pPr>
            <w:r w:rsidRPr="00AE35E5">
              <w:t>12</w:t>
            </w:r>
          </w:p>
        </w:tc>
        <w:tc>
          <w:tcPr>
            <w:tcW w:w="1031" w:type="pct"/>
            <w:vAlign w:val="center"/>
          </w:tcPr>
          <w:p w14:paraId="4861E3D9"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Patient Perspective</w:t>
            </w:r>
          </w:p>
        </w:tc>
        <w:tc>
          <w:tcPr>
            <w:tcW w:w="2705" w:type="pct"/>
          </w:tcPr>
          <w:p w14:paraId="6E6EE4F4"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When appropriate include the assessment of the patient or client on this episode of care</w:t>
            </w:r>
          </w:p>
        </w:tc>
        <w:tc>
          <w:tcPr>
            <w:tcW w:w="943" w:type="pct"/>
          </w:tcPr>
          <w:p w14:paraId="2F525EC6" w14:textId="77777777" w:rsidR="004A05F4" w:rsidRPr="00E735A4" w:rsidRDefault="004A05F4" w:rsidP="004A05F4">
            <w:pPr>
              <w:spacing w:before="120" w:after="120" w:line="220" w:lineRule="exact"/>
              <w:rPr>
                <w:rFonts w:asciiTheme="majorHAnsi" w:hAnsiTheme="majorHAnsi" w:cs="Arial"/>
                <w:bCs/>
                <w:spacing w:val="-10"/>
                <w:sz w:val="22"/>
                <w:szCs w:val="22"/>
              </w:rPr>
            </w:pPr>
          </w:p>
        </w:tc>
      </w:tr>
      <w:tr w:rsidR="004A05F4" w:rsidRPr="00E735A4" w14:paraId="60421AA4" w14:textId="77777777" w:rsidTr="004A05F4">
        <w:tc>
          <w:tcPr>
            <w:tcW w:w="321" w:type="pct"/>
          </w:tcPr>
          <w:p w14:paraId="62DF7110" w14:textId="77777777" w:rsidR="004A05F4" w:rsidRPr="00E735A4" w:rsidRDefault="004A05F4" w:rsidP="004A05F4">
            <w:pPr>
              <w:spacing w:before="120" w:after="120" w:line="220" w:lineRule="exact"/>
              <w:rPr>
                <w:rFonts w:asciiTheme="majorHAnsi" w:hAnsiTheme="majorHAnsi" w:cs="Arial"/>
                <w:b/>
                <w:sz w:val="22"/>
                <w:szCs w:val="22"/>
              </w:rPr>
            </w:pPr>
            <w:r w:rsidRPr="00AE35E5">
              <w:t>13</w:t>
            </w:r>
          </w:p>
        </w:tc>
        <w:tc>
          <w:tcPr>
            <w:tcW w:w="1031" w:type="pct"/>
            <w:vAlign w:val="center"/>
          </w:tcPr>
          <w:p w14:paraId="3101672D"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Informed Consent</w:t>
            </w:r>
          </w:p>
        </w:tc>
        <w:tc>
          <w:tcPr>
            <w:tcW w:w="2705" w:type="pct"/>
          </w:tcPr>
          <w:p w14:paraId="1DE00690" w14:textId="5207CAC8" w:rsidR="004A05F4" w:rsidRPr="00E735A4" w:rsidRDefault="002109C1" w:rsidP="004A05F4">
            <w:pPr>
              <w:spacing w:before="120" w:after="120" w:line="220" w:lineRule="exact"/>
              <w:rPr>
                <w:rFonts w:asciiTheme="majorHAnsi" w:hAnsiTheme="majorHAnsi" w:cs="Arial"/>
                <w:spacing w:val="-10"/>
                <w:sz w:val="22"/>
                <w:szCs w:val="22"/>
              </w:rPr>
            </w:pPr>
            <w:r>
              <w:rPr>
                <w:rFonts w:asciiTheme="majorHAnsi" w:hAnsiTheme="majorHAnsi" w:cs="Arial"/>
                <w:spacing w:val="-10"/>
                <w:sz w:val="22"/>
                <w:szCs w:val="22"/>
              </w:rPr>
              <w:t>Uploaded with the manuscript and other files</w:t>
            </w:r>
          </w:p>
        </w:tc>
        <w:tc>
          <w:tcPr>
            <w:tcW w:w="943" w:type="pct"/>
          </w:tcPr>
          <w:p w14:paraId="3668744A" w14:textId="77777777" w:rsidR="004A05F4" w:rsidRPr="00E735A4" w:rsidRDefault="004A05F4" w:rsidP="004A05F4">
            <w:pPr>
              <w:spacing w:before="120" w:after="120" w:line="220" w:lineRule="exact"/>
              <w:rPr>
                <w:rFonts w:asciiTheme="majorHAnsi" w:hAnsiTheme="majorHAnsi" w:cs="Arial"/>
                <w:bCs/>
                <w:sz w:val="22"/>
                <w:szCs w:val="22"/>
              </w:rPr>
            </w:pPr>
          </w:p>
        </w:tc>
      </w:tr>
      <w:tr w:rsidR="004A05F4" w:rsidRPr="00E735A4" w14:paraId="680DA5E2" w14:textId="77777777" w:rsidTr="004A05F4">
        <w:tc>
          <w:tcPr>
            <w:tcW w:w="321" w:type="pct"/>
          </w:tcPr>
          <w:p w14:paraId="6304E4A9" w14:textId="77777777" w:rsidR="004A05F4" w:rsidRPr="00E735A4" w:rsidRDefault="004A05F4" w:rsidP="004A05F4">
            <w:pPr>
              <w:spacing w:before="120" w:after="120" w:line="220" w:lineRule="exact"/>
              <w:rPr>
                <w:rFonts w:asciiTheme="majorHAnsi" w:hAnsiTheme="majorHAnsi" w:cs="Arial"/>
                <w:b/>
                <w:sz w:val="22"/>
                <w:szCs w:val="22"/>
              </w:rPr>
            </w:pPr>
            <w:r w:rsidRPr="00AE35E5">
              <w:t>14</w:t>
            </w:r>
          </w:p>
        </w:tc>
        <w:tc>
          <w:tcPr>
            <w:tcW w:w="1031" w:type="pct"/>
            <w:vAlign w:val="center"/>
          </w:tcPr>
          <w:p w14:paraId="4DC5147D" w14:textId="77777777" w:rsidR="004A05F4" w:rsidRPr="00E735A4" w:rsidRDefault="004A05F4" w:rsidP="004A05F4">
            <w:pPr>
              <w:spacing w:before="120" w:after="120" w:line="220" w:lineRule="exact"/>
              <w:rPr>
                <w:rFonts w:asciiTheme="majorHAnsi" w:hAnsiTheme="majorHAnsi" w:cs="Arial"/>
                <w:b/>
                <w:sz w:val="22"/>
                <w:szCs w:val="22"/>
              </w:rPr>
            </w:pPr>
            <w:r w:rsidRPr="00E735A4">
              <w:rPr>
                <w:rFonts w:asciiTheme="majorHAnsi" w:hAnsiTheme="majorHAnsi" w:cs="Arial"/>
                <w:b/>
                <w:sz w:val="22"/>
                <w:szCs w:val="22"/>
              </w:rPr>
              <w:t>Additional Information</w:t>
            </w:r>
          </w:p>
        </w:tc>
        <w:tc>
          <w:tcPr>
            <w:tcW w:w="2705" w:type="pct"/>
          </w:tcPr>
          <w:p w14:paraId="1CAFEB3C" w14:textId="77777777" w:rsidR="004A05F4" w:rsidRPr="00E735A4" w:rsidRDefault="004A05F4" w:rsidP="004A05F4">
            <w:pPr>
              <w:spacing w:before="120" w:after="120" w:line="220" w:lineRule="exact"/>
              <w:rPr>
                <w:rFonts w:asciiTheme="majorHAnsi" w:hAnsiTheme="majorHAnsi" w:cs="Arial"/>
                <w:spacing w:val="-10"/>
                <w:sz w:val="22"/>
                <w:szCs w:val="22"/>
              </w:rPr>
            </w:pPr>
            <w:r w:rsidRPr="00E735A4">
              <w:rPr>
                <w:rFonts w:asciiTheme="majorHAnsi" w:hAnsiTheme="majorHAnsi" w:cs="Arial"/>
                <w:spacing w:val="-10"/>
                <w:sz w:val="22"/>
                <w:szCs w:val="22"/>
              </w:rPr>
              <w:t>Acknowledgement section; Competing Interests</w:t>
            </w:r>
            <w:r>
              <w:rPr>
                <w:rFonts w:asciiTheme="majorHAnsi" w:hAnsiTheme="majorHAnsi" w:cs="Arial"/>
                <w:spacing w:val="-10"/>
                <w:sz w:val="22"/>
                <w:szCs w:val="22"/>
              </w:rPr>
              <w:t xml:space="preserve"> (Conflict of Interests statement)</w:t>
            </w:r>
            <w:r w:rsidRPr="00E735A4">
              <w:rPr>
                <w:rFonts w:asciiTheme="majorHAnsi" w:hAnsiTheme="majorHAnsi" w:cs="Arial"/>
                <w:spacing w:val="-10"/>
                <w:sz w:val="22"/>
                <w:szCs w:val="22"/>
              </w:rPr>
              <w:t>; IRB approval</w:t>
            </w:r>
            <w:r>
              <w:rPr>
                <w:rFonts w:asciiTheme="majorHAnsi" w:hAnsiTheme="majorHAnsi" w:cs="Arial"/>
                <w:spacing w:val="-10"/>
                <w:sz w:val="22"/>
                <w:szCs w:val="22"/>
              </w:rPr>
              <w:t>, (Ethical Committee Approval)</w:t>
            </w:r>
            <w:r w:rsidRPr="00E735A4">
              <w:rPr>
                <w:rFonts w:asciiTheme="majorHAnsi" w:hAnsiTheme="majorHAnsi" w:cs="Arial"/>
                <w:spacing w:val="-10"/>
                <w:sz w:val="22"/>
                <w:szCs w:val="22"/>
              </w:rPr>
              <w:t xml:space="preserve"> when required</w:t>
            </w:r>
          </w:p>
        </w:tc>
        <w:tc>
          <w:tcPr>
            <w:tcW w:w="943" w:type="pct"/>
          </w:tcPr>
          <w:p w14:paraId="23E01EE3" w14:textId="77777777" w:rsidR="004A05F4" w:rsidRPr="00E735A4" w:rsidRDefault="004A05F4" w:rsidP="004A05F4">
            <w:pPr>
              <w:spacing w:before="120" w:after="120" w:line="220" w:lineRule="exact"/>
              <w:rPr>
                <w:rFonts w:asciiTheme="majorHAnsi" w:hAnsiTheme="majorHAnsi" w:cs="Arial"/>
                <w:bCs/>
                <w:sz w:val="22"/>
                <w:szCs w:val="22"/>
              </w:rPr>
            </w:pPr>
          </w:p>
        </w:tc>
      </w:tr>
    </w:tbl>
    <w:p w14:paraId="6EA1AA83" w14:textId="77777777" w:rsidR="00D02DC7" w:rsidRDefault="00D02DC7" w:rsidP="00AA2A7D">
      <w:pPr>
        <w:rPr>
          <w:rFonts w:asciiTheme="majorHAnsi" w:hAnsiTheme="majorHAnsi"/>
          <w:b/>
          <w:sz w:val="8"/>
          <w:szCs w:val="8"/>
        </w:rPr>
      </w:pPr>
    </w:p>
    <w:p w14:paraId="4B175482" w14:textId="77777777" w:rsidR="00C34555" w:rsidRPr="00C34555" w:rsidRDefault="00C34555" w:rsidP="004A05F4">
      <w:pPr>
        <w:ind w:left="270"/>
        <w:rPr>
          <w:rFonts w:asciiTheme="majorHAnsi" w:hAnsiTheme="majorHAnsi"/>
          <w:bCs/>
          <w:color w:val="FF0000"/>
        </w:rPr>
      </w:pPr>
      <w:r>
        <w:rPr>
          <w:rFonts w:asciiTheme="majorHAnsi" w:hAnsiTheme="majorHAnsi"/>
          <w:b/>
        </w:rPr>
        <w:t xml:space="preserve">Summary of the case </w:t>
      </w:r>
    </w:p>
    <w:p w14:paraId="5911CEE0" w14:textId="77777777" w:rsidR="00C34555" w:rsidRDefault="00C34555" w:rsidP="00AA2A7D">
      <w:pPr>
        <w:rPr>
          <w:rFonts w:asciiTheme="majorHAnsi" w:hAnsiTheme="majorHAnsi"/>
          <w:b/>
          <w:sz w:val="8"/>
          <w:szCs w:val="8"/>
        </w:rPr>
      </w:pPr>
    </w:p>
    <w:tbl>
      <w:tblPr>
        <w:tblStyle w:val="a3"/>
        <w:tblW w:w="4582" w:type="pct"/>
        <w:tblInd w:w="468" w:type="dxa"/>
        <w:tblLook w:val="04A0" w:firstRow="1" w:lastRow="0" w:firstColumn="1" w:lastColumn="0" w:noHBand="0" w:noVBand="1"/>
      </w:tblPr>
      <w:tblGrid>
        <w:gridCol w:w="888"/>
        <w:gridCol w:w="2925"/>
        <w:gridCol w:w="10289"/>
      </w:tblGrid>
      <w:tr w:rsidR="004A05F4" w:rsidRPr="008038F4" w14:paraId="4369F265" w14:textId="77777777" w:rsidTr="00233889">
        <w:tc>
          <w:tcPr>
            <w:tcW w:w="315" w:type="pct"/>
            <w:vAlign w:val="center"/>
          </w:tcPr>
          <w:p w14:paraId="1B3A4470" w14:textId="77777777" w:rsidR="004A05F4" w:rsidRPr="00734F0C" w:rsidRDefault="004A05F4" w:rsidP="00767FF6">
            <w:pPr>
              <w:pStyle w:val="Default"/>
              <w:rPr>
                <w:b/>
                <w:bCs/>
                <w:sz w:val="22"/>
                <w:szCs w:val="22"/>
              </w:rPr>
            </w:pPr>
            <w:r>
              <w:rPr>
                <w:sz w:val="23"/>
                <w:szCs w:val="23"/>
              </w:rPr>
              <w:t xml:space="preserve">1 </w:t>
            </w:r>
          </w:p>
        </w:tc>
        <w:tc>
          <w:tcPr>
            <w:tcW w:w="1037" w:type="pct"/>
            <w:vAlign w:val="center"/>
          </w:tcPr>
          <w:p w14:paraId="25604718" w14:textId="77777777" w:rsidR="004A05F4" w:rsidRPr="00734F0C" w:rsidRDefault="004A05F4" w:rsidP="00767FF6">
            <w:pPr>
              <w:pStyle w:val="Default"/>
              <w:rPr>
                <w:sz w:val="22"/>
                <w:szCs w:val="22"/>
              </w:rPr>
            </w:pPr>
            <w:r w:rsidRPr="00734F0C">
              <w:rPr>
                <w:b/>
                <w:bCs/>
                <w:sz w:val="22"/>
                <w:szCs w:val="22"/>
              </w:rPr>
              <w:t>Patient (gender, age)</w:t>
            </w:r>
          </w:p>
        </w:tc>
        <w:tc>
          <w:tcPr>
            <w:tcW w:w="3648" w:type="pct"/>
            <w:vAlign w:val="center"/>
          </w:tcPr>
          <w:p w14:paraId="7994255A" w14:textId="6B6ECCFC" w:rsidR="004A05F4" w:rsidRPr="00AA1F5F" w:rsidRDefault="002109C1" w:rsidP="00767FF6">
            <w:pPr>
              <w:pStyle w:val="Default"/>
              <w:rPr>
                <w:sz w:val="22"/>
                <w:szCs w:val="22"/>
              </w:rPr>
            </w:pPr>
            <w:r>
              <w:rPr>
                <w:sz w:val="22"/>
                <w:szCs w:val="22"/>
              </w:rPr>
              <w:t>42 female</w:t>
            </w:r>
          </w:p>
        </w:tc>
      </w:tr>
      <w:tr w:rsidR="004A05F4" w:rsidRPr="008038F4" w14:paraId="1945DBD1" w14:textId="77777777" w:rsidTr="00233889">
        <w:tc>
          <w:tcPr>
            <w:tcW w:w="315" w:type="pct"/>
            <w:vAlign w:val="center"/>
          </w:tcPr>
          <w:p w14:paraId="5284DA8B" w14:textId="77777777" w:rsidR="004A05F4" w:rsidRPr="00734F0C" w:rsidRDefault="004A05F4" w:rsidP="00767FF6">
            <w:pPr>
              <w:pStyle w:val="Default"/>
              <w:rPr>
                <w:b/>
                <w:bCs/>
                <w:sz w:val="22"/>
                <w:szCs w:val="22"/>
              </w:rPr>
            </w:pPr>
            <w:r>
              <w:rPr>
                <w:sz w:val="23"/>
                <w:szCs w:val="23"/>
              </w:rPr>
              <w:t xml:space="preserve">2 </w:t>
            </w:r>
          </w:p>
        </w:tc>
        <w:tc>
          <w:tcPr>
            <w:tcW w:w="1037" w:type="pct"/>
            <w:vAlign w:val="center"/>
          </w:tcPr>
          <w:p w14:paraId="4DC0D5C5" w14:textId="77777777" w:rsidR="004A05F4" w:rsidRPr="00734F0C" w:rsidRDefault="004A05F4" w:rsidP="00767FF6">
            <w:pPr>
              <w:pStyle w:val="Default"/>
              <w:rPr>
                <w:sz w:val="22"/>
                <w:szCs w:val="22"/>
              </w:rPr>
            </w:pPr>
            <w:r w:rsidRPr="00734F0C">
              <w:rPr>
                <w:b/>
                <w:bCs/>
                <w:sz w:val="22"/>
                <w:szCs w:val="22"/>
              </w:rPr>
              <w:t xml:space="preserve">Final Diagnosis </w:t>
            </w:r>
          </w:p>
        </w:tc>
        <w:tc>
          <w:tcPr>
            <w:tcW w:w="3648" w:type="pct"/>
            <w:vAlign w:val="center"/>
          </w:tcPr>
          <w:p w14:paraId="79D5C725" w14:textId="4A2AF2F5" w:rsidR="004A05F4" w:rsidRPr="00734F0C" w:rsidRDefault="002109C1" w:rsidP="00767FF6">
            <w:pPr>
              <w:pStyle w:val="Default"/>
              <w:rPr>
                <w:rFonts w:asciiTheme="majorHAnsi" w:hAnsiTheme="majorHAnsi" w:cstheme="majorHAnsi"/>
                <w:sz w:val="22"/>
                <w:szCs w:val="22"/>
              </w:rPr>
            </w:pPr>
            <w:r>
              <w:rPr>
                <w:rFonts w:asciiTheme="majorHAnsi" w:hAnsiTheme="majorHAnsi" w:cstheme="majorHAnsi"/>
                <w:sz w:val="22"/>
                <w:szCs w:val="22"/>
              </w:rPr>
              <w:t>Endolymphatic sac tumour</w:t>
            </w:r>
          </w:p>
        </w:tc>
      </w:tr>
      <w:tr w:rsidR="004A05F4" w:rsidRPr="008038F4" w14:paraId="442EFADE" w14:textId="77777777" w:rsidTr="00233889">
        <w:tc>
          <w:tcPr>
            <w:tcW w:w="315" w:type="pct"/>
            <w:vAlign w:val="center"/>
          </w:tcPr>
          <w:p w14:paraId="280EA0B1" w14:textId="77777777" w:rsidR="004A05F4" w:rsidRPr="00734F0C" w:rsidRDefault="004A05F4" w:rsidP="00767FF6">
            <w:pPr>
              <w:pStyle w:val="Default"/>
              <w:rPr>
                <w:b/>
                <w:bCs/>
                <w:sz w:val="22"/>
                <w:szCs w:val="22"/>
              </w:rPr>
            </w:pPr>
            <w:r>
              <w:rPr>
                <w:sz w:val="23"/>
                <w:szCs w:val="23"/>
              </w:rPr>
              <w:t xml:space="preserve">3 </w:t>
            </w:r>
          </w:p>
        </w:tc>
        <w:tc>
          <w:tcPr>
            <w:tcW w:w="1037" w:type="pct"/>
            <w:vAlign w:val="center"/>
          </w:tcPr>
          <w:p w14:paraId="54376FE1" w14:textId="77777777" w:rsidR="004A05F4" w:rsidRPr="00734F0C" w:rsidRDefault="004A05F4" w:rsidP="00767FF6">
            <w:pPr>
              <w:pStyle w:val="Default"/>
              <w:rPr>
                <w:sz w:val="22"/>
                <w:szCs w:val="22"/>
              </w:rPr>
            </w:pPr>
            <w:r w:rsidRPr="00734F0C">
              <w:rPr>
                <w:b/>
                <w:bCs/>
                <w:sz w:val="22"/>
                <w:szCs w:val="22"/>
              </w:rPr>
              <w:t xml:space="preserve">Symptoms </w:t>
            </w:r>
          </w:p>
        </w:tc>
        <w:tc>
          <w:tcPr>
            <w:tcW w:w="3648" w:type="pct"/>
            <w:vAlign w:val="center"/>
          </w:tcPr>
          <w:p w14:paraId="6DCBF2D0" w14:textId="4D968956" w:rsidR="004A05F4" w:rsidRPr="00734F0C" w:rsidRDefault="002109C1" w:rsidP="00767FF6">
            <w:pPr>
              <w:pStyle w:val="Default"/>
              <w:rPr>
                <w:rFonts w:asciiTheme="majorHAnsi" w:hAnsiTheme="majorHAnsi" w:cstheme="majorHAnsi"/>
                <w:sz w:val="22"/>
                <w:szCs w:val="22"/>
              </w:rPr>
            </w:pPr>
            <w:r>
              <w:rPr>
                <w:rFonts w:asciiTheme="majorHAnsi" w:hAnsiTheme="majorHAnsi" w:cstheme="majorHAnsi"/>
                <w:sz w:val="22"/>
                <w:szCs w:val="22"/>
              </w:rPr>
              <w:t>Hearing loss, facial paralysis headach</w:t>
            </w:r>
          </w:p>
        </w:tc>
      </w:tr>
      <w:tr w:rsidR="004A05F4" w:rsidRPr="008038F4" w14:paraId="6B78EA3E" w14:textId="77777777" w:rsidTr="00233889">
        <w:tc>
          <w:tcPr>
            <w:tcW w:w="315" w:type="pct"/>
            <w:vAlign w:val="center"/>
          </w:tcPr>
          <w:p w14:paraId="595AE04D" w14:textId="77777777" w:rsidR="004A05F4" w:rsidRPr="00734F0C" w:rsidRDefault="004A05F4" w:rsidP="00767FF6">
            <w:pPr>
              <w:pStyle w:val="Default"/>
              <w:rPr>
                <w:b/>
                <w:bCs/>
                <w:sz w:val="22"/>
                <w:szCs w:val="22"/>
              </w:rPr>
            </w:pPr>
            <w:r>
              <w:rPr>
                <w:sz w:val="23"/>
                <w:szCs w:val="23"/>
              </w:rPr>
              <w:t xml:space="preserve">4 </w:t>
            </w:r>
          </w:p>
        </w:tc>
        <w:tc>
          <w:tcPr>
            <w:tcW w:w="1037" w:type="pct"/>
            <w:vAlign w:val="center"/>
          </w:tcPr>
          <w:p w14:paraId="0E5BD905" w14:textId="77777777" w:rsidR="004A05F4" w:rsidRPr="00734F0C" w:rsidRDefault="004A05F4" w:rsidP="00767FF6">
            <w:pPr>
              <w:pStyle w:val="Default"/>
              <w:rPr>
                <w:sz w:val="22"/>
                <w:szCs w:val="22"/>
              </w:rPr>
            </w:pPr>
            <w:r w:rsidRPr="00734F0C">
              <w:rPr>
                <w:b/>
                <w:bCs/>
                <w:sz w:val="22"/>
                <w:szCs w:val="22"/>
              </w:rPr>
              <w:t xml:space="preserve">Medications </w:t>
            </w:r>
          </w:p>
        </w:tc>
        <w:tc>
          <w:tcPr>
            <w:tcW w:w="3648" w:type="pct"/>
            <w:vAlign w:val="center"/>
          </w:tcPr>
          <w:p w14:paraId="74A14FA2" w14:textId="41940108" w:rsidR="004A05F4" w:rsidRPr="00AA1F5F" w:rsidRDefault="002109C1" w:rsidP="00767FF6">
            <w:pPr>
              <w:pStyle w:val="Default"/>
              <w:rPr>
                <w:sz w:val="22"/>
                <w:szCs w:val="22"/>
              </w:rPr>
            </w:pPr>
            <w:r>
              <w:rPr>
                <w:sz w:val="22"/>
                <w:szCs w:val="22"/>
              </w:rPr>
              <w:t>Iv antibiotics, analgesia, steroids , enoxaparin</w:t>
            </w:r>
          </w:p>
        </w:tc>
      </w:tr>
      <w:tr w:rsidR="004A05F4" w:rsidRPr="008038F4" w14:paraId="1B28FD50" w14:textId="77777777" w:rsidTr="00233889">
        <w:tc>
          <w:tcPr>
            <w:tcW w:w="315" w:type="pct"/>
            <w:vAlign w:val="center"/>
          </w:tcPr>
          <w:p w14:paraId="18BF380C" w14:textId="77777777" w:rsidR="004A05F4" w:rsidRPr="00734F0C" w:rsidRDefault="004A05F4" w:rsidP="00767FF6">
            <w:pPr>
              <w:pStyle w:val="Default"/>
              <w:rPr>
                <w:b/>
                <w:bCs/>
                <w:sz w:val="22"/>
                <w:szCs w:val="22"/>
              </w:rPr>
            </w:pPr>
            <w:r>
              <w:rPr>
                <w:sz w:val="23"/>
                <w:szCs w:val="23"/>
              </w:rPr>
              <w:t xml:space="preserve">5 </w:t>
            </w:r>
          </w:p>
        </w:tc>
        <w:tc>
          <w:tcPr>
            <w:tcW w:w="1037" w:type="pct"/>
            <w:vAlign w:val="center"/>
          </w:tcPr>
          <w:p w14:paraId="7AD5F102" w14:textId="77777777" w:rsidR="004A05F4" w:rsidRPr="00734F0C" w:rsidRDefault="004A05F4" w:rsidP="00767FF6">
            <w:pPr>
              <w:pStyle w:val="Default"/>
              <w:rPr>
                <w:sz w:val="22"/>
                <w:szCs w:val="22"/>
              </w:rPr>
            </w:pPr>
            <w:r w:rsidRPr="00734F0C">
              <w:rPr>
                <w:b/>
                <w:bCs/>
                <w:sz w:val="22"/>
                <w:szCs w:val="22"/>
              </w:rPr>
              <w:t xml:space="preserve">Clinical Procedure </w:t>
            </w:r>
          </w:p>
        </w:tc>
        <w:tc>
          <w:tcPr>
            <w:tcW w:w="3648" w:type="pct"/>
            <w:vAlign w:val="center"/>
          </w:tcPr>
          <w:p w14:paraId="7C8BD2F5" w14:textId="6BEADF68" w:rsidR="004A05F4" w:rsidRPr="00AA1F5F" w:rsidRDefault="002109C1" w:rsidP="00767FF6">
            <w:pPr>
              <w:pStyle w:val="Default"/>
              <w:rPr>
                <w:sz w:val="22"/>
                <w:szCs w:val="22"/>
              </w:rPr>
            </w:pPr>
            <w:r w:rsidRPr="00DB10F3">
              <w:rPr>
                <w:rFonts w:asciiTheme="majorHAnsi" w:hAnsiTheme="majorHAnsi" w:cs="Arial"/>
                <w:sz w:val="22"/>
                <w:szCs w:val="22"/>
              </w:rPr>
              <w:t>surgical resection of the tumor via a transmastoid-translabyrinthine approach</w:t>
            </w:r>
          </w:p>
        </w:tc>
      </w:tr>
      <w:tr w:rsidR="004A05F4" w:rsidRPr="008038F4" w14:paraId="300B2F0F" w14:textId="77777777" w:rsidTr="00233889">
        <w:tc>
          <w:tcPr>
            <w:tcW w:w="315" w:type="pct"/>
            <w:vAlign w:val="center"/>
          </w:tcPr>
          <w:p w14:paraId="0E8AA6BB" w14:textId="77777777" w:rsidR="004A05F4" w:rsidRPr="00734F0C" w:rsidRDefault="004A05F4" w:rsidP="00767FF6">
            <w:pPr>
              <w:pStyle w:val="Default"/>
              <w:rPr>
                <w:b/>
                <w:bCs/>
                <w:sz w:val="22"/>
                <w:szCs w:val="22"/>
              </w:rPr>
            </w:pPr>
            <w:r>
              <w:rPr>
                <w:sz w:val="23"/>
                <w:szCs w:val="23"/>
              </w:rPr>
              <w:t xml:space="preserve">6 </w:t>
            </w:r>
          </w:p>
        </w:tc>
        <w:tc>
          <w:tcPr>
            <w:tcW w:w="1037" w:type="pct"/>
            <w:vAlign w:val="center"/>
          </w:tcPr>
          <w:p w14:paraId="782AFE0A" w14:textId="77777777" w:rsidR="004A05F4" w:rsidRPr="00734F0C" w:rsidRDefault="004A05F4" w:rsidP="00767FF6">
            <w:pPr>
              <w:pStyle w:val="Default"/>
              <w:rPr>
                <w:sz w:val="22"/>
                <w:szCs w:val="22"/>
              </w:rPr>
            </w:pPr>
            <w:r w:rsidRPr="00734F0C">
              <w:rPr>
                <w:b/>
                <w:bCs/>
                <w:sz w:val="22"/>
                <w:szCs w:val="22"/>
              </w:rPr>
              <w:t xml:space="preserve">Specialty </w:t>
            </w:r>
          </w:p>
        </w:tc>
        <w:tc>
          <w:tcPr>
            <w:tcW w:w="3648" w:type="pct"/>
            <w:vAlign w:val="center"/>
          </w:tcPr>
          <w:p w14:paraId="2460C8FC" w14:textId="204707F9" w:rsidR="004A05F4" w:rsidRPr="00AA1F5F" w:rsidRDefault="002109C1" w:rsidP="00767FF6">
            <w:pPr>
              <w:pStyle w:val="Default"/>
              <w:rPr>
                <w:sz w:val="22"/>
                <w:szCs w:val="22"/>
              </w:rPr>
            </w:pPr>
            <w:r>
              <w:rPr>
                <w:sz w:val="22"/>
                <w:szCs w:val="22"/>
              </w:rPr>
              <w:t xml:space="preserve">Ent </w:t>
            </w:r>
          </w:p>
        </w:tc>
      </w:tr>
    </w:tbl>
    <w:p w14:paraId="38191F2D" w14:textId="77777777" w:rsidR="00C34555" w:rsidRPr="0033650D" w:rsidRDefault="00C34555" w:rsidP="00AA2A7D">
      <w:pPr>
        <w:rPr>
          <w:rFonts w:asciiTheme="majorHAnsi" w:hAnsiTheme="majorHAnsi"/>
          <w:b/>
          <w:sz w:val="8"/>
          <w:szCs w:val="8"/>
        </w:rPr>
      </w:pPr>
    </w:p>
    <w:sectPr w:rsidR="00C34555" w:rsidRPr="0033650D" w:rsidSect="00737EDE">
      <w:pgSz w:w="16838" w:h="11906" w:orient="landscape" w:code="9"/>
      <w:pgMar w:top="540" w:right="720" w:bottom="21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15DE" w14:textId="77777777" w:rsidR="00F524B0" w:rsidRDefault="00F524B0" w:rsidP="000717BB">
      <w:r>
        <w:separator/>
      </w:r>
    </w:p>
  </w:endnote>
  <w:endnote w:type="continuationSeparator" w:id="0">
    <w:p w14:paraId="740373E8" w14:textId="77777777" w:rsidR="00F524B0" w:rsidRDefault="00F524B0" w:rsidP="0007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4020202020204"/>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584C" w14:textId="77777777" w:rsidR="00F524B0" w:rsidRDefault="00F524B0" w:rsidP="000717BB">
      <w:r>
        <w:separator/>
      </w:r>
    </w:p>
  </w:footnote>
  <w:footnote w:type="continuationSeparator" w:id="0">
    <w:p w14:paraId="494292CA" w14:textId="77777777" w:rsidR="00F524B0" w:rsidRDefault="00F524B0" w:rsidP="00071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B68"/>
    <w:multiLevelType w:val="hybridMultilevel"/>
    <w:tmpl w:val="A95CC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183133F"/>
    <w:multiLevelType w:val="hybridMultilevel"/>
    <w:tmpl w:val="4782B690"/>
    <w:lvl w:ilvl="0" w:tplc="04090017">
      <w:start w:val="1"/>
      <w:numFmt w:val="lowerLetter"/>
      <w:lvlText w:val="%1)"/>
      <w:lvlJc w:val="left"/>
      <w:pPr>
        <w:ind w:left="720" w:hanging="360"/>
      </w:pPr>
    </w:lvl>
    <w:lvl w:ilvl="1" w:tplc="338ABF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57D2E"/>
    <w:multiLevelType w:val="hybridMultilevel"/>
    <w:tmpl w:val="ED046AAE"/>
    <w:lvl w:ilvl="0" w:tplc="6AF4B0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F0AC5"/>
    <w:multiLevelType w:val="hybridMultilevel"/>
    <w:tmpl w:val="91F83D9C"/>
    <w:lvl w:ilvl="0" w:tplc="BF886D6E">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C354F"/>
    <w:multiLevelType w:val="hybridMultilevel"/>
    <w:tmpl w:val="8A5692DA"/>
    <w:lvl w:ilvl="0" w:tplc="04090017">
      <w:start w:val="1"/>
      <w:numFmt w:val="lowerLetter"/>
      <w:lvlText w:val="%1)"/>
      <w:lvlJc w:val="left"/>
      <w:pPr>
        <w:ind w:left="720" w:hanging="360"/>
      </w:pPr>
    </w:lvl>
    <w:lvl w:ilvl="1" w:tplc="9D50968C">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B4193"/>
    <w:multiLevelType w:val="hybridMultilevel"/>
    <w:tmpl w:val="DA3E3CDE"/>
    <w:lvl w:ilvl="0" w:tplc="9D50968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0D07228"/>
    <w:multiLevelType w:val="hybridMultilevel"/>
    <w:tmpl w:val="50065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9F523B"/>
    <w:multiLevelType w:val="multilevel"/>
    <w:tmpl w:val="DA3E3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66F7F6F"/>
    <w:multiLevelType w:val="multilevel"/>
    <w:tmpl w:val="7884D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BE5609"/>
    <w:multiLevelType w:val="hybridMultilevel"/>
    <w:tmpl w:val="9B6640B4"/>
    <w:lvl w:ilvl="0" w:tplc="315E6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A2D4A"/>
    <w:multiLevelType w:val="hybridMultilevel"/>
    <w:tmpl w:val="73D8A5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94122"/>
    <w:multiLevelType w:val="multilevel"/>
    <w:tmpl w:val="ED046AAE"/>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535433"/>
    <w:multiLevelType w:val="multilevel"/>
    <w:tmpl w:val="F710D242"/>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184CF1"/>
    <w:multiLevelType w:val="multilevel"/>
    <w:tmpl w:val="9B664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956237"/>
    <w:multiLevelType w:val="multilevel"/>
    <w:tmpl w:val="50065E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D55F85"/>
    <w:multiLevelType w:val="hybridMultilevel"/>
    <w:tmpl w:val="56FC75C8"/>
    <w:lvl w:ilvl="0" w:tplc="9D50968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07FCF"/>
    <w:multiLevelType w:val="multilevel"/>
    <w:tmpl w:val="50065E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462893"/>
    <w:multiLevelType w:val="hybridMultilevel"/>
    <w:tmpl w:val="A1E2F5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123ED3"/>
    <w:multiLevelType w:val="multilevel"/>
    <w:tmpl w:val="67CC9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A40BC0"/>
    <w:multiLevelType w:val="hybridMultilevel"/>
    <w:tmpl w:val="F710D242"/>
    <w:lvl w:ilvl="0" w:tplc="6AF4B05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057F7"/>
    <w:multiLevelType w:val="hybridMultilevel"/>
    <w:tmpl w:val="BFD02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4F5244"/>
    <w:multiLevelType w:val="hybridMultilevel"/>
    <w:tmpl w:val="82EC127E"/>
    <w:lvl w:ilvl="0" w:tplc="315E60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CB50F0"/>
    <w:multiLevelType w:val="hybridMultilevel"/>
    <w:tmpl w:val="7884D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290984">
    <w:abstractNumId w:val="22"/>
  </w:num>
  <w:num w:numId="2" w16cid:durableId="1276713990">
    <w:abstractNumId w:val="8"/>
  </w:num>
  <w:num w:numId="3" w16cid:durableId="215092377">
    <w:abstractNumId w:val="6"/>
  </w:num>
  <w:num w:numId="4" w16cid:durableId="357778823">
    <w:abstractNumId w:val="16"/>
  </w:num>
  <w:num w:numId="5" w16cid:durableId="225727798">
    <w:abstractNumId w:val="14"/>
  </w:num>
  <w:num w:numId="6" w16cid:durableId="364521890">
    <w:abstractNumId w:val="3"/>
  </w:num>
  <w:num w:numId="7" w16cid:durableId="1394693344">
    <w:abstractNumId w:val="0"/>
  </w:num>
  <w:num w:numId="8" w16cid:durableId="1370304874">
    <w:abstractNumId w:val="5"/>
  </w:num>
  <w:num w:numId="9" w16cid:durableId="63451832">
    <w:abstractNumId w:val="7"/>
  </w:num>
  <w:num w:numId="10" w16cid:durableId="1682470935">
    <w:abstractNumId w:val="2"/>
  </w:num>
  <w:num w:numId="11" w16cid:durableId="961763393">
    <w:abstractNumId w:val="18"/>
  </w:num>
  <w:num w:numId="12" w16cid:durableId="428743734">
    <w:abstractNumId w:val="11"/>
  </w:num>
  <w:num w:numId="13" w16cid:durableId="755244884">
    <w:abstractNumId w:val="19"/>
  </w:num>
  <w:num w:numId="14" w16cid:durableId="1072391664">
    <w:abstractNumId w:val="12"/>
  </w:num>
  <w:num w:numId="15" w16cid:durableId="1704859766">
    <w:abstractNumId w:val="21"/>
  </w:num>
  <w:num w:numId="16" w16cid:durableId="1562592161">
    <w:abstractNumId w:val="9"/>
  </w:num>
  <w:num w:numId="17" w16cid:durableId="1824271003">
    <w:abstractNumId w:val="13"/>
  </w:num>
  <w:num w:numId="18" w16cid:durableId="575743944">
    <w:abstractNumId w:val="17"/>
  </w:num>
  <w:num w:numId="19" w16cid:durableId="1602641105">
    <w:abstractNumId w:val="15"/>
  </w:num>
  <w:num w:numId="20" w16cid:durableId="1900752017">
    <w:abstractNumId w:val="10"/>
  </w:num>
  <w:num w:numId="21" w16cid:durableId="1107968294">
    <w:abstractNumId w:val="4"/>
  </w:num>
  <w:num w:numId="22" w16cid:durableId="263652800">
    <w:abstractNumId w:val="1"/>
  </w:num>
  <w:num w:numId="23" w16cid:durableId="6869089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EzNTU2NbQ0NDU2NDZV0lEKTi0uzszPAymwqAUAv5r67CwAAAA="/>
  </w:docVars>
  <w:rsids>
    <w:rsidRoot w:val="00437929"/>
    <w:rsid w:val="00011BBC"/>
    <w:rsid w:val="000120A8"/>
    <w:rsid w:val="000150FB"/>
    <w:rsid w:val="000443C5"/>
    <w:rsid w:val="00055B3A"/>
    <w:rsid w:val="00057132"/>
    <w:rsid w:val="00064BC7"/>
    <w:rsid w:val="00064FD1"/>
    <w:rsid w:val="000717BB"/>
    <w:rsid w:val="00080643"/>
    <w:rsid w:val="000922F2"/>
    <w:rsid w:val="00092485"/>
    <w:rsid w:val="000B7F80"/>
    <w:rsid w:val="000C4E9F"/>
    <w:rsid w:val="000E5DFB"/>
    <w:rsid w:val="00150443"/>
    <w:rsid w:val="001807E9"/>
    <w:rsid w:val="0018652A"/>
    <w:rsid w:val="00191C69"/>
    <w:rsid w:val="001A11E1"/>
    <w:rsid w:val="001A601B"/>
    <w:rsid w:val="001A62CA"/>
    <w:rsid w:val="001E3891"/>
    <w:rsid w:val="001F5FC5"/>
    <w:rsid w:val="002109C1"/>
    <w:rsid w:val="00222750"/>
    <w:rsid w:val="00231FDE"/>
    <w:rsid w:val="00233889"/>
    <w:rsid w:val="00256DBE"/>
    <w:rsid w:val="00270950"/>
    <w:rsid w:val="00274942"/>
    <w:rsid w:val="00276343"/>
    <w:rsid w:val="0029224A"/>
    <w:rsid w:val="002A45C1"/>
    <w:rsid w:val="002A71F5"/>
    <w:rsid w:val="002B10EF"/>
    <w:rsid w:val="002D1E5D"/>
    <w:rsid w:val="002D482F"/>
    <w:rsid w:val="002E384F"/>
    <w:rsid w:val="002E553E"/>
    <w:rsid w:val="002E5F4A"/>
    <w:rsid w:val="002F186F"/>
    <w:rsid w:val="0033650D"/>
    <w:rsid w:val="003377AC"/>
    <w:rsid w:val="00365807"/>
    <w:rsid w:val="00374CA1"/>
    <w:rsid w:val="0039739A"/>
    <w:rsid w:val="003A0AEF"/>
    <w:rsid w:val="003B34D6"/>
    <w:rsid w:val="003B3775"/>
    <w:rsid w:val="003C069E"/>
    <w:rsid w:val="003F2145"/>
    <w:rsid w:val="003F6201"/>
    <w:rsid w:val="00402F6B"/>
    <w:rsid w:val="00404885"/>
    <w:rsid w:val="00420901"/>
    <w:rsid w:val="00431FAA"/>
    <w:rsid w:val="00437929"/>
    <w:rsid w:val="00452D2A"/>
    <w:rsid w:val="00476553"/>
    <w:rsid w:val="00482D8C"/>
    <w:rsid w:val="004A05F4"/>
    <w:rsid w:val="004C46F1"/>
    <w:rsid w:val="004D359B"/>
    <w:rsid w:val="004E1238"/>
    <w:rsid w:val="004E1B03"/>
    <w:rsid w:val="004E430A"/>
    <w:rsid w:val="00514A29"/>
    <w:rsid w:val="00521C8F"/>
    <w:rsid w:val="005311C2"/>
    <w:rsid w:val="00535C36"/>
    <w:rsid w:val="0053796E"/>
    <w:rsid w:val="00597E60"/>
    <w:rsid w:val="005B475C"/>
    <w:rsid w:val="005C3C79"/>
    <w:rsid w:val="005D1EFC"/>
    <w:rsid w:val="005D5210"/>
    <w:rsid w:val="00615F1A"/>
    <w:rsid w:val="006319E5"/>
    <w:rsid w:val="00643B92"/>
    <w:rsid w:val="00652B45"/>
    <w:rsid w:val="006537FB"/>
    <w:rsid w:val="00663EBB"/>
    <w:rsid w:val="00672701"/>
    <w:rsid w:val="00690107"/>
    <w:rsid w:val="006957B5"/>
    <w:rsid w:val="006A3EE9"/>
    <w:rsid w:val="006D1810"/>
    <w:rsid w:val="006F26A8"/>
    <w:rsid w:val="007245FD"/>
    <w:rsid w:val="00734F0C"/>
    <w:rsid w:val="00737EDE"/>
    <w:rsid w:val="00740C78"/>
    <w:rsid w:val="00751830"/>
    <w:rsid w:val="00767FF6"/>
    <w:rsid w:val="007E323B"/>
    <w:rsid w:val="007F11B1"/>
    <w:rsid w:val="007F5C29"/>
    <w:rsid w:val="00806CF9"/>
    <w:rsid w:val="008219B6"/>
    <w:rsid w:val="00821B59"/>
    <w:rsid w:val="00824AB0"/>
    <w:rsid w:val="00826790"/>
    <w:rsid w:val="00833D94"/>
    <w:rsid w:val="00842D78"/>
    <w:rsid w:val="00860017"/>
    <w:rsid w:val="00861BF3"/>
    <w:rsid w:val="00886A5B"/>
    <w:rsid w:val="008A02C4"/>
    <w:rsid w:val="008C4EE8"/>
    <w:rsid w:val="008C68DF"/>
    <w:rsid w:val="008D7059"/>
    <w:rsid w:val="00931B00"/>
    <w:rsid w:val="00947CC0"/>
    <w:rsid w:val="00986A28"/>
    <w:rsid w:val="009A54A4"/>
    <w:rsid w:val="009A61F9"/>
    <w:rsid w:val="00A2167B"/>
    <w:rsid w:val="00A24371"/>
    <w:rsid w:val="00A26648"/>
    <w:rsid w:val="00A30D15"/>
    <w:rsid w:val="00AA1F5F"/>
    <w:rsid w:val="00AA2A7D"/>
    <w:rsid w:val="00AB275E"/>
    <w:rsid w:val="00AB47FB"/>
    <w:rsid w:val="00AB698F"/>
    <w:rsid w:val="00AC0217"/>
    <w:rsid w:val="00AD0DDA"/>
    <w:rsid w:val="00AD2660"/>
    <w:rsid w:val="00AE1864"/>
    <w:rsid w:val="00AF40B3"/>
    <w:rsid w:val="00B04039"/>
    <w:rsid w:val="00B34720"/>
    <w:rsid w:val="00B45576"/>
    <w:rsid w:val="00B52B25"/>
    <w:rsid w:val="00B711CA"/>
    <w:rsid w:val="00B739C0"/>
    <w:rsid w:val="00B87002"/>
    <w:rsid w:val="00B954F2"/>
    <w:rsid w:val="00BA4768"/>
    <w:rsid w:val="00BB16A0"/>
    <w:rsid w:val="00BC2FC7"/>
    <w:rsid w:val="00BE035D"/>
    <w:rsid w:val="00BE6129"/>
    <w:rsid w:val="00BE6818"/>
    <w:rsid w:val="00BF00BB"/>
    <w:rsid w:val="00BF6BB7"/>
    <w:rsid w:val="00C02781"/>
    <w:rsid w:val="00C22600"/>
    <w:rsid w:val="00C325BA"/>
    <w:rsid w:val="00C34555"/>
    <w:rsid w:val="00C63C98"/>
    <w:rsid w:val="00C71727"/>
    <w:rsid w:val="00C82B5C"/>
    <w:rsid w:val="00C84709"/>
    <w:rsid w:val="00C86267"/>
    <w:rsid w:val="00C910BC"/>
    <w:rsid w:val="00CA1A5D"/>
    <w:rsid w:val="00CC4914"/>
    <w:rsid w:val="00CD3927"/>
    <w:rsid w:val="00CD3F46"/>
    <w:rsid w:val="00CE747D"/>
    <w:rsid w:val="00CF3117"/>
    <w:rsid w:val="00D02DC7"/>
    <w:rsid w:val="00D24252"/>
    <w:rsid w:val="00D571EE"/>
    <w:rsid w:val="00D86C1D"/>
    <w:rsid w:val="00D8749D"/>
    <w:rsid w:val="00DA6C2E"/>
    <w:rsid w:val="00DB10F3"/>
    <w:rsid w:val="00DB5B52"/>
    <w:rsid w:val="00DD35EF"/>
    <w:rsid w:val="00DF14D5"/>
    <w:rsid w:val="00E1219A"/>
    <w:rsid w:val="00E16995"/>
    <w:rsid w:val="00E33093"/>
    <w:rsid w:val="00E50EA5"/>
    <w:rsid w:val="00E6228D"/>
    <w:rsid w:val="00E67C5F"/>
    <w:rsid w:val="00E735A4"/>
    <w:rsid w:val="00E86728"/>
    <w:rsid w:val="00E86ED8"/>
    <w:rsid w:val="00EA0047"/>
    <w:rsid w:val="00EB4557"/>
    <w:rsid w:val="00EE34AD"/>
    <w:rsid w:val="00EE352D"/>
    <w:rsid w:val="00EF183C"/>
    <w:rsid w:val="00F17AF2"/>
    <w:rsid w:val="00F524B0"/>
    <w:rsid w:val="00F71DA7"/>
    <w:rsid w:val="00FB1ED4"/>
    <w:rsid w:val="00FC03F0"/>
    <w:rsid w:val="00FC5006"/>
    <w:rsid w:val="00FD64B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B1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1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7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B52B25"/>
    <w:pPr>
      <w:ind w:left="720"/>
      <w:contextualSpacing/>
    </w:pPr>
  </w:style>
  <w:style w:type="character" w:styleId="a5">
    <w:name w:val="annotation reference"/>
    <w:basedOn w:val="a0"/>
    <w:uiPriority w:val="99"/>
    <w:rsid w:val="00B52B25"/>
    <w:rPr>
      <w:rFonts w:cs="Times New Roman"/>
      <w:sz w:val="16"/>
    </w:rPr>
  </w:style>
  <w:style w:type="paragraph" w:styleId="a6">
    <w:name w:val="Balloon Text"/>
    <w:basedOn w:val="a"/>
    <w:link w:val="Char"/>
    <w:uiPriority w:val="99"/>
    <w:semiHidden/>
    <w:unhideWhenUsed/>
    <w:rsid w:val="00BF00BB"/>
    <w:rPr>
      <w:rFonts w:ascii="Lucida Grande" w:hAnsi="Lucida Grande" w:cs="Lucida Grande"/>
      <w:sz w:val="18"/>
      <w:szCs w:val="18"/>
    </w:rPr>
  </w:style>
  <w:style w:type="character" w:customStyle="1" w:styleId="Char">
    <w:name w:val="نص في بالون Char"/>
    <w:basedOn w:val="a0"/>
    <w:link w:val="a6"/>
    <w:uiPriority w:val="99"/>
    <w:semiHidden/>
    <w:rsid w:val="00BF00BB"/>
    <w:rPr>
      <w:rFonts w:ascii="Lucida Grande" w:hAnsi="Lucida Grande" w:cs="Lucida Grande"/>
      <w:sz w:val="18"/>
      <w:szCs w:val="18"/>
    </w:rPr>
  </w:style>
  <w:style w:type="paragraph" w:styleId="a7">
    <w:name w:val="header"/>
    <w:basedOn w:val="a"/>
    <w:link w:val="Char0"/>
    <w:uiPriority w:val="99"/>
    <w:unhideWhenUsed/>
    <w:rsid w:val="000717BB"/>
    <w:pPr>
      <w:tabs>
        <w:tab w:val="center" w:pos="4320"/>
        <w:tab w:val="right" w:pos="8640"/>
      </w:tabs>
    </w:pPr>
  </w:style>
  <w:style w:type="character" w:customStyle="1" w:styleId="Char0">
    <w:name w:val="رأس الصفحة Char"/>
    <w:basedOn w:val="a0"/>
    <w:link w:val="a7"/>
    <w:uiPriority w:val="99"/>
    <w:rsid w:val="000717BB"/>
  </w:style>
  <w:style w:type="paragraph" w:styleId="a8">
    <w:name w:val="footer"/>
    <w:basedOn w:val="a"/>
    <w:link w:val="Char1"/>
    <w:uiPriority w:val="99"/>
    <w:unhideWhenUsed/>
    <w:rsid w:val="000717BB"/>
    <w:pPr>
      <w:tabs>
        <w:tab w:val="center" w:pos="4320"/>
        <w:tab w:val="right" w:pos="8640"/>
      </w:tabs>
    </w:pPr>
  </w:style>
  <w:style w:type="character" w:customStyle="1" w:styleId="Char1">
    <w:name w:val="تذييل الصفحة Char"/>
    <w:basedOn w:val="a0"/>
    <w:link w:val="a8"/>
    <w:uiPriority w:val="99"/>
    <w:rsid w:val="000717BB"/>
  </w:style>
  <w:style w:type="character" w:styleId="Hyperlink">
    <w:name w:val="Hyperlink"/>
    <w:basedOn w:val="a0"/>
    <w:uiPriority w:val="99"/>
    <w:unhideWhenUsed/>
    <w:rsid w:val="00C84709"/>
    <w:rPr>
      <w:color w:val="0000FF" w:themeColor="hyperlink"/>
      <w:u w:val="single"/>
    </w:rPr>
  </w:style>
  <w:style w:type="paragraph" w:customStyle="1" w:styleId="Default">
    <w:name w:val="Default"/>
    <w:rsid w:val="00F71DA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5FF5C74B11B149BE1B8979D43FA910" ma:contentTypeVersion="10" ma:contentTypeDescription="Create a new document." ma:contentTypeScope="" ma:versionID="f6fae799366e9562bfb746800ce472b4">
  <xsd:schema xmlns:xsd="http://www.w3.org/2001/XMLSchema" xmlns:xs="http://www.w3.org/2001/XMLSchema" xmlns:p="http://schemas.microsoft.com/office/2006/metadata/properties" xmlns:ns3="7455b358-4d27-4659-bde8-44169c904c3c" targetNamespace="http://schemas.microsoft.com/office/2006/metadata/properties" ma:root="true" ma:fieldsID="b6d73d1e98606b5690497daa5369786b" ns3:_="">
    <xsd:import namespace="7455b358-4d27-4659-bde8-44169c904c3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5b358-4d27-4659-bde8-44169c904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455b358-4d27-4659-bde8-44169c904c3c" xsi:nil="true"/>
  </documentManagement>
</p:properties>
</file>

<file path=customXml/itemProps1.xml><?xml version="1.0" encoding="utf-8"?>
<ds:datastoreItem xmlns:ds="http://schemas.openxmlformats.org/officeDocument/2006/customXml" ds:itemID="{81CE0510-4729-42EE-A863-6CF4E0F1294A}">
  <ds:schemaRefs>
    <ds:schemaRef ds:uri="http://schemas.microsoft.com/sharepoint/v3/contenttype/forms"/>
  </ds:schemaRefs>
</ds:datastoreItem>
</file>

<file path=customXml/itemProps2.xml><?xml version="1.0" encoding="utf-8"?>
<ds:datastoreItem xmlns:ds="http://schemas.openxmlformats.org/officeDocument/2006/customXml" ds:itemID="{D3DCCC7F-FC71-481B-8FDF-79BD953E98F3}">
  <ds:schemaRefs>
    <ds:schemaRef ds:uri="http://schemas.microsoft.com/office/2006/metadata/contentType"/>
    <ds:schemaRef ds:uri="http://schemas.microsoft.com/office/2006/metadata/properties/metaAttributes"/>
    <ds:schemaRef ds:uri="http://www.w3.org/2000/xmlns/"/>
    <ds:schemaRef ds:uri="http://www.w3.org/2001/XMLSchema"/>
    <ds:schemaRef ds:uri="7455b358-4d27-4659-bde8-44169c904c3c"/>
  </ds:schemaRefs>
</ds:datastoreItem>
</file>

<file path=customXml/itemProps3.xml><?xml version="1.0" encoding="utf-8"?>
<ds:datastoreItem xmlns:ds="http://schemas.openxmlformats.org/officeDocument/2006/customXml" ds:itemID="{F38A368D-BA49-46D2-A345-F0501529B5B5}">
  <ds:schemaRefs>
    <ds:schemaRef ds:uri="http://schemas.microsoft.com/office/2006/metadata/properties"/>
    <ds:schemaRef ds:uri="http://www.w3.org/2000/xmlns/"/>
    <ds:schemaRef ds:uri="7455b358-4d27-4659-bde8-44169c904c3c"/>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2025-12-03T20:53:00Z</dcterms:created>
  <dcterms:modified xsi:type="dcterms:W3CDTF">2025-12-03T20:53:00Z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0x010100C05FF5C74B11B149BE1B8979D43FA910</vt:lpwstr>
  </property>
</Properties>
</file>