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rtl w:val="0"/>
        </w:rPr>
        <w:t xml:space="preserve">Examining the agreement among radiologists and  in regards to computed tomography (CT) features of patients diagnosed with ovarian teratoma</w:t>
      </w:r>
      <w:r w:rsidDel="00000000" w:rsidR="00000000" w:rsidRPr="00000000">
        <w:rPr>
          <w:rtl w:val="0"/>
        </w:rPr>
      </w:r>
    </w:p>
    <w:p w:rsidR="00000000" w:rsidDel="00000000" w:rsidP="00000000" w:rsidRDefault="00000000" w:rsidRPr="00000000" w14:paraId="0000000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Review question:</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To compare the agreement of radiologists in CT findings in </w:t>
      </w: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ovarian teratoma </w:t>
      </w: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patients </w:t>
      </w:r>
    </w:p>
    <w:p w:rsidR="00000000" w:rsidDel="00000000" w:rsidP="00000000" w:rsidRDefault="00000000" w:rsidRPr="00000000" w14:paraId="0000000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Condition or domain being studied:</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Ovarian tumors are occasionally found in patients under the age of twenty in clinical practice. They frequently exhibit abrupt, intense abdominal pain from a rupture or torsion. Early intervention is therefore required, along with a timely clinical diagnosis and necessary surgery. Nevertheless, treatment of these tumors is challenging due to the requirement to maintain fertility. </w:t>
      </w:r>
    </w:p>
    <w:p w:rsidR="00000000" w:rsidDel="00000000" w:rsidP="00000000" w:rsidRDefault="00000000" w:rsidRPr="00000000" w14:paraId="0000000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Over 40% of ovarian tumors in this age group are malignant germ cell tumors, which are the most common type of ovarian tumor. More than 66% of ovarian malignancies in individuals under the age of 20 are malignant germ cell tumors. </w:t>
        <w:br w:type="textWrapping"/>
        <w:t xml:space="preserve">Teratomas are the predominant type of germ cell tumor and can be categorized into two groups: mature and immature. Teratomas that are fully grown are harmless growths made up of differentiated cells that come from at least two of the three main germ layers, which are the ectoderm, the mesoderm, and the endoderm. Furthermore, immature teratomas are malignant growths composed of immature tissue that bears resemblance to embryonic tissue yet contains immature neuroectodermal elements.</w:t>
        <w:br w:type="textWrapping"/>
        <w:t xml:space="preserve">Adult teratomas can be surgically removed through a procedure called cystectomy, which is a straightforward method that preserves the ovary. However, immature teratomas, even in their early stages, require at least an adnexectomy. Therefore, it is essential to differentiate between these conditions prior to surgery, especially in cases requiring immediate attention. </w:t>
        <w:br w:type="textWrapping"/>
        <w:t xml:space="preserve">Before having surgery, you can tell the difference between mature and immature teratomas by looking at tumor markers or imaging techniques that show the presence of a large solid component with cystic features. Moreover, the existence of calcification or discrepancies in fat distribution within the tumors acts as a distinguishing characteristic. Reports indicate that immature teratomas exhibit scattered calcifications and small adipose regions. On the other hand, fully developed teratomas only exhibit a small number of calcifications in the cyst's wall.</w:t>
      </w:r>
    </w:p>
    <w:p w:rsidR="00000000" w:rsidDel="00000000" w:rsidP="00000000" w:rsidRDefault="00000000" w:rsidRPr="00000000" w14:paraId="0000000A">
      <w:pPr>
        <w:spacing w:after="0" w:line="240" w:lineRule="auto"/>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Thus, the purpose of this retrospective study is to evaluate the agreement of radiologists in </w:t>
      </w: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patients with ovarian teratoma.</w:t>
      </w:r>
      <w:r w:rsidDel="00000000" w:rsidR="00000000" w:rsidRPr="00000000">
        <w:rPr>
          <w:rtl w:val="0"/>
        </w:rPr>
      </w:r>
    </w:p>
    <w:p w:rsidR="00000000" w:rsidDel="00000000" w:rsidP="00000000" w:rsidRDefault="00000000" w:rsidRPr="00000000" w14:paraId="0000000B">
      <w:pPr>
        <w:spacing w:after="0"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C">
      <w:pPr>
        <w:spacing w:after="0"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Participants/population:</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spacing w:after="0" w:line="240" w:lineRule="auto"/>
        <w:jc w:val="both"/>
        <w:rPr>
          <w:rFonts w:ascii="Times New Roman" w:cs="Times New Roman" w:eastAsia="Times New Roman" w:hAnsi="Times New Roman"/>
          <w:color w:val="000000"/>
          <w:sz w:val="24"/>
          <w:szCs w:val="24"/>
          <w:highlight w:val="white"/>
        </w:rPr>
      </w:pPr>
      <w:r w:rsidDel="00000000" w:rsidR="00000000" w:rsidRPr="00000000">
        <w:rPr>
          <w:rFonts w:ascii="Times New Roman" w:cs="Times New Roman" w:eastAsia="Times New Roman" w:hAnsi="Times New Roman"/>
          <w:color w:val="000000"/>
          <w:sz w:val="24"/>
          <w:szCs w:val="24"/>
          <w:highlight w:val="white"/>
          <w:rtl w:val="0"/>
        </w:rPr>
        <w:t xml:space="preserve">We will use a CT dataset </w:t>
      </w:r>
      <w:r w:rsidDel="00000000" w:rsidR="00000000" w:rsidRPr="00000000">
        <w:rPr>
          <w:rFonts w:ascii="Times New Roman" w:cs="Times New Roman" w:eastAsia="Times New Roman" w:hAnsi="Times New Roman"/>
          <w:sz w:val="24"/>
          <w:szCs w:val="24"/>
          <w:highlight w:val="white"/>
          <w:rtl w:val="0"/>
        </w:rPr>
        <w:t xml:space="preserve">containing 32 patients (mean age, 14.5 years; age range, 6–19 years)  gathered from </w:t>
      </w:r>
      <w:r w:rsidDel="00000000" w:rsidR="00000000" w:rsidRPr="00000000">
        <w:rPr>
          <w:rFonts w:ascii="Times New Roman" w:cs="Times New Roman" w:eastAsia="Times New Roman" w:hAnsi="Times New Roman"/>
          <w:color w:val="000000"/>
          <w:sz w:val="24"/>
          <w:szCs w:val="24"/>
          <w:highlight w:val="white"/>
          <w:rtl w:val="0"/>
        </w:rPr>
        <w:t xml:space="preserve">January 2008 to June 2021. Patients provided written informed consent to participate in the study, and anonymous clinical data were used.</w:t>
      </w:r>
    </w:p>
    <w:p w:rsidR="00000000" w:rsidDel="00000000" w:rsidP="00000000" w:rsidRDefault="00000000" w:rsidRPr="00000000" w14:paraId="00000010">
      <w:pPr>
        <w:spacing w:after="0" w:line="240" w:lineRule="auto"/>
        <w:jc w:val="both"/>
        <w:rPr>
          <w:rFonts w:ascii="Times New Roman" w:cs="Times New Roman" w:eastAsia="Times New Roman" w:hAnsi="Times New Roman"/>
          <w:color w:val="000000"/>
          <w:sz w:val="24"/>
          <w:szCs w:val="24"/>
          <w:highlight w:val="white"/>
        </w:rPr>
      </w:pPr>
      <w:r w:rsidDel="00000000" w:rsidR="00000000" w:rsidRPr="00000000">
        <w:rPr>
          <w:rFonts w:ascii="Times New Roman" w:cs="Times New Roman" w:eastAsia="Times New Roman" w:hAnsi="Times New Roman"/>
          <w:color w:val="000000"/>
          <w:sz w:val="24"/>
          <w:szCs w:val="24"/>
          <w:highlight w:val="white"/>
          <w:rtl w:val="0"/>
        </w:rPr>
        <w:t xml:space="preserve">Patients excluded were aged &gt; 20 years and did not undergo imaging before surgery or surgery at our institution.</w:t>
      </w:r>
    </w:p>
    <w:p w:rsidR="00000000" w:rsidDel="00000000" w:rsidP="00000000" w:rsidRDefault="00000000" w:rsidRPr="00000000" w14:paraId="0000001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Intervention(s), exposure(s):</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Images were evaluated for the following parameters: a) maximum diameter, b) mean diameter, c) volume, d) maximum diameter of calcifications, e) number of calcifications, f) maximum diameter of fats, and g) number of fats. The threshold for calcified lesions was set at a CT density of 130 Hounsfield units. Additionally, fat was characterized by a CT density of -144 to -20 Hounsfield units. Abdominal and pelvic CT examinations were performed using a 64-slice multidetector CT scanner (Discovery CT 750HD; GE Medical Systems, Milwaukee, WI, USA).</w:t>
      </w:r>
    </w:p>
    <w:p w:rsidR="00000000" w:rsidDel="00000000" w:rsidP="00000000" w:rsidRDefault="00000000" w:rsidRPr="00000000" w14:paraId="0000001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Main outcome:</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spacing w:after="0" w:line="24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To assess the inter-rater agreement among radiologists about the specific features of CT scans in patients diagnosed with ovarian teratoma and then rank the features based on kappa/Gwen coefficients of agreement.</w:t>
      </w:r>
    </w:p>
    <w:p w:rsidR="00000000" w:rsidDel="00000000" w:rsidP="00000000" w:rsidRDefault="00000000" w:rsidRPr="00000000" w14:paraId="00000019">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Additional outcome(s):</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A) </w:t>
      </w:r>
      <w:r w:rsidDel="00000000" w:rsidR="00000000" w:rsidRPr="00000000">
        <w:rPr>
          <w:rFonts w:ascii="Times New Roman" w:cs="Times New Roman" w:eastAsia="Times New Roman" w:hAnsi="Times New Roman"/>
          <w:sz w:val="24"/>
          <w:szCs w:val="24"/>
          <w:rtl w:val="0"/>
        </w:rPr>
        <w:t xml:space="preserve">To assess the inter-rater agreement for </w:t>
      </w:r>
      <w:r w:rsidDel="00000000" w:rsidR="00000000" w:rsidRPr="00000000">
        <w:rPr>
          <w:rFonts w:ascii="Times New Roman" w:cs="Times New Roman" w:eastAsia="Times New Roman" w:hAnsi="Times New Roman"/>
          <w:rtl w:val="0"/>
        </w:rPr>
        <w:t xml:space="preserve">maximum diameter of calcifications</w:t>
      </w:r>
      <w:r w:rsidDel="00000000" w:rsidR="00000000" w:rsidRPr="00000000">
        <w:rPr>
          <w:rtl w:val="0"/>
        </w:rPr>
      </w:r>
    </w:p>
    <w:p w:rsidR="00000000" w:rsidDel="00000000" w:rsidP="00000000" w:rsidRDefault="00000000" w:rsidRPr="00000000" w14:paraId="0000001D">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sz w:val="24"/>
          <w:szCs w:val="24"/>
          <w:rtl w:val="0"/>
        </w:rPr>
        <w:t xml:space="preserve">B) </w:t>
      </w:r>
      <w:r w:rsidDel="00000000" w:rsidR="00000000" w:rsidRPr="00000000">
        <w:rPr>
          <w:rFonts w:ascii="Times New Roman" w:cs="Times New Roman" w:eastAsia="Times New Roman" w:hAnsi="Times New Roman"/>
          <w:sz w:val="24"/>
          <w:szCs w:val="24"/>
          <w:rtl w:val="0"/>
        </w:rPr>
        <w:t xml:space="preserve">To assess the inter-rater agreement for </w:t>
      </w:r>
      <w:r w:rsidDel="00000000" w:rsidR="00000000" w:rsidRPr="00000000">
        <w:rPr>
          <w:rFonts w:ascii="Times New Roman" w:cs="Times New Roman" w:eastAsia="Times New Roman" w:hAnsi="Times New Roman"/>
          <w:rtl w:val="0"/>
        </w:rPr>
        <w:t xml:space="preserve">maximum diameter of fats</w:t>
      </w:r>
    </w:p>
    <w:p w:rsidR="00000000" w:rsidDel="00000000" w:rsidP="00000000" w:rsidRDefault="00000000" w:rsidRPr="00000000" w14:paraId="0000001E">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 </w:t>
      </w:r>
      <w:r w:rsidDel="00000000" w:rsidR="00000000" w:rsidRPr="00000000">
        <w:rPr>
          <w:rFonts w:ascii="Times New Roman" w:cs="Times New Roman" w:eastAsia="Times New Roman" w:hAnsi="Times New Roman"/>
          <w:sz w:val="24"/>
          <w:szCs w:val="24"/>
          <w:rtl w:val="0"/>
        </w:rPr>
        <w:t xml:space="preserve">To assess the inter-rater agreement for </w:t>
      </w:r>
      <w:r w:rsidDel="00000000" w:rsidR="00000000" w:rsidRPr="00000000">
        <w:rPr>
          <w:rFonts w:ascii="Times New Roman" w:cs="Times New Roman" w:eastAsia="Times New Roman" w:hAnsi="Times New Roman"/>
          <w:rtl w:val="0"/>
        </w:rPr>
        <w:t xml:space="preserve">number of calcifications</w:t>
      </w:r>
    </w:p>
    <w:p w:rsidR="00000000" w:rsidDel="00000000" w:rsidP="00000000" w:rsidRDefault="00000000" w:rsidRPr="00000000" w14:paraId="0000001F">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 </w:t>
      </w:r>
      <w:r w:rsidDel="00000000" w:rsidR="00000000" w:rsidRPr="00000000">
        <w:rPr>
          <w:rFonts w:ascii="Times New Roman" w:cs="Times New Roman" w:eastAsia="Times New Roman" w:hAnsi="Times New Roman"/>
          <w:sz w:val="24"/>
          <w:szCs w:val="24"/>
          <w:rtl w:val="0"/>
        </w:rPr>
        <w:t xml:space="preserve">To assess the inter-rater agreement for </w:t>
      </w:r>
      <w:r w:rsidDel="00000000" w:rsidR="00000000" w:rsidRPr="00000000">
        <w:rPr>
          <w:rFonts w:ascii="Times New Roman" w:cs="Times New Roman" w:eastAsia="Times New Roman" w:hAnsi="Times New Roman"/>
          <w:rtl w:val="0"/>
        </w:rPr>
        <w:t xml:space="preserve">number of fats</w:t>
      </w:r>
    </w:p>
    <w:p w:rsidR="00000000" w:rsidDel="00000000" w:rsidP="00000000" w:rsidRDefault="00000000" w:rsidRPr="00000000" w14:paraId="00000020">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 To assess the possible systematic bias using Bland-Altman plot for abovementioned variables.</w:t>
      </w:r>
    </w:p>
    <w:p w:rsidR="00000000" w:rsidDel="00000000" w:rsidP="00000000" w:rsidRDefault="00000000" w:rsidRPr="00000000" w14:paraId="00000021">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 To assess the correlation of CT findings and maturity status </w:t>
      </w:r>
    </w:p>
    <w:p w:rsidR="00000000" w:rsidDel="00000000" w:rsidP="00000000" w:rsidRDefault="00000000" w:rsidRPr="00000000" w14:paraId="0000002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Image annotations:</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72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 gynecologic oncologist (21 years of experience) and a board-certified radiologist (24 years of</w:t>
      </w:r>
    </w:p>
    <w:p w:rsidR="00000000" w:rsidDel="00000000" w:rsidP="00000000" w:rsidRDefault="00000000" w:rsidRPr="00000000" w14:paraId="00000026">
      <w:pPr>
        <w:spacing w:after="0"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experience), each with double certifications and specializing in gynecological imaging, evaluated the CT images retrospectively and reached a consensus.</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sz w:val="24"/>
          <w:szCs w:val="24"/>
          <w:highlight w:val="white"/>
          <w:rtl w:val="0"/>
        </w:rPr>
        <w:t xml:space="preserve">Both readers were blinded to the results of the other imaging studies, histopathological findings, and clinical data. Each dataset was reviewed as the consensus decision of both readers after a minimum interval of 3 weeks to avoid any decision threshold bias due to reading-order effects. Images were analyzed using the picture archiving and communication system. A three-dimensional image was constructed using the Ziostation2 software (Ziosoft, Tokyo, Japan)</w:t>
      </w:r>
    </w:p>
    <w:p w:rsidR="00000000" w:rsidDel="00000000" w:rsidP="00000000" w:rsidRDefault="00000000" w:rsidRPr="00000000" w14:paraId="00000027">
      <w:pPr>
        <w:spacing w:after="0" w:line="240" w:lineRule="auto"/>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Strategy for data synthesis:</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spacing w:after="0"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B">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The analysis will be conducted using STATA version 17.0</w:t>
      </w:r>
      <w:r w:rsidDel="00000000" w:rsidR="00000000" w:rsidRPr="00000000">
        <w:rPr>
          <w:rFonts w:ascii="Times New Roman" w:cs="Times New Roman" w:eastAsia="Times New Roman" w:hAnsi="Times New Roman"/>
          <w:sz w:val="24"/>
          <w:szCs w:val="24"/>
          <w:rtl w:val="0"/>
        </w:rPr>
        <w:t xml:space="preserve"> and MedCalc 22.0.</w:t>
      </w:r>
    </w:p>
    <w:p w:rsidR="00000000" w:rsidDel="00000000" w:rsidP="00000000" w:rsidRDefault="00000000" w:rsidRPr="00000000" w14:paraId="0000002C">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Contact details for further information:</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Afshin Mohammadi</w:t>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mohammadi.a@umsu.ac.ir</w:t>
      </w:r>
      <w:r w:rsidDel="00000000" w:rsidR="00000000" w:rsidRPr="00000000">
        <w:rPr>
          <w:rtl w:val="0"/>
        </w:rPr>
      </w:r>
    </w:p>
    <w:p w:rsidR="00000000" w:rsidDel="00000000" w:rsidP="00000000" w:rsidRDefault="00000000" w:rsidRPr="00000000" w14:paraId="0000003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Team members and their organizational affiliations:</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Alisa Mohebbi</w:t>
      </w:r>
      <w:r w:rsidDel="00000000" w:rsidR="00000000" w:rsidRPr="00000000">
        <w:rPr>
          <w:rtl w:val="0"/>
        </w:rPr>
      </w:r>
    </w:p>
    <w:p w:rsidR="00000000" w:rsidDel="00000000" w:rsidP="00000000" w:rsidRDefault="00000000" w:rsidRPr="00000000" w14:paraId="0000003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Saeed Mohammadzadeh</w:t>
      </w:r>
      <w:r w:rsidDel="00000000" w:rsidR="00000000" w:rsidRPr="00000000">
        <w:rPr>
          <w:rtl w:val="0"/>
        </w:rPr>
      </w:r>
    </w:p>
    <w:p w:rsidR="00000000" w:rsidDel="00000000" w:rsidP="00000000" w:rsidRDefault="00000000" w:rsidRPr="00000000" w14:paraId="0000003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Ali Abdi</w:t>
      </w:r>
      <w:r w:rsidDel="00000000" w:rsidR="00000000" w:rsidRPr="00000000">
        <w:rPr>
          <w:rtl w:val="0"/>
        </w:rPr>
      </w:r>
    </w:p>
    <w:p w:rsidR="00000000" w:rsidDel="00000000" w:rsidP="00000000" w:rsidRDefault="00000000" w:rsidRPr="00000000" w14:paraId="0000003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Type and method of research:</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Original study evaluating agreement</w:t>
      </w:r>
    </w:p>
    <w:p w:rsidR="00000000" w:rsidDel="00000000" w:rsidP="00000000" w:rsidRDefault="00000000" w:rsidRPr="00000000" w14:paraId="0000003B">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Anticipated or actual start date:</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July</w:t>
      </w:r>
      <w:r w:rsidDel="00000000" w:rsidR="00000000" w:rsidRPr="00000000">
        <w:rPr>
          <w:rFonts w:ascii="Times New Roman" w:cs="Times New Roman" w:eastAsia="Times New Roman" w:hAnsi="Times New Roman"/>
          <w:color w:val="000000"/>
          <w:sz w:val="24"/>
          <w:szCs w:val="24"/>
          <w:rtl w:val="0"/>
        </w:rPr>
        <w:t xml:space="preserve"> 2</w:t>
      </w:r>
      <w:r w:rsidDel="00000000" w:rsidR="00000000" w:rsidRPr="00000000">
        <w:rPr>
          <w:rFonts w:ascii="Times New Roman" w:cs="Times New Roman" w:eastAsia="Times New Roman" w:hAnsi="Times New Roman"/>
          <w:sz w:val="24"/>
          <w:szCs w:val="24"/>
          <w:rtl w:val="0"/>
        </w:rPr>
        <w:t xml:space="preserve">4</w:t>
      </w:r>
      <w:r w:rsidDel="00000000" w:rsidR="00000000" w:rsidRPr="00000000">
        <w:rPr>
          <w:rFonts w:ascii="Times New Roman" w:cs="Times New Roman" w:eastAsia="Times New Roman" w:hAnsi="Times New Roman"/>
          <w:color w:val="000000"/>
          <w:sz w:val="24"/>
          <w:szCs w:val="24"/>
          <w:rtl w:val="0"/>
        </w:rPr>
        <w:t xml:space="preserve">, 2024</w:t>
      </w:r>
      <w:r w:rsidDel="00000000" w:rsidR="00000000" w:rsidRPr="00000000">
        <w:rPr>
          <w:rtl w:val="0"/>
        </w:rPr>
      </w:r>
    </w:p>
    <w:p w:rsidR="00000000" w:rsidDel="00000000" w:rsidP="00000000" w:rsidRDefault="00000000" w:rsidRPr="00000000" w14:paraId="0000003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Anticipated completion date:</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September 1</w:t>
      </w:r>
      <w:r w:rsidDel="00000000" w:rsidR="00000000" w:rsidRPr="00000000">
        <w:rPr>
          <w:rFonts w:ascii="Times New Roman" w:cs="Times New Roman" w:eastAsia="Times New Roman" w:hAnsi="Times New Roman"/>
          <w:color w:val="000000"/>
          <w:sz w:val="24"/>
          <w:szCs w:val="24"/>
          <w:rtl w:val="0"/>
        </w:rPr>
        <w:t xml:space="preserve">, 2024</w:t>
      </w:r>
      <w:r w:rsidDel="00000000" w:rsidR="00000000" w:rsidRPr="00000000">
        <w:rPr>
          <w:rtl w:val="0"/>
        </w:rPr>
      </w:r>
    </w:p>
    <w:p w:rsidR="00000000" w:rsidDel="00000000" w:rsidP="00000000" w:rsidRDefault="00000000" w:rsidRPr="00000000" w14:paraId="0000004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Funding sources/sponsors:</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None</w:t>
      </w:r>
      <w:r w:rsidDel="00000000" w:rsidR="00000000" w:rsidRPr="00000000">
        <w:rPr>
          <w:rtl w:val="0"/>
        </w:rPr>
      </w:r>
    </w:p>
    <w:p w:rsidR="00000000" w:rsidDel="00000000" w:rsidP="00000000" w:rsidRDefault="00000000" w:rsidRPr="00000000" w14:paraId="0000004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Conflicts of interests:</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None</w:t>
      </w:r>
      <w:r w:rsidDel="00000000" w:rsidR="00000000" w:rsidRPr="00000000">
        <w:rPr>
          <w:rtl w:val="0"/>
        </w:rPr>
      </w:r>
    </w:p>
    <w:p w:rsidR="00000000" w:rsidDel="00000000" w:rsidP="00000000" w:rsidRDefault="00000000" w:rsidRPr="00000000" w14:paraId="0000004B">
      <w:pPr>
        <w:jc w:val="both"/>
        <w:rPr>
          <w:rFonts w:ascii="Times New Roman" w:cs="Times New Roman" w:eastAsia="Times New Roman" w:hAnsi="Times New Roman"/>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unhideWhenUsed w:val="1"/>
    <w:rsid w:val="00C70592"/>
    <w:pPr>
      <w:spacing w:after="100" w:afterAutospacing="1" w:before="100" w:beforeAutospacing="1" w:line="240" w:lineRule="auto"/>
    </w:pPr>
    <w:rPr>
      <w:rFonts w:ascii="Times New Roman" w:cs="Times New Roman" w:eastAsia="Times New Roman" w:hAnsi="Times New Roman"/>
      <w:kern w:val="0"/>
      <w:sz w:val="24"/>
      <w:szCs w:val="24"/>
    </w:rPr>
  </w:style>
  <w:style w:type="character" w:styleId="Hyperlink">
    <w:name w:val="Hyperlink"/>
    <w:basedOn w:val="DefaultParagraphFont"/>
    <w:uiPriority w:val="99"/>
    <w:semiHidden w:val="1"/>
    <w:unhideWhenUsed w:val="1"/>
    <w:rsid w:val="00C70592"/>
    <w:rPr>
      <w:color w:val="0000ff"/>
      <w:u w:val="single"/>
    </w:rPr>
  </w:style>
  <w:style w:type="paragraph" w:styleId="ListParagraph">
    <w:name w:val="List Paragraph"/>
    <w:basedOn w:val="Normal"/>
    <w:uiPriority w:val="34"/>
    <w:qFormat w:val="1"/>
    <w:rsid w:val="001C6BA3"/>
    <w:pPr>
      <w:ind w:left="720"/>
      <w:contextualSpacing w:val="1"/>
    </w:pPr>
  </w:style>
  <w:style w:type="character" w:styleId="fontstyle01" w:customStyle="1">
    <w:name w:val="fontstyle01"/>
    <w:basedOn w:val="DefaultParagraphFont"/>
    <w:rsid w:val="00F63623"/>
    <w:rPr>
      <w:rFonts w:ascii="MyriadPro-Light" w:hAnsi="MyriadPro-Light" w:hint="default"/>
      <w:b w:val="0"/>
      <w:bCs w:val="0"/>
      <w:i w:val="0"/>
      <w:iCs w:val="0"/>
      <w:color w:val="000000"/>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hyZTpyK1krX5t5iKFDjLzNe1jA==">CgMxLjA4AHIhMXpwZmpnbDR5NV9VVlNsdlRZbnFRWWJ6M3c0YzZDNXNr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2024-07-16T15:48:00Z</dcterms:created>
  <dc:creator>Abdi</dc:creator>
</cp:coreProperties>
</file>