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B0C1" w14:textId="37F330AE" w:rsidR="00D83428" w:rsidRPr="0083420D" w:rsidRDefault="00D83428" w:rsidP="0083420D">
      <w:pPr>
        <w:spacing w:after="0" w:line="480" w:lineRule="auto"/>
        <w:rPr>
          <w:rFonts w:ascii="Times New Roman" w:hAnsi="Times New Roman" w:cs="Times New Roman"/>
          <w:b/>
          <w:bCs/>
          <w:sz w:val="22"/>
          <w:szCs w:val="22"/>
          <w:lang w:val="en-US"/>
        </w:rPr>
      </w:pPr>
      <w:r w:rsidRPr="0083420D">
        <w:rPr>
          <w:rFonts w:ascii="Times New Roman" w:hAnsi="Times New Roman" w:cs="Times New Roman"/>
          <w:b/>
          <w:bCs/>
          <w:sz w:val="22"/>
          <w:szCs w:val="22"/>
          <w:lang w:val="en-US"/>
        </w:rPr>
        <w:t>Supplementary Materials</w:t>
      </w:r>
    </w:p>
    <w:p w14:paraId="3AA0D4F2" w14:textId="722D3704" w:rsidR="00CE714F" w:rsidRPr="0083420D" w:rsidRDefault="00CE714F" w:rsidP="0083420D">
      <w:pPr>
        <w:spacing w:after="0" w:line="480" w:lineRule="auto"/>
        <w:rPr>
          <w:rFonts w:ascii="Times New Roman" w:hAnsi="Times New Roman" w:cs="Times New Roman"/>
          <w:b/>
          <w:bCs/>
          <w:sz w:val="22"/>
          <w:szCs w:val="22"/>
        </w:rPr>
      </w:pPr>
      <w:bookmarkStart w:id="0" w:name="_Hlk211448328"/>
      <w:r w:rsidRPr="0083420D">
        <w:rPr>
          <w:rFonts w:ascii="Times New Roman" w:hAnsi="Times New Roman" w:cs="Times New Roman"/>
          <w:b/>
          <w:bCs/>
          <w:sz w:val="22"/>
          <w:szCs w:val="22"/>
        </w:rPr>
        <w:t>TRIM21 drives stress-induced neuroinflammation and behavioral deficits via gasdermin D-dependent IL-1β release in a rat model of repeated social defeat</w:t>
      </w:r>
    </w:p>
    <w:p w14:paraId="369B407A" w14:textId="77777777" w:rsidR="00CE714F" w:rsidRPr="0083420D" w:rsidRDefault="00CE714F"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Soni Tiwari</w:t>
      </w:r>
      <w:r w:rsidRPr="0083420D">
        <w:rPr>
          <w:rFonts w:ascii="Times New Roman" w:hAnsi="Times New Roman" w:cs="Times New Roman"/>
          <w:sz w:val="20"/>
          <w:szCs w:val="20"/>
          <w:vertAlign w:val="superscript"/>
        </w:rPr>
        <w:t>1,2</w:t>
      </w:r>
      <w:r w:rsidRPr="0083420D">
        <w:rPr>
          <w:rFonts w:ascii="Times New Roman" w:hAnsi="Times New Roman" w:cs="Times New Roman"/>
          <w:sz w:val="20"/>
          <w:szCs w:val="20"/>
        </w:rPr>
        <w:t>, Zaidan Mohammed</w:t>
      </w:r>
      <w:r w:rsidRPr="0083420D">
        <w:rPr>
          <w:rFonts w:ascii="Times New Roman" w:hAnsi="Times New Roman" w:cs="Times New Roman"/>
          <w:sz w:val="20"/>
          <w:szCs w:val="20"/>
          <w:vertAlign w:val="superscript"/>
        </w:rPr>
        <w:t>1,3</w:t>
      </w:r>
      <w:r w:rsidRPr="0083420D">
        <w:rPr>
          <w:rFonts w:ascii="Times New Roman" w:hAnsi="Times New Roman" w:cs="Times New Roman"/>
          <w:sz w:val="20"/>
          <w:szCs w:val="20"/>
        </w:rPr>
        <w:t>, Santi Ranjan Atta</w:t>
      </w:r>
      <w:r w:rsidRPr="0083420D">
        <w:rPr>
          <w:rFonts w:ascii="Times New Roman" w:hAnsi="Times New Roman" w:cs="Times New Roman"/>
          <w:sz w:val="20"/>
          <w:szCs w:val="20"/>
          <w:vertAlign w:val="superscript"/>
        </w:rPr>
        <w:t>1,4</w:t>
      </w:r>
      <w:r w:rsidRPr="0083420D">
        <w:rPr>
          <w:rFonts w:ascii="Times New Roman" w:hAnsi="Times New Roman" w:cs="Times New Roman"/>
          <w:sz w:val="20"/>
          <w:szCs w:val="20"/>
        </w:rPr>
        <w:t>, Aryan Tiwari</w:t>
      </w:r>
      <w:r w:rsidRPr="0083420D">
        <w:rPr>
          <w:rFonts w:ascii="Times New Roman" w:hAnsi="Times New Roman" w:cs="Times New Roman"/>
          <w:sz w:val="20"/>
          <w:szCs w:val="20"/>
          <w:vertAlign w:val="superscript"/>
        </w:rPr>
        <w:t>1</w:t>
      </w:r>
      <w:r w:rsidRPr="0083420D">
        <w:rPr>
          <w:rFonts w:ascii="Times New Roman" w:hAnsi="Times New Roman" w:cs="Times New Roman"/>
          <w:sz w:val="20"/>
          <w:szCs w:val="20"/>
        </w:rPr>
        <w:t>, Ekta Yadav</w:t>
      </w:r>
      <w:r w:rsidRPr="0083420D">
        <w:rPr>
          <w:rFonts w:ascii="Times New Roman" w:hAnsi="Times New Roman" w:cs="Times New Roman"/>
          <w:sz w:val="20"/>
          <w:szCs w:val="20"/>
          <w:vertAlign w:val="superscript"/>
        </w:rPr>
        <w:t>4,5</w:t>
      </w:r>
      <w:r w:rsidRPr="0083420D">
        <w:rPr>
          <w:rFonts w:ascii="Times New Roman" w:hAnsi="Times New Roman" w:cs="Times New Roman"/>
          <w:sz w:val="20"/>
          <w:szCs w:val="20"/>
        </w:rPr>
        <w:t>, Shweta Kaushik</w:t>
      </w:r>
      <w:r w:rsidRPr="0083420D">
        <w:rPr>
          <w:rFonts w:ascii="Times New Roman" w:hAnsi="Times New Roman" w:cs="Times New Roman"/>
          <w:sz w:val="20"/>
          <w:szCs w:val="20"/>
          <w:vertAlign w:val="superscript"/>
        </w:rPr>
        <w:t>4</w:t>
      </w:r>
      <w:r w:rsidRPr="0083420D">
        <w:rPr>
          <w:rFonts w:ascii="Times New Roman" w:hAnsi="Times New Roman" w:cs="Times New Roman"/>
          <w:sz w:val="20"/>
          <w:szCs w:val="20"/>
        </w:rPr>
        <w:t>,</w:t>
      </w:r>
      <w:r w:rsidRPr="0083420D">
        <w:rPr>
          <w:rFonts w:ascii="Times New Roman" w:hAnsi="Times New Roman" w:cs="Times New Roman"/>
          <w:sz w:val="20"/>
          <w:szCs w:val="20"/>
          <w:vertAlign w:val="superscript"/>
        </w:rPr>
        <w:t xml:space="preserve"> </w:t>
      </w:r>
      <w:r w:rsidRPr="0083420D">
        <w:rPr>
          <w:rFonts w:ascii="Times New Roman" w:hAnsi="Times New Roman" w:cs="Times New Roman"/>
          <w:sz w:val="20"/>
          <w:szCs w:val="20"/>
        </w:rPr>
        <w:t>Amla Chopra</w:t>
      </w:r>
      <w:r w:rsidRPr="0083420D">
        <w:rPr>
          <w:rFonts w:ascii="Times New Roman" w:hAnsi="Times New Roman" w:cs="Times New Roman"/>
          <w:sz w:val="20"/>
          <w:szCs w:val="20"/>
          <w:vertAlign w:val="superscript"/>
        </w:rPr>
        <w:t>2</w:t>
      </w:r>
      <w:r w:rsidRPr="0083420D">
        <w:rPr>
          <w:rFonts w:ascii="Times New Roman" w:hAnsi="Times New Roman" w:cs="Times New Roman"/>
          <w:sz w:val="20"/>
          <w:szCs w:val="20"/>
        </w:rPr>
        <w:t>, Itender Singh</w:t>
      </w:r>
      <w:r w:rsidRPr="0083420D">
        <w:rPr>
          <w:rFonts w:ascii="Times New Roman" w:hAnsi="Times New Roman" w:cs="Times New Roman"/>
          <w:sz w:val="20"/>
          <w:szCs w:val="20"/>
          <w:vertAlign w:val="superscript"/>
        </w:rPr>
        <w:t>4,6</w:t>
      </w:r>
      <w:r w:rsidRPr="0083420D">
        <w:rPr>
          <w:rFonts w:ascii="Times New Roman" w:hAnsi="Times New Roman" w:cs="Times New Roman"/>
          <w:sz w:val="20"/>
          <w:szCs w:val="20"/>
        </w:rPr>
        <w:t xml:space="preserve"> and Simantini Ghosh</w:t>
      </w:r>
      <w:r w:rsidRPr="0083420D">
        <w:rPr>
          <w:rFonts w:ascii="Times New Roman" w:hAnsi="Times New Roman" w:cs="Times New Roman"/>
          <w:sz w:val="20"/>
          <w:szCs w:val="20"/>
          <w:vertAlign w:val="superscript"/>
        </w:rPr>
        <w:t>1*</w:t>
      </w:r>
    </w:p>
    <w:bookmarkEnd w:id="0"/>
    <w:p w14:paraId="50EFE372" w14:textId="77777777" w:rsidR="00CE714F" w:rsidRPr="0083420D" w:rsidRDefault="00CE714F"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1. Department of Psychology, Ashoka University, Rai, India</w:t>
      </w:r>
    </w:p>
    <w:p w14:paraId="1DF58008" w14:textId="77777777" w:rsidR="00CE714F" w:rsidRPr="0083420D" w:rsidRDefault="00CE714F"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2. Department of Zoology, Dayalbagh Education Institute, Dayalbagh, Agra, India</w:t>
      </w:r>
    </w:p>
    <w:p w14:paraId="6E3D70CB" w14:textId="77777777" w:rsidR="00CE714F" w:rsidRPr="0083420D" w:rsidRDefault="00CE714F"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3. Department of Psychological Science, University of Vermont, Burlington VT, USA</w:t>
      </w:r>
    </w:p>
    <w:p w14:paraId="461D1D4C" w14:textId="77777777" w:rsidR="00CE714F" w:rsidRPr="0083420D" w:rsidRDefault="00CE714F"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 xml:space="preserve">4. Ambedkar Centre for Biomedical Research, Delhi University, New Delhi, India </w:t>
      </w:r>
    </w:p>
    <w:p w14:paraId="65F9C8B2" w14:textId="77777777" w:rsidR="00CE714F" w:rsidRPr="0083420D" w:rsidRDefault="00CE714F"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5. Nuffield Department of Clinical Neuroscience, University of Oxford, Oxford, UK</w:t>
      </w:r>
    </w:p>
    <w:p w14:paraId="3A953792" w14:textId="77777777" w:rsidR="00CE714F" w:rsidRPr="0083420D" w:rsidRDefault="00CE714F"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6. Department of Neurosurgery, Washington University School of Medicine in St. Louis, St. Louis, MO, USA.</w:t>
      </w:r>
    </w:p>
    <w:p w14:paraId="0981ACE4" w14:textId="77777777" w:rsidR="00CE714F" w:rsidRPr="0083420D" w:rsidRDefault="00CE714F"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vertAlign w:val="superscript"/>
        </w:rPr>
        <w:t>*</w:t>
      </w:r>
      <w:r w:rsidRPr="0083420D">
        <w:rPr>
          <w:rFonts w:ascii="Times New Roman" w:hAnsi="Times New Roman" w:cs="Times New Roman"/>
          <w:sz w:val="20"/>
          <w:szCs w:val="20"/>
        </w:rPr>
        <w:t xml:space="preserve">Correspondence to Simantini Ghosh (simi@ashoka.edu.in)  </w:t>
      </w:r>
    </w:p>
    <w:p w14:paraId="57049E41" w14:textId="77777777" w:rsidR="00CE714F" w:rsidRPr="0083420D" w:rsidRDefault="00CE714F" w:rsidP="008D5624">
      <w:pPr>
        <w:spacing w:after="0" w:line="480" w:lineRule="auto"/>
        <w:rPr>
          <w:rFonts w:ascii="Times New Roman" w:hAnsi="Times New Roman" w:cs="Times New Roman"/>
          <w:bCs/>
          <w:sz w:val="20"/>
          <w:szCs w:val="20"/>
          <w:lang w:val="en-US"/>
        </w:rPr>
      </w:pPr>
      <w:r w:rsidRPr="0083420D">
        <w:rPr>
          <w:rFonts w:ascii="Times New Roman" w:hAnsi="Times New Roman" w:cs="Times New Roman"/>
          <w:bCs/>
          <w:sz w:val="20"/>
          <w:szCs w:val="20"/>
          <w:lang w:val="en-US"/>
        </w:rPr>
        <w:t xml:space="preserve">Simantini Ghosh, Email ID: simi@ashoka.edu.in; ORCID: </w:t>
      </w:r>
      <w:r w:rsidRPr="0083420D">
        <w:rPr>
          <w:rFonts w:ascii="Times New Roman" w:hAnsi="Times New Roman" w:cs="Times New Roman"/>
          <w:sz w:val="20"/>
          <w:szCs w:val="20"/>
        </w:rPr>
        <w:t xml:space="preserve">0000-0002-0791-7255  </w:t>
      </w:r>
    </w:p>
    <w:p w14:paraId="37DD3069" w14:textId="5E8BEDEB" w:rsidR="0083420D" w:rsidRPr="0083420D" w:rsidRDefault="0083420D" w:rsidP="0083420D">
      <w:pPr>
        <w:tabs>
          <w:tab w:val="left" w:pos="1130"/>
        </w:tabs>
        <w:spacing w:after="0" w:line="480" w:lineRule="auto"/>
        <w:rPr>
          <w:rFonts w:ascii="Times New Roman" w:hAnsi="Times New Roman" w:cs="Times New Roman"/>
          <w:sz w:val="20"/>
          <w:szCs w:val="20"/>
          <w:lang w:val="en-US"/>
        </w:rPr>
      </w:pPr>
      <w:r>
        <w:rPr>
          <w:rFonts w:ascii="Times New Roman" w:hAnsi="Times New Roman" w:cs="Times New Roman"/>
          <w:sz w:val="20"/>
          <w:szCs w:val="20"/>
          <w:lang w:val="en-US"/>
        </w:rPr>
        <w:tab/>
      </w:r>
    </w:p>
    <w:p w14:paraId="096A9DFC" w14:textId="6A108E5B" w:rsidR="0083420D" w:rsidRPr="0083420D" w:rsidRDefault="0083420D" w:rsidP="0083420D">
      <w:pPr>
        <w:spacing w:after="0" w:line="480" w:lineRule="auto"/>
        <w:rPr>
          <w:rFonts w:ascii="Times New Roman" w:hAnsi="Times New Roman" w:cs="Times New Roman"/>
          <w:b/>
          <w:bCs/>
          <w:sz w:val="22"/>
          <w:szCs w:val="22"/>
          <w:lang w:val="en-US"/>
        </w:rPr>
      </w:pPr>
      <w:r w:rsidRPr="0083420D">
        <w:rPr>
          <w:rFonts w:ascii="Times New Roman" w:hAnsi="Times New Roman" w:cs="Times New Roman"/>
          <w:b/>
          <w:bCs/>
          <w:sz w:val="22"/>
          <w:szCs w:val="22"/>
          <w:lang w:val="en-US"/>
        </w:rPr>
        <w:t xml:space="preserve">Supplementary </w:t>
      </w:r>
      <w:r>
        <w:rPr>
          <w:rFonts w:ascii="Times New Roman" w:hAnsi="Times New Roman" w:cs="Times New Roman"/>
          <w:b/>
          <w:bCs/>
          <w:sz w:val="22"/>
          <w:szCs w:val="22"/>
          <w:lang w:val="en-US"/>
        </w:rPr>
        <w:t>Figures</w:t>
      </w:r>
    </w:p>
    <w:p w14:paraId="1E7A8821" w14:textId="1832312C" w:rsidR="00E061F6" w:rsidRDefault="00846319" w:rsidP="00E061F6">
      <w:pPr>
        <w:spacing w:after="0" w:line="480" w:lineRule="auto"/>
        <w:rPr>
          <w:rFonts w:ascii="Times New Roman" w:hAnsi="Times New Roman" w:cs="Times New Roman"/>
          <w:b/>
          <w:bCs/>
          <w:sz w:val="20"/>
          <w:szCs w:val="20"/>
        </w:rPr>
      </w:pPr>
      <w:r w:rsidRPr="000873F0">
        <w:rPr>
          <w:rFonts w:ascii="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31B11A5A" wp14:editId="7DEBDC02">
                <wp:simplePos x="0" y="0"/>
                <wp:positionH relativeFrom="margin">
                  <wp:align>left</wp:align>
                </wp:positionH>
                <wp:positionV relativeFrom="paragraph">
                  <wp:posOffset>1874520</wp:posOffset>
                </wp:positionV>
                <wp:extent cx="6165850" cy="140462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9525">
                          <a:solidFill>
                            <a:srgbClr val="000000"/>
                          </a:solidFill>
                          <a:miter lim="800000"/>
                          <a:headEnd/>
                          <a:tailEnd/>
                        </a:ln>
                      </wps:spPr>
                      <wps:txbx>
                        <w:txbxContent>
                          <w:p w14:paraId="360A05DE" w14:textId="6E7703A4" w:rsidR="00846319" w:rsidRPr="00846319" w:rsidRDefault="00846319" w:rsidP="00846319">
                            <w:pPr>
                              <w:spacing w:after="0" w:line="240" w:lineRule="auto"/>
                              <w:rPr>
                                <w:rFonts w:ascii="Times New Roman" w:hAnsi="Times New Roman" w:cs="Times New Roman"/>
                                <w:sz w:val="18"/>
                                <w:szCs w:val="18"/>
                              </w:rPr>
                            </w:pPr>
                            <w:r w:rsidRPr="00846319">
                              <w:rPr>
                                <w:rFonts w:ascii="Times New Roman" w:hAnsi="Times New Roman" w:cs="Times New Roman"/>
                                <w:b/>
                                <w:bCs/>
                                <w:sz w:val="18"/>
                                <w:szCs w:val="18"/>
                              </w:rPr>
                              <w:t xml:space="preserve">Supplementary Figure 1. RSD-induced neuroendocrine and molecular changes in SD rats. </w:t>
                            </w:r>
                            <w:r w:rsidRPr="00846319">
                              <w:rPr>
                                <w:rFonts w:ascii="Times New Roman" w:hAnsi="Times New Roman" w:cs="Times New Roman"/>
                                <w:sz w:val="18"/>
                                <w:szCs w:val="18"/>
                              </w:rPr>
                              <w:t>Plasma corticosterone levels in control and RSD-exposed male and female rats (n=10-11/group)</w:t>
                            </w:r>
                            <w:r w:rsidRPr="00846319">
                              <w:rPr>
                                <w:rFonts w:ascii="Times New Roman" w:hAnsi="Times New Roman" w:cs="Times New Roman"/>
                                <w:b/>
                                <w:bCs/>
                                <w:sz w:val="18"/>
                                <w:szCs w:val="18"/>
                              </w:rPr>
                              <w:t xml:space="preserve"> (A)</w:t>
                            </w:r>
                            <w:r w:rsidRPr="00846319">
                              <w:rPr>
                                <w:rFonts w:ascii="Times New Roman" w:hAnsi="Times New Roman" w:cs="Times New Roman"/>
                                <w:sz w:val="18"/>
                                <w:szCs w:val="18"/>
                              </w:rPr>
                              <w:t xml:space="preserve">. Quantification of caspase-1 activity in amygdala and hippocampus of SD rats (n=9-11/group) </w:t>
                            </w:r>
                            <w:r w:rsidRPr="00846319">
                              <w:rPr>
                                <w:rFonts w:ascii="Times New Roman" w:hAnsi="Times New Roman" w:cs="Times New Roman"/>
                                <w:b/>
                                <w:bCs/>
                                <w:sz w:val="18"/>
                                <w:szCs w:val="18"/>
                              </w:rPr>
                              <w:t>(B)</w:t>
                            </w:r>
                            <w:r w:rsidRPr="00846319">
                              <w:rPr>
                                <w:rFonts w:ascii="Times New Roman" w:hAnsi="Times New Roman" w:cs="Times New Roman"/>
                                <w:sz w:val="18"/>
                                <w:szCs w:val="18"/>
                              </w:rPr>
                              <w:t xml:space="preserve">. Data are presented as mean with 95% CI; Data analyzed with Factorial ANOVAs; p-values are indicated for specific pairwise comparisons post-hoc.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11A5A" id="_x0000_t202" coordsize="21600,21600" o:spt="202" path="m,l,21600r21600,l21600,xe">
                <v:stroke joinstyle="miter"/>
                <v:path gradientshapeok="t" o:connecttype="rect"/>
              </v:shapetype>
              <v:shape id="Text Box 2" o:spid="_x0000_s1026" type="#_x0000_t202" style="position:absolute;margin-left:0;margin-top:147.6pt;width:48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fuEA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BRLOZXczJJshWzfLaYprJkony67tCHDwo6FhcVR6pqkheHex9iOKJ8comveTC63mhj0gZ3&#10;27VBdhDUAZs0UgYv3IxlfcWv59P5SOCvEnkaf5LodKBWNrqr+NXZSZSR23tbp0YLQptxTSEbewIZ&#10;2Y0Uw7AdyDEC3UJ9JKQIY8vSF6NFC/iTs57ateL+x16g4sx8tFSW62I2i/2dNrP5W2LI8NKyvbQI&#10;K0mq4oGzcbkO6U8kYO6WyrfRCexzJKdYqQ0T79OXiX1+uU9ezx979QsAAP//AwBQSwMEFAAGAAgA&#10;AAAhAPjf4BzdAAAACAEAAA8AAABkcnMvZG93bnJldi54bWxMj8FOwzAQRO9I/IO1SFwq6iSQQEM2&#10;FVTqiVNDubuxSSLidbDdNv17lhMcZ2c186Zaz3YUJ+PD4AghXSYgDLVOD9Qh7N+3d08gQlSk1ejI&#10;IFxMgHV9fVWpUrsz7cypiZ3gEAqlQuhjnEopQ9sbq8LSTYbY+3TeqsjSd1J7deZwO8osSQpp1UDc&#10;0KvJbHrTfjVHi1B8N/eLtw+9oN1l++pbm+vNPke8vZlfnkFEM8e/Z/jFZ3SomengjqSDGBF4SETI&#10;VnkGgu3VY8qXA0KeFg8g60r+H1D/AAAA//8DAFBLAQItABQABgAIAAAAIQC2gziS/gAAAOEBAAAT&#10;AAAAAAAAAAAAAAAAAAAAAABbQ29udGVudF9UeXBlc10ueG1sUEsBAi0AFAAGAAgAAAAhADj9If/W&#10;AAAAlAEAAAsAAAAAAAAAAAAAAAAALwEAAF9yZWxzLy5yZWxzUEsBAi0AFAAGAAgAAAAhANBl1+4Q&#10;AgAAIAQAAA4AAAAAAAAAAAAAAAAALgIAAGRycy9lMm9Eb2MueG1sUEsBAi0AFAAGAAgAAAAhAPjf&#10;4BzdAAAACAEAAA8AAAAAAAAAAAAAAAAAagQAAGRycy9kb3ducmV2LnhtbFBLBQYAAAAABAAEAPMA&#10;AAB0BQAAAAA=&#10;">
                <v:textbox style="mso-fit-shape-to-text:t">
                  <w:txbxContent>
                    <w:p w14:paraId="360A05DE" w14:textId="6E7703A4" w:rsidR="00846319" w:rsidRPr="00846319" w:rsidRDefault="00846319" w:rsidP="00846319">
                      <w:pPr>
                        <w:spacing w:after="0" w:line="240" w:lineRule="auto"/>
                        <w:rPr>
                          <w:rFonts w:ascii="Times New Roman" w:hAnsi="Times New Roman" w:cs="Times New Roman"/>
                          <w:sz w:val="18"/>
                          <w:szCs w:val="18"/>
                        </w:rPr>
                      </w:pPr>
                      <w:r w:rsidRPr="00846319">
                        <w:rPr>
                          <w:rFonts w:ascii="Times New Roman" w:hAnsi="Times New Roman" w:cs="Times New Roman"/>
                          <w:b/>
                          <w:bCs/>
                          <w:sz w:val="18"/>
                          <w:szCs w:val="18"/>
                        </w:rPr>
                        <w:t xml:space="preserve">Supplementary Figure 1. RSD-induced neuroendocrine and molecular changes in SD rats. </w:t>
                      </w:r>
                      <w:r w:rsidRPr="00846319">
                        <w:rPr>
                          <w:rFonts w:ascii="Times New Roman" w:hAnsi="Times New Roman" w:cs="Times New Roman"/>
                          <w:sz w:val="18"/>
                          <w:szCs w:val="18"/>
                        </w:rPr>
                        <w:t>Plasma corticosterone levels in control and RSD-exposed male and female rats (n=10-11/group)</w:t>
                      </w:r>
                      <w:r w:rsidRPr="00846319">
                        <w:rPr>
                          <w:rFonts w:ascii="Times New Roman" w:hAnsi="Times New Roman" w:cs="Times New Roman"/>
                          <w:b/>
                          <w:bCs/>
                          <w:sz w:val="18"/>
                          <w:szCs w:val="18"/>
                        </w:rPr>
                        <w:t xml:space="preserve"> (A)</w:t>
                      </w:r>
                      <w:r w:rsidRPr="00846319">
                        <w:rPr>
                          <w:rFonts w:ascii="Times New Roman" w:hAnsi="Times New Roman" w:cs="Times New Roman"/>
                          <w:sz w:val="18"/>
                          <w:szCs w:val="18"/>
                        </w:rPr>
                        <w:t xml:space="preserve">. Quantification of caspase-1 activity in amygdala and hippocampus of SD rats (n=9-11/group) </w:t>
                      </w:r>
                      <w:r w:rsidRPr="00846319">
                        <w:rPr>
                          <w:rFonts w:ascii="Times New Roman" w:hAnsi="Times New Roman" w:cs="Times New Roman"/>
                          <w:b/>
                          <w:bCs/>
                          <w:sz w:val="18"/>
                          <w:szCs w:val="18"/>
                        </w:rPr>
                        <w:t>(B)</w:t>
                      </w:r>
                      <w:r w:rsidRPr="00846319">
                        <w:rPr>
                          <w:rFonts w:ascii="Times New Roman" w:hAnsi="Times New Roman" w:cs="Times New Roman"/>
                          <w:sz w:val="18"/>
                          <w:szCs w:val="18"/>
                        </w:rPr>
                        <w:t xml:space="preserve">. Data are presented as mean with 95% CI; Data analyzed with Factorial ANOVAs; p-values are indicated for specific pairwise comparisons post-hoc. </w:t>
                      </w:r>
                    </w:p>
                  </w:txbxContent>
                </v:textbox>
                <w10:wrap type="square" anchorx="margin"/>
              </v:shape>
            </w:pict>
          </mc:Fallback>
        </mc:AlternateContent>
      </w:r>
      <w:r>
        <w:rPr>
          <w:rFonts w:ascii="Times New Roman" w:hAnsi="Times New Roman" w:cs="Times New Roman"/>
          <w:b/>
          <w:bCs/>
          <w:noProof/>
          <w:sz w:val="20"/>
          <w:szCs w:val="20"/>
        </w:rPr>
        <w:drawing>
          <wp:inline distT="0" distB="0" distL="0" distR="0" wp14:anchorId="3526E2E0" wp14:editId="64F5B4A4">
            <wp:extent cx="4413250" cy="1799287"/>
            <wp:effectExtent l="0" t="0" r="0" b="0"/>
            <wp:docPr id="458633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r="11399"/>
                    <a:stretch>
                      <a:fillRect/>
                    </a:stretch>
                  </pic:blipFill>
                  <pic:spPr bwMode="auto">
                    <a:xfrm>
                      <a:off x="0" y="0"/>
                      <a:ext cx="4452960" cy="1815477"/>
                    </a:xfrm>
                    <a:prstGeom prst="rect">
                      <a:avLst/>
                    </a:prstGeom>
                    <a:noFill/>
                    <a:ln>
                      <a:noFill/>
                    </a:ln>
                    <a:extLst>
                      <a:ext uri="{53640926-AAD7-44D8-BBD7-CCE9431645EC}">
                        <a14:shadowObscured xmlns:a14="http://schemas.microsoft.com/office/drawing/2010/main"/>
                      </a:ext>
                    </a:extLst>
                  </pic:spPr>
                </pic:pic>
              </a:graphicData>
            </a:graphic>
          </wp:inline>
        </w:drawing>
      </w:r>
    </w:p>
    <w:p w14:paraId="26DAD738" w14:textId="6EDDB861" w:rsidR="00E061F6" w:rsidRDefault="00E061F6" w:rsidP="00E061F6">
      <w:pPr>
        <w:spacing w:after="0" w:line="480" w:lineRule="auto"/>
        <w:rPr>
          <w:rFonts w:ascii="Times New Roman" w:hAnsi="Times New Roman" w:cs="Times New Roman"/>
          <w:sz w:val="20"/>
          <w:szCs w:val="20"/>
        </w:rPr>
      </w:pPr>
    </w:p>
    <w:p w14:paraId="094DF237" w14:textId="77777777" w:rsidR="00846319" w:rsidRDefault="00846319" w:rsidP="00E061F6">
      <w:pPr>
        <w:spacing w:after="0" w:line="480" w:lineRule="auto"/>
        <w:rPr>
          <w:rFonts w:ascii="Times New Roman" w:hAnsi="Times New Roman" w:cs="Times New Roman"/>
          <w:sz w:val="20"/>
          <w:szCs w:val="20"/>
        </w:rPr>
      </w:pPr>
    </w:p>
    <w:p w14:paraId="75E40318" w14:textId="77777777" w:rsidR="00846319" w:rsidRDefault="00846319" w:rsidP="00E061F6">
      <w:pPr>
        <w:spacing w:after="0" w:line="480" w:lineRule="auto"/>
        <w:rPr>
          <w:rFonts w:ascii="Times New Roman" w:hAnsi="Times New Roman" w:cs="Times New Roman"/>
          <w:sz w:val="20"/>
          <w:szCs w:val="20"/>
        </w:rPr>
      </w:pPr>
    </w:p>
    <w:p w14:paraId="07C2679E" w14:textId="77777777" w:rsidR="00846319" w:rsidRPr="0099426D" w:rsidRDefault="00846319" w:rsidP="00E061F6">
      <w:pPr>
        <w:spacing w:after="0" w:line="480" w:lineRule="auto"/>
        <w:rPr>
          <w:rFonts w:ascii="Times New Roman" w:hAnsi="Times New Roman" w:cs="Times New Roman"/>
          <w:sz w:val="20"/>
          <w:szCs w:val="20"/>
        </w:rPr>
      </w:pPr>
    </w:p>
    <w:p w14:paraId="09ABA66B" w14:textId="77777777" w:rsidR="00846319" w:rsidRDefault="00846319" w:rsidP="00E061F6">
      <w:pPr>
        <w:spacing w:after="0" w:line="480" w:lineRule="auto"/>
        <w:rPr>
          <w:rFonts w:ascii="Times New Roman" w:hAnsi="Times New Roman" w:cs="Times New Roman"/>
          <w:b/>
          <w:bCs/>
          <w:sz w:val="20"/>
          <w:szCs w:val="20"/>
        </w:rPr>
      </w:pPr>
    </w:p>
    <w:p w14:paraId="659A54EC" w14:textId="3E958761" w:rsidR="00846319" w:rsidRDefault="00846319" w:rsidP="00E061F6">
      <w:pPr>
        <w:spacing w:after="0" w:line="480" w:lineRule="auto"/>
        <w:rPr>
          <w:rFonts w:ascii="Times New Roman" w:hAnsi="Times New Roman" w:cs="Times New Roman"/>
          <w:b/>
          <w:bCs/>
          <w:sz w:val="20"/>
          <w:szCs w:val="20"/>
        </w:rPr>
      </w:pPr>
      <w:r w:rsidRPr="000873F0">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7435EB7D" wp14:editId="09776457">
                <wp:simplePos x="0" y="0"/>
                <wp:positionH relativeFrom="margin">
                  <wp:align>left</wp:align>
                </wp:positionH>
                <wp:positionV relativeFrom="paragraph">
                  <wp:posOffset>2033270</wp:posOffset>
                </wp:positionV>
                <wp:extent cx="6165850" cy="1404620"/>
                <wp:effectExtent l="0" t="0" r="25400" b="21590"/>
                <wp:wrapSquare wrapText="bothSides"/>
                <wp:docPr id="468807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9525">
                          <a:solidFill>
                            <a:srgbClr val="000000"/>
                          </a:solidFill>
                          <a:miter lim="800000"/>
                          <a:headEnd/>
                          <a:tailEnd/>
                        </a:ln>
                      </wps:spPr>
                      <wps:txbx>
                        <w:txbxContent>
                          <w:p w14:paraId="6DE19C86" w14:textId="2B1B78C3" w:rsidR="00846319" w:rsidRPr="00846319" w:rsidRDefault="00846319" w:rsidP="00846319">
                            <w:pPr>
                              <w:spacing w:after="0" w:line="240" w:lineRule="auto"/>
                              <w:rPr>
                                <w:rFonts w:ascii="Times New Roman" w:hAnsi="Times New Roman" w:cs="Times New Roman"/>
                                <w:sz w:val="18"/>
                                <w:szCs w:val="18"/>
                              </w:rPr>
                            </w:pPr>
                            <w:r w:rsidRPr="00846319">
                              <w:rPr>
                                <w:rFonts w:ascii="Times New Roman" w:hAnsi="Times New Roman" w:cs="Times New Roman"/>
                                <w:b/>
                                <w:bCs/>
                                <w:sz w:val="18"/>
                                <w:szCs w:val="18"/>
                              </w:rPr>
                              <w:t xml:space="preserve">Supplementary Figure 2. Validation of </w:t>
                            </w:r>
                            <w:r w:rsidRPr="00846319">
                              <w:rPr>
                                <w:rFonts w:ascii="Times New Roman" w:hAnsi="Times New Roman" w:cs="Times New Roman"/>
                                <w:b/>
                                <w:bCs/>
                                <w:i/>
                                <w:iCs/>
                                <w:sz w:val="18"/>
                                <w:szCs w:val="18"/>
                              </w:rPr>
                              <w:t>in vivo</w:t>
                            </w:r>
                            <w:r w:rsidRPr="00846319">
                              <w:rPr>
                                <w:rFonts w:ascii="Times New Roman" w:hAnsi="Times New Roman" w:cs="Times New Roman"/>
                                <w:b/>
                                <w:bCs/>
                                <w:sz w:val="18"/>
                                <w:szCs w:val="18"/>
                              </w:rPr>
                              <w:t xml:space="preserve"> TRIM21 knockdown efficiency. </w:t>
                            </w:r>
                            <w:r w:rsidRPr="00846319">
                              <w:rPr>
                                <w:rFonts w:ascii="Times New Roman" w:hAnsi="Times New Roman" w:cs="Times New Roman"/>
                                <w:sz w:val="18"/>
                                <w:szCs w:val="18"/>
                              </w:rPr>
                              <w:t xml:space="preserve">Validation of TRIM21 knockdown in the isolated microvessels from hippocampus of SD female rats by representative immunoblots and quantification (n=7/group) </w:t>
                            </w:r>
                            <w:r w:rsidRPr="00846319">
                              <w:rPr>
                                <w:rFonts w:ascii="Times New Roman" w:hAnsi="Times New Roman" w:cs="Times New Roman"/>
                                <w:b/>
                                <w:bCs/>
                                <w:sz w:val="18"/>
                                <w:szCs w:val="18"/>
                              </w:rPr>
                              <w:t>(A-B)</w:t>
                            </w:r>
                            <w:r w:rsidRPr="00846319">
                              <w:rPr>
                                <w:rFonts w:ascii="Times New Roman" w:hAnsi="Times New Roman" w:cs="Times New Roman"/>
                                <w:sz w:val="18"/>
                                <w:szCs w:val="18"/>
                              </w:rPr>
                              <w:t xml:space="preserve">. Data are presented as mean with 95% CI; Data analyzed with Factorial ANOVAs; p-values are indicated for specific pairwise comparisons post-hoc.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35EB7D" id="_x0000_s1027" type="#_x0000_t202" style="position:absolute;margin-left:0;margin-top:160.1pt;width:485.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5kEw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aqWC2vluji6CsW+WI1T2XJWPl03TofPkjoSFxU1GFVkzw73vsQw2Hl05H4mgetxE5pnQy3&#10;r7fakSPDDtilkTJ4cUwb0lf0ejlfjgT+KpGn8SeJTgVsZa26il6dD7EycntvRGq0wJQe1xiyNhPI&#10;yG6kGIZ6IEpMlCPXGsQJyToYOxd/Gi5acD8p6bFrK+p/HJiTlOiPBqtzXSwWsc2TsVi+RZTEXXrq&#10;Sw8zHKUqGigZl9uQvkbiZm+xijuV+D5HMoWM3ZiwTz8ntvulnU49/+/NLwAAAP//AwBQSwMEFAAG&#10;AAgAAAAhANAnu8PdAAAACAEAAA8AAABkcnMvZG93bnJldi54bWxMj8FOwzAQRO9I/IO1SFwq6iRt&#10;CoRsKqjUE6eGcnfjJYmI18F22/TvMadynJ3VzJtyPZlBnMj53jJCOk9AEDdW99wi7D+2D08gfFCs&#10;1WCZEC7kYV3d3pSq0PbMOzrVoRUxhH2hELoQxkJK33RklJ/bkTh6X9YZFaJ0rdROnWO4GWSWJCtp&#10;VM+xoVMjbTpqvuujQVj91IvZ+6ee8e6yfXONyfVmnyPe302vLyACTeH6DH/4ER2qyHSwR9ZeDAhx&#10;SEBYZEkGItrPj2m8HBDyZboEWZXy/4DqFwAA//8DAFBLAQItABQABgAIAAAAIQC2gziS/gAAAOEB&#10;AAATAAAAAAAAAAAAAAAAAAAAAABbQ29udGVudF9UeXBlc10ueG1sUEsBAi0AFAAGAAgAAAAhADj9&#10;If/WAAAAlAEAAAsAAAAAAAAAAAAAAAAALwEAAF9yZWxzLy5yZWxzUEsBAi0AFAAGAAgAAAAhAN3e&#10;nmQTAgAAJwQAAA4AAAAAAAAAAAAAAAAALgIAAGRycy9lMm9Eb2MueG1sUEsBAi0AFAAGAAgAAAAh&#10;ANAnu8PdAAAACAEAAA8AAAAAAAAAAAAAAAAAbQQAAGRycy9kb3ducmV2LnhtbFBLBQYAAAAABAAE&#10;APMAAAB3BQAAAAA=&#10;">
                <v:textbox style="mso-fit-shape-to-text:t">
                  <w:txbxContent>
                    <w:p w14:paraId="6DE19C86" w14:textId="2B1B78C3" w:rsidR="00846319" w:rsidRPr="00846319" w:rsidRDefault="00846319" w:rsidP="00846319">
                      <w:pPr>
                        <w:spacing w:after="0" w:line="240" w:lineRule="auto"/>
                        <w:rPr>
                          <w:rFonts w:ascii="Times New Roman" w:hAnsi="Times New Roman" w:cs="Times New Roman"/>
                          <w:sz w:val="18"/>
                          <w:szCs w:val="18"/>
                        </w:rPr>
                      </w:pPr>
                      <w:r w:rsidRPr="00846319">
                        <w:rPr>
                          <w:rFonts w:ascii="Times New Roman" w:hAnsi="Times New Roman" w:cs="Times New Roman"/>
                          <w:b/>
                          <w:bCs/>
                          <w:sz w:val="18"/>
                          <w:szCs w:val="18"/>
                        </w:rPr>
                        <w:t xml:space="preserve">Supplementary Figure 2. Validation of </w:t>
                      </w:r>
                      <w:r w:rsidRPr="00846319">
                        <w:rPr>
                          <w:rFonts w:ascii="Times New Roman" w:hAnsi="Times New Roman" w:cs="Times New Roman"/>
                          <w:b/>
                          <w:bCs/>
                          <w:i/>
                          <w:iCs/>
                          <w:sz w:val="18"/>
                          <w:szCs w:val="18"/>
                        </w:rPr>
                        <w:t>in vivo</w:t>
                      </w:r>
                      <w:r w:rsidRPr="00846319">
                        <w:rPr>
                          <w:rFonts w:ascii="Times New Roman" w:hAnsi="Times New Roman" w:cs="Times New Roman"/>
                          <w:b/>
                          <w:bCs/>
                          <w:sz w:val="18"/>
                          <w:szCs w:val="18"/>
                        </w:rPr>
                        <w:t xml:space="preserve"> TRIM21 knockdown efficiency. </w:t>
                      </w:r>
                      <w:r w:rsidRPr="00846319">
                        <w:rPr>
                          <w:rFonts w:ascii="Times New Roman" w:hAnsi="Times New Roman" w:cs="Times New Roman"/>
                          <w:sz w:val="18"/>
                          <w:szCs w:val="18"/>
                        </w:rPr>
                        <w:t xml:space="preserve">Validation of TRIM21 knockdown in the isolated microvessels from hippocampus of SD female rats by representative immunoblots and quantification (n=7/group) </w:t>
                      </w:r>
                      <w:r w:rsidRPr="00846319">
                        <w:rPr>
                          <w:rFonts w:ascii="Times New Roman" w:hAnsi="Times New Roman" w:cs="Times New Roman"/>
                          <w:b/>
                          <w:bCs/>
                          <w:sz w:val="18"/>
                          <w:szCs w:val="18"/>
                        </w:rPr>
                        <w:t>(A-B)</w:t>
                      </w:r>
                      <w:r w:rsidRPr="00846319">
                        <w:rPr>
                          <w:rFonts w:ascii="Times New Roman" w:hAnsi="Times New Roman" w:cs="Times New Roman"/>
                          <w:sz w:val="18"/>
                          <w:szCs w:val="18"/>
                        </w:rPr>
                        <w:t xml:space="preserve">. Data are presented as mean with 95% CI; Data analyzed with Factorial ANOVAs; p-values are indicated for specific pairwise comparisons post-hoc. </w:t>
                      </w:r>
                    </w:p>
                  </w:txbxContent>
                </v:textbox>
                <w10:wrap type="square" anchorx="margin"/>
              </v:shape>
            </w:pict>
          </mc:Fallback>
        </mc:AlternateContent>
      </w:r>
      <w:r>
        <w:rPr>
          <w:rFonts w:ascii="Times New Roman" w:hAnsi="Times New Roman" w:cs="Times New Roman"/>
          <w:b/>
          <w:bCs/>
          <w:noProof/>
          <w:sz w:val="20"/>
          <w:szCs w:val="20"/>
        </w:rPr>
        <w:drawing>
          <wp:inline distT="0" distB="0" distL="0" distR="0" wp14:anchorId="6E885F04" wp14:editId="56E0F67F">
            <wp:extent cx="3578625" cy="1758950"/>
            <wp:effectExtent l="0" t="0" r="0" b="0"/>
            <wp:docPr id="177005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2725" cy="1765880"/>
                    </a:xfrm>
                    <a:prstGeom prst="rect">
                      <a:avLst/>
                    </a:prstGeom>
                    <a:noFill/>
                  </pic:spPr>
                </pic:pic>
              </a:graphicData>
            </a:graphic>
          </wp:inline>
        </w:drawing>
      </w:r>
    </w:p>
    <w:p w14:paraId="6C0744A7" w14:textId="61777377" w:rsidR="00846319" w:rsidRDefault="00846319" w:rsidP="00E061F6">
      <w:pPr>
        <w:spacing w:after="0" w:line="480" w:lineRule="auto"/>
        <w:rPr>
          <w:rFonts w:ascii="Times New Roman" w:hAnsi="Times New Roman" w:cs="Times New Roman"/>
          <w:b/>
          <w:bCs/>
          <w:sz w:val="20"/>
          <w:szCs w:val="20"/>
        </w:rPr>
      </w:pPr>
    </w:p>
    <w:p w14:paraId="0F0F90FD" w14:textId="77777777" w:rsidR="00E061F6" w:rsidRDefault="00E061F6" w:rsidP="00E061F6">
      <w:pPr>
        <w:spacing w:after="0" w:line="480" w:lineRule="auto"/>
        <w:rPr>
          <w:rFonts w:ascii="Times New Roman" w:hAnsi="Times New Roman" w:cs="Times New Roman"/>
          <w:sz w:val="20"/>
          <w:szCs w:val="20"/>
        </w:rPr>
      </w:pPr>
    </w:p>
    <w:p w14:paraId="266F0E73" w14:textId="77777777" w:rsidR="00846319" w:rsidRDefault="00846319" w:rsidP="00E061F6">
      <w:pPr>
        <w:spacing w:after="0" w:line="480" w:lineRule="auto"/>
        <w:rPr>
          <w:rFonts w:ascii="Times New Roman" w:hAnsi="Times New Roman" w:cs="Times New Roman"/>
          <w:sz w:val="20"/>
          <w:szCs w:val="20"/>
        </w:rPr>
      </w:pPr>
    </w:p>
    <w:p w14:paraId="7186B68C" w14:textId="47ED1F2E" w:rsidR="00846319" w:rsidRDefault="00846319" w:rsidP="00E061F6">
      <w:pPr>
        <w:spacing w:after="0" w:line="480" w:lineRule="auto"/>
        <w:rPr>
          <w:rFonts w:ascii="Times New Roman" w:hAnsi="Times New Roman" w:cs="Times New Roman"/>
          <w:sz w:val="20"/>
          <w:szCs w:val="20"/>
        </w:rPr>
      </w:pPr>
      <w:r w:rsidRPr="000873F0">
        <w:rPr>
          <w:rFonts w:ascii="Times New Roman" w:hAnsi="Times New Roman" w:cs="Times New Roman"/>
          <w:noProof/>
          <w:sz w:val="20"/>
          <w:szCs w:val="20"/>
        </w:rPr>
        <mc:AlternateContent>
          <mc:Choice Requires="wps">
            <w:drawing>
              <wp:anchor distT="45720" distB="45720" distL="114300" distR="114300" simplePos="0" relativeHeight="251663360" behindDoc="0" locked="0" layoutInCell="1" allowOverlap="1" wp14:anchorId="28A955A0" wp14:editId="6ED20C1D">
                <wp:simplePos x="0" y="0"/>
                <wp:positionH relativeFrom="margin">
                  <wp:align>left</wp:align>
                </wp:positionH>
                <wp:positionV relativeFrom="paragraph">
                  <wp:posOffset>2059305</wp:posOffset>
                </wp:positionV>
                <wp:extent cx="6165850" cy="1404620"/>
                <wp:effectExtent l="0" t="0" r="25400" b="21590"/>
                <wp:wrapSquare wrapText="bothSides"/>
                <wp:docPr id="2014198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9525">
                          <a:solidFill>
                            <a:srgbClr val="000000"/>
                          </a:solidFill>
                          <a:miter lim="800000"/>
                          <a:headEnd/>
                          <a:tailEnd/>
                        </a:ln>
                      </wps:spPr>
                      <wps:txbx>
                        <w:txbxContent>
                          <w:p w14:paraId="26CB9B7E" w14:textId="77777777" w:rsidR="00846319" w:rsidRPr="00846319" w:rsidRDefault="00846319" w:rsidP="00846319">
                            <w:pPr>
                              <w:spacing w:after="0" w:line="240" w:lineRule="auto"/>
                              <w:rPr>
                                <w:rFonts w:ascii="Times New Roman" w:hAnsi="Times New Roman" w:cs="Times New Roman"/>
                                <w:sz w:val="18"/>
                                <w:szCs w:val="18"/>
                              </w:rPr>
                            </w:pPr>
                            <w:r w:rsidRPr="00846319">
                              <w:rPr>
                                <w:rFonts w:ascii="Times New Roman" w:hAnsi="Times New Roman" w:cs="Times New Roman"/>
                                <w:b/>
                                <w:bCs/>
                                <w:sz w:val="18"/>
                                <w:szCs w:val="18"/>
                              </w:rPr>
                              <w:t xml:space="preserve">Supplementary Figure 3. RSD, TRIM21 knockdown and disulfiram do not induce cell death in PBMCs. </w:t>
                            </w:r>
                            <w:r w:rsidRPr="00846319">
                              <w:rPr>
                                <w:rFonts w:ascii="Times New Roman" w:hAnsi="Times New Roman" w:cs="Times New Roman"/>
                                <w:sz w:val="18"/>
                                <w:szCs w:val="18"/>
                              </w:rPr>
                              <w:t xml:space="preserve">Cell viability of PBMCs from RSD rats treated </w:t>
                            </w:r>
                            <w:r w:rsidRPr="00846319">
                              <w:rPr>
                                <w:rFonts w:ascii="Times New Roman" w:hAnsi="Times New Roman" w:cs="Times New Roman"/>
                                <w:i/>
                                <w:iCs/>
                                <w:sz w:val="18"/>
                                <w:szCs w:val="18"/>
                              </w:rPr>
                              <w:t>in vitro</w:t>
                            </w:r>
                            <w:r w:rsidRPr="00846319">
                              <w:rPr>
                                <w:rFonts w:ascii="Times New Roman" w:hAnsi="Times New Roman" w:cs="Times New Roman"/>
                                <w:sz w:val="18"/>
                                <w:szCs w:val="18"/>
                              </w:rPr>
                              <w:t xml:space="preserve"> with scrabbled siRNA, </w:t>
                            </w:r>
                            <w:r w:rsidRPr="00846319">
                              <w:rPr>
                                <w:rFonts w:ascii="Times New Roman" w:hAnsi="Times New Roman" w:cs="Times New Roman"/>
                                <w:i/>
                                <w:iCs/>
                                <w:sz w:val="18"/>
                                <w:szCs w:val="18"/>
                              </w:rPr>
                              <w:t>Trim21</w:t>
                            </w:r>
                            <w:r w:rsidRPr="00846319">
                              <w:rPr>
                                <w:rFonts w:ascii="Times New Roman" w:hAnsi="Times New Roman" w:cs="Times New Roman"/>
                                <w:sz w:val="18"/>
                                <w:szCs w:val="18"/>
                              </w:rPr>
                              <w:t xml:space="preserve"> siRNA, or disulfiram, assessed by WST-8 assay (n=7-9/group)</w:t>
                            </w:r>
                            <w:r w:rsidRPr="00846319">
                              <w:rPr>
                                <w:rFonts w:ascii="Times New Roman" w:hAnsi="Times New Roman" w:cs="Times New Roman"/>
                                <w:b/>
                                <w:bCs/>
                                <w:sz w:val="18"/>
                                <w:szCs w:val="18"/>
                              </w:rPr>
                              <w:t xml:space="preserve"> (A)</w:t>
                            </w:r>
                            <w:r w:rsidRPr="00846319">
                              <w:rPr>
                                <w:rFonts w:ascii="Times New Roman" w:hAnsi="Times New Roman" w:cs="Times New Roman"/>
                                <w:sz w:val="18"/>
                                <w:szCs w:val="18"/>
                              </w:rPr>
                              <w:t xml:space="preserve">. Data are presented as mean with 95% </w:t>
                            </w:r>
                            <w:proofErr w:type="gramStart"/>
                            <w:r w:rsidRPr="00846319">
                              <w:rPr>
                                <w:rFonts w:ascii="Times New Roman" w:hAnsi="Times New Roman" w:cs="Times New Roman"/>
                                <w:sz w:val="18"/>
                                <w:szCs w:val="18"/>
                              </w:rPr>
                              <w:t>CI;</w:t>
                            </w:r>
                            <w:proofErr w:type="gramEnd"/>
                            <w:r w:rsidRPr="00846319">
                              <w:rPr>
                                <w:rFonts w:ascii="Times New Roman" w:hAnsi="Times New Roman" w:cs="Times New Roman"/>
                                <w:sz w:val="18"/>
                                <w:szCs w:val="18"/>
                              </w:rPr>
                              <w:t xml:space="preserve"> Data analyzed with Factorial ANOVAs.  </w:t>
                            </w:r>
                          </w:p>
                          <w:p w14:paraId="6D97F6CA" w14:textId="01B5640B" w:rsidR="00846319" w:rsidRPr="00846319" w:rsidRDefault="00846319" w:rsidP="00846319">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A955A0" id="_x0000_s1028" type="#_x0000_t202" style="position:absolute;margin-left:0;margin-top:162.15pt;width:485.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lFQIAACc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LkoFvOrObkE+YpZPltMU1kyKJ+uW+fDB4kdi4uKO6pqkofDvQ8xHCifjsTXPGpVb5TWyXC7&#10;7Vo7dgDqgE0aKYMXx7RhfcWv59P5SOCvEnkaf5LoVKBW1qqr+NX5EJSR23tTp0YLoPS4ppC1OYGM&#10;7EaKYdgOTNUVn8YHItct1kci63DsXPpptGjR/eSsp66tuP+xByc50x8NVee6mM1imydjNn9LKJm7&#10;9GwvPWAESVU8cDYu1yF9jcTN3lIVNyrxfY7kFDJ1Y8J++jmx3S/tdOr5f69+AQAA//8DAFBLAwQU&#10;AAYACAAAACEAhab0gd4AAAAIAQAADwAAAGRycy9kb3ducmV2LnhtbEyPwW7CMBBE75X6D9ZW6gUV&#10;B4KBptmgFolTT6T0buJtEjVep7GB8Pd1T/Q4O6uZN/lmtJ040+BbxwizaQKCuHKm5Rrh8LF7WoPw&#10;QbPRnWNCuJKHTXF/l+vMuAvv6VyGWsQQ9plGaELoMyl91ZDVfup64uh9ucHqEOVQSzPoSwy3nZwn&#10;yVJa3XJsaHRP24aq7/JkEZY/ZTp5/zQT3l93b0NlldkeFOLjw/j6AiLQGG7P8Icf0aGITEd3YuNF&#10;hxCHBIR0vkhBRPt5NYuXI4JaKAWyyOX/AcUvAAAA//8DAFBLAQItABQABgAIAAAAIQC2gziS/gAA&#10;AOEBAAATAAAAAAAAAAAAAAAAAAAAAABbQ29udGVudF9UeXBlc10ueG1sUEsBAi0AFAAGAAgAAAAh&#10;ADj9If/WAAAAlAEAAAsAAAAAAAAAAAAAAAAALwEAAF9yZWxzLy5yZWxzUEsBAi0AFAAGAAgAAAAh&#10;AOoAXKUVAgAAJwQAAA4AAAAAAAAAAAAAAAAALgIAAGRycy9lMm9Eb2MueG1sUEsBAi0AFAAGAAgA&#10;AAAhAIWm9IHeAAAACAEAAA8AAAAAAAAAAAAAAAAAbwQAAGRycy9kb3ducmV2LnhtbFBLBQYAAAAA&#10;BAAEAPMAAAB6BQAAAAA=&#10;">
                <v:textbox style="mso-fit-shape-to-text:t">
                  <w:txbxContent>
                    <w:p w14:paraId="26CB9B7E" w14:textId="77777777" w:rsidR="00846319" w:rsidRPr="00846319" w:rsidRDefault="00846319" w:rsidP="00846319">
                      <w:pPr>
                        <w:spacing w:after="0" w:line="240" w:lineRule="auto"/>
                        <w:rPr>
                          <w:rFonts w:ascii="Times New Roman" w:hAnsi="Times New Roman" w:cs="Times New Roman"/>
                          <w:sz w:val="18"/>
                          <w:szCs w:val="18"/>
                        </w:rPr>
                      </w:pPr>
                      <w:r w:rsidRPr="00846319">
                        <w:rPr>
                          <w:rFonts w:ascii="Times New Roman" w:hAnsi="Times New Roman" w:cs="Times New Roman"/>
                          <w:b/>
                          <w:bCs/>
                          <w:sz w:val="18"/>
                          <w:szCs w:val="18"/>
                        </w:rPr>
                        <w:t xml:space="preserve">Supplementary Figure 3. RSD, TRIM21 knockdown and disulfiram do not induce cell death in PBMCs. </w:t>
                      </w:r>
                      <w:r w:rsidRPr="00846319">
                        <w:rPr>
                          <w:rFonts w:ascii="Times New Roman" w:hAnsi="Times New Roman" w:cs="Times New Roman"/>
                          <w:sz w:val="18"/>
                          <w:szCs w:val="18"/>
                        </w:rPr>
                        <w:t xml:space="preserve">Cell viability of PBMCs from RSD rats treated </w:t>
                      </w:r>
                      <w:r w:rsidRPr="00846319">
                        <w:rPr>
                          <w:rFonts w:ascii="Times New Roman" w:hAnsi="Times New Roman" w:cs="Times New Roman"/>
                          <w:i/>
                          <w:iCs/>
                          <w:sz w:val="18"/>
                          <w:szCs w:val="18"/>
                        </w:rPr>
                        <w:t>in vitro</w:t>
                      </w:r>
                      <w:r w:rsidRPr="00846319">
                        <w:rPr>
                          <w:rFonts w:ascii="Times New Roman" w:hAnsi="Times New Roman" w:cs="Times New Roman"/>
                          <w:sz w:val="18"/>
                          <w:szCs w:val="18"/>
                        </w:rPr>
                        <w:t xml:space="preserve"> with scrabbled siRNA, </w:t>
                      </w:r>
                      <w:r w:rsidRPr="00846319">
                        <w:rPr>
                          <w:rFonts w:ascii="Times New Roman" w:hAnsi="Times New Roman" w:cs="Times New Roman"/>
                          <w:i/>
                          <w:iCs/>
                          <w:sz w:val="18"/>
                          <w:szCs w:val="18"/>
                        </w:rPr>
                        <w:t>Trim21</w:t>
                      </w:r>
                      <w:r w:rsidRPr="00846319">
                        <w:rPr>
                          <w:rFonts w:ascii="Times New Roman" w:hAnsi="Times New Roman" w:cs="Times New Roman"/>
                          <w:sz w:val="18"/>
                          <w:szCs w:val="18"/>
                        </w:rPr>
                        <w:t xml:space="preserve"> siRNA, or disulfiram, assessed by WST-8 assay (n=7-9/group)</w:t>
                      </w:r>
                      <w:r w:rsidRPr="00846319">
                        <w:rPr>
                          <w:rFonts w:ascii="Times New Roman" w:hAnsi="Times New Roman" w:cs="Times New Roman"/>
                          <w:b/>
                          <w:bCs/>
                          <w:sz w:val="18"/>
                          <w:szCs w:val="18"/>
                        </w:rPr>
                        <w:t xml:space="preserve"> (A)</w:t>
                      </w:r>
                      <w:r w:rsidRPr="00846319">
                        <w:rPr>
                          <w:rFonts w:ascii="Times New Roman" w:hAnsi="Times New Roman" w:cs="Times New Roman"/>
                          <w:sz w:val="18"/>
                          <w:szCs w:val="18"/>
                        </w:rPr>
                        <w:t xml:space="preserve">. Data are presented as mean with 95% </w:t>
                      </w:r>
                      <w:proofErr w:type="gramStart"/>
                      <w:r w:rsidRPr="00846319">
                        <w:rPr>
                          <w:rFonts w:ascii="Times New Roman" w:hAnsi="Times New Roman" w:cs="Times New Roman"/>
                          <w:sz w:val="18"/>
                          <w:szCs w:val="18"/>
                        </w:rPr>
                        <w:t>CI;</w:t>
                      </w:r>
                      <w:proofErr w:type="gramEnd"/>
                      <w:r w:rsidRPr="00846319">
                        <w:rPr>
                          <w:rFonts w:ascii="Times New Roman" w:hAnsi="Times New Roman" w:cs="Times New Roman"/>
                          <w:sz w:val="18"/>
                          <w:szCs w:val="18"/>
                        </w:rPr>
                        <w:t xml:space="preserve"> Data analyzed with Factorial ANOVAs.  </w:t>
                      </w:r>
                    </w:p>
                    <w:p w14:paraId="6D97F6CA" w14:textId="01B5640B" w:rsidR="00846319" w:rsidRPr="00846319" w:rsidRDefault="00846319" w:rsidP="00846319">
                      <w:pPr>
                        <w:spacing w:after="0" w:line="240" w:lineRule="auto"/>
                        <w:rPr>
                          <w:rFonts w:ascii="Times New Roman" w:hAnsi="Times New Roman" w:cs="Times New Roman"/>
                          <w:sz w:val="18"/>
                          <w:szCs w:val="18"/>
                        </w:rPr>
                      </w:pPr>
                    </w:p>
                  </w:txbxContent>
                </v:textbox>
                <w10:wrap type="square" anchorx="margin"/>
              </v:shape>
            </w:pict>
          </mc:Fallback>
        </mc:AlternateContent>
      </w:r>
      <w:r>
        <w:rPr>
          <w:rFonts w:ascii="Times New Roman" w:hAnsi="Times New Roman" w:cs="Times New Roman"/>
          <w:noProof/>
          <w:sz w:val="20"/>
          <w:szCs w:val="20"/>
        </w:rPr>
        <w:drawing>
          <wp:inline distT="0" distB="0" distL="0" distR="0" wp14:anchorId="074FACC7" wp14:editId="1ECD2AEE">
            <wp:extent cx="2419350" cy="1963956"/>
            <wp:effectExtent l="0" t="0" r="0" b="0"/>
            <wp:docPr id="13902136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4369" cy="1968030"/>
                    </a:xfrm>
                    <a:prstGeom prst="rect">
                      <a:avLst/>
                    </a:prstGeom>
                    <a:noFill/>
                  </pic:spPr>
                </pic:pic>
              </a:graphicData>
            </a:graphic>
          </wp:inline>
        </w:drawing>
      </w:r>
    </w:p>
    <w:p w14:paraId="5E5CDF91" w14:textId="0BEAC0A5" w:rsidR="00846319" w:rsidRDefault="00846319" w:rsidP="00E061F6">
      <w:pPr>
        <w:spacing w:after="0" w:line="480" w:lineRule="auto"/>
        <w:rPr>
          <w:rFonts w:ascii="Times New Roman" w:hAnsi="Times New Roman" w:cs="Times New Roman"/>
          <w:sz w:val="20"/>
          <w:szCs w:val="20"/>
        </w:rPr>
      </w:pPr>
    </w:p>
    <w:p w14:paraId="23A078D2" w14:textId="77777777" w:rsidR="00846319" w:rsidRDefault="00846319" w:rsidP="00E061F6">
      <w:pPr>
        <w:spacing w:after="0" w:line="480" w:lineRule="auto"/>
        <w:rPr>
          <w:rFonts w:ascii="Times New Roman" w:hAnsi="Times New Roman" w:cs="Times New Roman"/>
          <w:sz w:val="20"/>
          <w:szCs w:val="20"/>
        </w:rPr>
      </w:pPr>
    </w:p>
    <w:p w14:paraId="6BC6DD08" w14:textId="77777777" w:rsidR="00846319" w:rsidRDefault="00846319" w:rsidP="00E061F6">
      <w:pPr>
        <w:spacing w:after="0" w:line="480" w:lineRule="auto"/>
        <w:rPr>
          <w:rFonts w:ascii="Times New Roman" w:hAnsi="Times New Roman" w:cs="Times New Roman"/>
          <w:sz w:val="20"/>
          <w:szCs w:val="20"/>
        </w:rPr>
      </w:pPr>
    </w:p>
    <w:p w14:paraId="5DB09493" w14:textId="77777777" w:rsidR="00846319" w:rsidRDefault="00846319" w:rsidP="00E061F6">
      <w:pPr>
        <w:spacing w:after="0" w:line="480" w:lineRule="auto"/>
        <w:rPr>
          <w:rFonts w:ascii="Times New Roman" w:hAnsi="Times New Roman" w:cs="Times New Roman"/>
          <w:sz w:val="20"/>
          <w:szCs w:val="20"/>
        </w:rPr>
      </w:pPr>
    </w:p>
    <w:p w14:paraId="7D46AABC" w14:textId="77777777" w:rsidR="00846319" w:rsidRDefault="00846319" w:rsidP="00E061F6">
      <w:pPr>
        <w:spacing w:after="0" w:line="480" w:lineRule="auto"/>
        <w:rPr>
          <w:rFonts w:ascii="Times New Roman" w:hAnsi="Times New Roman" w:cs="Times New Roman"/>
          <w:sz w:val="20"/>
          <w:szCs w:val="20"/>
        </w:rPr>
      </w:pPr>
    </w:p>
    <w:p w14:paraId="434E7E5E" w14:textId="77777777" w:rsidR="00E061F6" w:rsidRDefault="00E061F6" w:rsidP="00E061F6">
      <w:pPr>
        <w:spacing w:after="0" w:line="480" w:lineRule="auto"/>
        <w:rPr>
          <w:rFonts w:ascii="Times New Roman" w:hAnsi="Times New Roman" w:cs="Times New Roman"/>
          <w:sz w:val="20"/>
          <w:szCs w:val="20"/>
        </w:rPr>
      </w:pPr>
    </w:p>
    <w:p w14:paraId="09D8303E" w14:textId="05D10F1E" w:rsidR="00846319" w:rsidRDefault="00846319" w:rsidP="00E061F6">
      <w:pPr>
        <w:spacing w:after="0" w:line="480" w:lineRule="auto"/>
        <w:rPr>
          <w:rFonts w:ascii="Times New Roman" w:hAnsi="Times New Roman" w:cs="Times New Roman"/>
          <w:sz w:val="20"/>
          <w:szCs w:val="20"/>
        </w:rPr>
      </w:pPr>
      <w:r w:rsidRPr="000873F0">
        <w:rPr>
          <w:rFonts w:ascii="Times New Roman" w:hAnsi="Times New Roman" w:cs="Times New Roman"/>
          <w:noProof/>
          <w:sz w:val="20"/>
          <w:szCs w:val="20"/>
        </w:rPr>
        <mc:AlternateContent>
          <mc:Choice Requires="wps">
            <w:drawing>
              <wp:anchor distT="45720" distB="45720" distL="114300" distR="114300" simplePos="0" relativeHeight="251665408" behindDoc="0" locked="0" layoutInCell="1" allowOverlap="1" wp14:anchorId="3807386F" wp14:editId="403D95DD">
                <wp:simplePos x="0" y="0"/>
                <wp:positionH relativeFrom="margin">
                  <wp:align>left</wp:align>
                </wp:positionH>
                <wp:positionV relativeFrom="paragraph">
                  <wp:posOffset>2230120</wp:posOffset>
                </wp:positionV>
                <wp:extent cx="6165850" cy="1404620"/>
                <wp:effectExtent l="0" t="0" r="25400" b="21590"/>
                <wp:wrapSquare wrapText="bothSides"/>
                <wp:docPr id="535660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9525">
                          <a:solidFill>
                            <a:srgbClr val="000000"/>
                          </a:solidFill>
                          <a:miter lim="800000"/>
                          <a:headEnd/>
                          <a:tailEnd/>
                        </a:ln>
                      </wps:spPr>
                      <wps:txbx>
                        <w:txbxContent>
                          <w:p w14:paraId="10F6490D" w14:textId="702D0297" w:rsidR="00846319" w:rsidRPr="00846319" w:rsidRDefault="00846319" w:rsidP="00846319">
                            <w:pPr>
                              <w:spacing w:after="0" w:line="240" w:lineRule="auto"/>
                              <w:rPr>
                                <w:rFonts w:ascii="Times New Roman" w:hAnsi="Times New Roman" w:cs="Times New Roman"/>
                                <w:sz w:val="18"/>
                                <w:szCs w:val="18"/>
                              </w:rPr>
                            </w:pPr>
                            <w:r w:rsidRPr="00846319">
                              <w:rPr>
                                <w:rFonts w:ascii="Times New Roman" w:hAnsi="Times New Roman" w:cs="Times New Roman"/>
                                <w:b/>
                                <w:bCs/>
                                <w:sz w:val="18"/>
                                <w:szCs w:val="18"/>
                              </w:rPr>
                              <w:t xml:space="preserve">Supplementary Figure 4. TRIM21 mediates RSD-induced endothelial activation </w:t>
                            </w:r>
                            <w:r w:rsidRPr="00846319">
                              <w:rPr>
                                <w:rFonts w:ascii="Times New Roman" w:hAnsi="Times New Roman" w:cs="Times New Roman"/>
                                <w:b/>
                                <w:bCs/>
                                <w:i/>
                                <w:iCs/>
                                <w:sz w:val="18"/>
                                <w:szCs w:val="18"/>
                              </w:rPr>
                              <w:t>in vitro</w:t>
                            </w:r>
                            <w:r w:rsidRPr="00846319">
                              <w:rPr>
                                <w:rFonts w:ascii="Times New Roman" w:hAnsi="Times New Roman" w:cs="Times New Roman"/>
                                <w:b/>
                                <w:bCs/>
                                <w:sz w:val="18"/>
                                <w:szCs w:val="18"/>
                              </w:rPr>
                              <w:t xml:space="preserve">. </w:t>
                            </w:r>
                            <w:r w:rsidRPr="00846319">
                              <w:rPr>
                                <w:rFonts w:ascii="Times New Roman" w:hAnsi="Times New Roman" w:cs="Times New Roman"/>
                                <w:i/>
                                <w:iCs/>
                                <w:sz w:val="18"/>
                                <w:szCs w:val="18"/>
                              </w:rPr>
                              <w:t>Trim21</w:t>
                            </w:r>
                            <w:r w:rsidRPr="00846319">
                              <w:rPr>
                                <w:rFonts w:ascii="Times New Roman" w:hAnsi="Times New Roman" w:cs="Times New Roman"/>
                                <w:sz w:val="18"/>
                                <w:szCs w:val="18"/>
                              </w:rPr>
                              <w:t xml:space="preserve"> mRNA expression in RBECs from the </w:t>
                            </w:r>
                            <w:r w:rsidRPr="00846319">
                              <w:rPr>
                                <w:rFonts w:ascii="Times New Roman" w:hAnsi="Times New Roman" w:cs="Times New Roman"/>
                                <w:i/>
                                <w:iCs/>
                                <w:sz w:val="18"/>
                                <w:szCs w:val="18"/>
                              </w:rPr>
                              <w:t>in vitro</w:t>
                            </w:r>
                            <w:r w:rsidRPr="00846319">
                              <w:rPr>
                                <w:rFonts w:ascii="Times New Roman" w:hAnsi="Times New Roman" w:cs="Times New Roman"/>
                                <w:sz w:val="18"/>
                                <w:szCs w:val="18"/>
                              </w:rPr>
                              <w:t xml:space="preserve"> model, measured by </w:t>
                            </w:r>
                            <w:proofErr w:type="spellStart"/>
                            <w:r w:rsidRPr="00846319">
                              <w:rPr>
                                <w:rFonts w:ascii="Times New Roman" w:hAnsi="Times New Roman" w:cs="Times New Roman"/>
                                <w:sz w:val="18"/>
                                <w:szCs w:val="18"/>
                              </w:rPr>
                              <w:t>qRT</w:t>
                            </w:r>
                            <w:proofErr w:type="spellEnd"/>
                            <w:r w:rsidRPr="00846319">
                              <w:rPr>
                                <w:rFonts w:ascii="Times New Roman" w:hAnsi="Times New Roman" w:cs="Times New Roman"/>
                                <w:sz w:val="18"/>
                                <w:szCs w:val="18"/>
                              </w:rPr>
                              <w:t xml:space="preserve">-PCR (n=8-9/group) </w:t>
                            </w:r>
                            <w:r w:rsidRPr="00846319">
                              <w:rPr>
                                <w:rFonts w:ascii="Times New Roman" w:hAnsi="Times New Roman" w:cs="Times New Roman"/>
                                <w:b/>
                                <w:bCs/>
                                <w:sz w:val="18"/>
                                <w:szCs w:val="18"/>
                              </w:rPr>
                              <w:t>(A)</w:t>
                            </w:r>
                            <w:r w:rsidRPr="00846319">
                              <w:rPr>
                                <w:rFonts w:ascii="Times New Roman" w:hAnsi="Times New Roman" w:cs="Times New Roman"/>
                                <w:sz w:val="18"/>
                                <w:szCs w:val="18"/>
                              </w:rPr>
                              <w:t xml:space="preserve">. Cell viability of RBECs under various treatment conditions, assessed by WST-8 assay (n=8-9/group) </w:t>
                            </w:r>
                            <w:r w:rsidRPr="00846319">
                              <w:rPr>
                                <w:rFonts w:ascii="Times New Roman" w:hAnsi="Times New Roman" w:cs="Times New Roman"/>
                                <w:b/>
                                <w:bCs/>
                                <w:sz w:val="18"/>
                                <w:szCs w:val="18"/>
                              </w:rPr>
                              <w:t>(B)</w:t>
                            </w:r>
                            <w:r w:rsidRPr="00846319">
                              <w:rPr>
                                <w:rFonts w:ascii="Times New Roman" w:hAnsi="Times New Roman" w:cs="Times New Roman"/>
                                <w:sz w:val="18"/>
                                <w:szCs w:val="18"/>
                              </w:rPr>
                              <w:t>. mRNA expression of endothelial activation genes </w:t>
                            </w:r>
                            <w:r w:rsidRPr="00846319">
                              <w:rPr>
                                <w:rFonts w:ascii="Times New Roman" w:hAnsi="Times New Roman" w:cs="Times New Roman"/>
                                <w:i/>
                                <w:iCs/>
                                <w:sz w:val="18"/>
                                <w:szCs w:val="18"/>
                              </w:rPr>
                              <w:t>MMP9</w:t>
                            </w:r>
                            <w:r w:rsidRPr="00846319">
                              <w:rPr>
                                <w:rFonts w:ascii="Times New Roman" w:hAnsi="Times New Roman" w:cs="Times New Roman"/>
                                <w:sz w:val="18"/>
                                <w:szCs w:val="18"/>
                              </w:rPr>
                              <w:t> </w:t>
                            </w:r>
                            <w:r w:rsidRPr="00846319">
                              <w:rPr>
                                <w:rFonts w:ascii="Times New Roman" w:hAnsi="Times New Roman" w:cs="Times New Roman"/>
                                <w:b/>
                                <w:bCs/>
                                <w:sz w:val="18"/>
                                <w:szCs w:val="18"/>
                              </w:rPr>
                              <w:t>(C)</w:t>
                            </w:r>
                            <w:r w:rsidRPr="00846319">
                              <w:rPr>
                                <w:rFonts w:ascii="Times New Roman" w:hAnsi="Times New Roman" w:cs="Times New Roman"/>
                                <w:sz w:val="18"/>
                                <w:szCs w:val="18"/>
                              </w:rPr>
                              <w:t xml:space="preserve"> and </w:t>
                            </w:r>
                            <w:r w:rsidRPr="00846319">
                              <w:rPr>
                                <w:rFonts w:ascii="Times New Roman" w:hAnsi="Times New Roman" w:cs="Times New Roman"/>
                                <w:i/>
                                <w:iCs/>
                                <w:sz w:val="18"/>
                                <w:szCs w:val="18"/>
                              </w:rPr>
                              <w:t>E-selectin</w:t>
                            </w:r>
                            <w:r w:rsidRPr="00846319">
                              <w:rPr>
                                <w:rFonts w:ascii="Times New Roman" w:hAnsi="Times New Roman" w:cs="Times New Roman"/>
                                <w:sz w:val="18"/>
                                <w:szCs w:val="18"/>
                              </w:rPr>
                              <w:t> </w:t>
                            </w:r>
                            <w:r w:rsidRPr="00846319">
                              <w:rPr>
                                <w:rFonts w:ascii="Times New Roman" w:hAnsi="Times New Roman" w:cs="Times New Roman"/>
                                <w:b/>
                                <w:bCs/>
                                <w:sz w:val="18"/>
                                <w:szCs w:val="18"/>
                              </w:rPr>
                              <w:t xml:space="preserve">(D) </w:t>
                            </w:r>
                            <w:r w:rsidRPr="00846319">
                              <w:rPr>
                                <w:rFonts w:ascii="Times New Roman" w:hAnsi="Times New Roman" w:cs="Times New Roman"/>
                                <w:sz w:val="18"/>
                                <w:szCs w:val="18"/>
                              </w:rPr>
                              <w:t>in RBECs (n=8-9/group). Data are presented as mean with 95% CI; Data analyzed with Factorial ANOVAs; p-values are indicated for specific pairwise comparisons post-hoc.</w:t>
                            </w:r>
                            <w:r>
                              <w:rPr>
                                <w:rFonts w:ascii="Times New Roman" w:hAnsi="Times New Roman" w:cs="Times New Roman"/>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07386F" id="_x0000_s1029" type="#_x0000_t202" style="position:absolute;margin-left:0;margin-top:175.6pt;width:485.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zJTFgIAACc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p8vFakEuQb7pPJ8vZ6ksGRSP163z4b3EjsVFyR1VNcnD8c6HGA4Uj0fiax61qndK62S4&#10;fbXVjh2BOmCXRsrg2TFtWF/yq8VsMRL4q0Sexp8kOhWolbXqSr46H4Iicntn6tRoAZQe1xSyNieQ&#10;kd1IMQzVwFRd8tfxgci1wvqByDocO5d+Gi1adD8566lrS+5/HMBJzvQHQ9W5ms7nsc2TMV+8IZTM&#10;XXqqSw8YQVIlD5yNy21IXyNxszdUxZ1KfJ8iOYVM3Ziwn35ObPdLO516+t+bXwAAAP//AwBQSwME&#10;FAAGAAgAAAAhAAUhSqjdAAAACAEAAA8AAABkcnMvZG93bnJldi54bWxMj8FOwzAQRO9I/IO1SFwq&#10;6iQlLYQ4FVTqiVNDubvxkkTE62C7bfr3LKdynJ3VzJtyPdlBnNCH3pGCdJ6AQGqc6alVsP/YPjyB&#10;CFGT0YMjVHDBAOvq9qbUhXFn2uGpjq3gEAqFVtDFOBZShqZDq8PcjUjsfTlvdWTpW2m8PnO4HWSW&#10;JEtpdU/c0OkRNx023/XRKlj+1IvZ+6eZ0e6yffONzc1mnyt1fze9voCIOMXrM/zhMzpUzHRwRzJB&#10;DAp4SFSwyNMMBNvPq5QvBwX5KnsEWZXy/4DqFwAA//8DAFBLAQItABQABgAIAAAAIQC2gziS/gAA&#10;AOEBAAATAAAAAAAAAAAAAAAAAAAAAABbQ29udGVudF9UeXBlc10ueG1sUEsBAi0AFAAGAAgAAAAh&#10;ADj9If/WAAAAlAEAAAsAAAAAAAAAAAAAAAAALwEAAF9yZWxzLy5yZWxzUEsBAi0AFAAGAAgAAAAh&#10;ADi3MlMWAgAAJwQAAA4AAAAAAAAAAAAAAAAALgIAAGRycy9lMm9Eb2MueG1sUEsBAi0AFAAGAAgA&#10;AAAhAAUhSqjdAAAACAEAAA8AAAAAAAAAAAAAAAAAcAQAAGRycy9kb3ducmV2LnhtbFBLBQYAAAAA&#10;BAAEAPMAAAB6BQAAAAA=&#10;">
                <v:textbox style="mso-fit-shape-to-text:t">
                  <w:txbxContent>
                    <w:p w14:paraId="10F6490D" w14:textId="702D0297" w:rsidR="00846319" w:rsidRPr="00846319" w:rsidRDefault="00846319" w:rsidP="00846319">
                      <w:pPr>
                        <w:spacing w:after="0" w:line="240" w:lineRule="auto"/>
                        <w:rPr>
                          <w:rFonts w:ascii="Times New Roman" w:hAnsi="Times New Roman" w:cs="Times New Roman"/>
                          <w:sz w:val="18"/>
                          <w:szCs w:val="18"/>
                        </w:rPr>
                      </w:pPr>
                      <w:r w:rsidRPr="00846319">
                        <w:rPr>
                          <w:rFonts w:ascii="Times New Roman" w:hAnsi="Times New Roman" w:cs="Times New Roman"/>
                          <w:b/>
                          <w:bCs/>
                          <w:sz w:val="18"/>
                          <w:szCs w:val="18"/>
                        </w:rPr>
                        <w:t xml:space="preserve">Supplementary Figure 4. TRIM21 mediates RSD-induced endothelial activation </w:t>
                      </w:r>
                      <w:r w:rsidRPr="00846319">
                        <w:rPr>
                          <w:rFonts w:ascii="Times New Roman" w:hAnsi="Times New Roman" w:cs="Times New Roman"/>
                          <w:b/>
                          <w:bCs/>
                          <w:i/>
                          <w:iCs/>
                          <w:sz w:val="18"/>
                          <w:szCs w:val="18"/>
                        </w:rPr>
                        <w:t>in vitro</w:t>
                      </w:r>
                      <w:r w:rsidRPr="00846319">
                        <w:rPr>
                          <w:rFonts w:ascii="Times New Roman" w:hAnsi="Times New Roman" w:cs="Times New Roman"/>
                          <w:b/>
                          <w:bCs/>
                          <w:sz w:val="18"/>
                          <w:szCs w:val="18"/>
                        </w:rPr>
                        <w:t xml:space="preserve">. </w:t>
                      </w:r>
                      <w:r w:rsidRPr="00846319">
                        <w:rPr>
                          <w:rFonts w:ascii="Times New Roman" w:hAnsi="Times New Roman" w:cs="Times New Roman"/>
                          <w:i/>
                          <w:iCs/>
                          <w:sz w:val="18"/>
                          <w:szCs w:val="18"/>
                        </w:rPr>
                        <w:t>Trim21</w:t>
                      </w:r>
                      <w:r w:rsidRPr="00846319">
                        <w:rPr>
                          <w:rFonts w:ascii="Times New Roman" w:hAnsi="Times New Roman" w:cs="Times New Roman"/>
                          <w:sz w:val="18"/>
                          <w:szCs w:val="18"/>
                        </w:rPr>
                        <w:t xml:space="preserve"> mRNA expression in RBECs from the </w:t>
                      </w:r>
                      <w:r w:rsidRPr="00846319">
                        <w:rPr>
                          <w:rFonts w:ascii="Times New Roman" w:hAnsi="Times New Roman" w:cs="Times New Roman"/>
                          <w:i/>
                          <w:iCs/>
                          <w:sz w:val="18"/>
                          <w:szCs w:val="18"/>
                        </w:rPr>
                        <w:t>in vitro</w:t>
                      </w:r>
                      <w:r w:rsidRPr="00846319">
                        <w:rPr>
                          <w:rFonts w:ascii="Times New Roman" w:hAnsi="Times New Roman" w:cs="Times New Roman"/>
                          <w:sz w:val="18"/>
                          <w:szCs w:val="18"/>
                        </w:rPr>
                        <w:t xml:space="preserve"> model, measured by </w:t>
                      </w:r>
                      <w:proofErr w:type="spellStart"/>
                      <w:r w:rsidRPr="00846319">
                        <w:rPr>
                          <w:rFonts w:ascii="Times New Roman" w:hAnsi="Times New Roman" w:cs="Times New Roman"/>
                          <w:sz w:val="18"/>
                          <w:szCs w:val="18"/>
                        </w:rPr>
                        <w:t>qRT</w:t>
                      </w:r>
                      <w:proofErr w:type="spellEnd"/>
                      <w:r w:rsidRPr="00846319">
                        <w:rPr>
                          <w:rFonts w:ascii="Times New Roman" w:hAnsi="Times New Roman" w:cs="Times New Roman"/>
                          <w:sz w:val="18"/>
                          <w:szCs w:val="18"/>
                        </w:rPr>
                        <w:t xml:space="preserve">-PCR (n=8-9/group) </w:t>
                      </w:r>
                      <w:r w:rsidRPr="00846319">
                        <w:rPr>
                          <w:rFonts w:ascii="Times New Roman" w:hAnsi="Times New Roman" w:cs="Times New Roman"/>
                          <w:b/>
                          <w:bCs/>
                          <w:sz w:val="18"/>
                          <w:szCs w:val="18"/>
                        </w:rPr>
                        <w:t>(A)</w:t>
                      </w:r>
                      <w:r w:rsidRPr="00846319">
                        <w:rPr>
                          <w:rFonts w:ascii="Times New Roman" w:hAnsi="Times New Roman" w:cs="Times New Roman"/>
                          <w:sz w:val="18"/>
                          <w:szCs w:val="18"/>
                        </w:rPr>
                        <w:t xml:space="preserve">. Cell viability of RBECs under various treatment conditions, assessed by WST-8 assay (n=8-9/group) </w:t>
                      </w:r>
                      <w:r w:rsidRPr="00846319">
                        <w:rPr>
                          <w:rFonts w:ascii="Times New Roman" w:hAnsi="Times New Roman" w:cs="Times New Roman"/>
                          <w:b/>
                          <w:bCs/>
                          <w:sz w:val="18"/>
                          <w:szCs w:val="18"/>
                        </w:rPr>
                        <w:t>(B)</w:t>
                      </w:r>
                      <w:r w:rsidRPr="00846319">
                        <w:rPr>
                          <w:rFonts w:ascii="Times New Roman" w:hAnsi="Times New Roman" w:cs="Times New Roman"/>
                          <w:sz w:val="18"/>
                          <w:szCs w:val="18"/>
                        </w:rPr>
                        <w:t>. mRNA expression of endothelial activation genes </w:t>
                      </w:r>
                      <w:r w:rsidRPr="00846319">
                        <w:rPr>
                          <w:rFonts w:ascii="Times New Roman" w:hAnsi="Times New Roman" w:cs="Times New Roman"/>
                          <w:i/>
                          <w:iCs/>
                          <w:sz w:val="18"/>
                          <w:szCs w:val="18"/>
                        </w:rPr>
                        <w:t>MMP9</w:t>
                      </w:r>
                      <w:r w:rsidRPr="00846319">
                        <w:rPr>
                          <w:rFonts w:ascii="Times New Roman" w:hAnsi="Times New Roman" w:cs="Times New Roman"/>
                          <w:sz w:val="18"/>
                          <w:szCs w:val="18"/>
                        </w:rPr>
                        <w:t> </w:t>
                      </w:r>
                      <w:r w:rsidRPr="00846319">
                        <w:rPr>
                          <w:rFonts w:ascii="Times New Roman" w:hAnsi="Times New Roman" w:cs="Times New Roman"/>
                          <w:b/>
                          <w:bCs/>
                          <w:sz w:val="18"/>
                          <w:szCs w:val="18"/>
                        </w:rPr>
                        <w:t>(C)</w:t>
                      </w:r>
                      <w:r w:rsidRPr="00846319">
                        <w:rPr>
                          <w:rFonts w:ascii="Times New Roman" w:hAnsi="Times New Roman" w:cs="Times New Roman"/>
                          <w:sz w:val="18"/>
                          <w:szCs w:val="18"/>
                        </w:rPr>
                        <w:t xml:space="preserve"> and </w:t>
                      </w:r>
                      <w:r w:rsidRPr="00846319">
                        <w:rPr>
                          <w:rFonts w:ascii="Times New Roman" w:hAnsi="Times New Roman" w:cs="Times New Roman"/>
                          <w:i/>
                          <w:iCs/>
                          <w:sz w:val="18"/>
                          <w:szCs w:val="18"/>
                        </w:rPr>
                        <w:t>E-selectin</w:t>
                      </w:r>
                      <w:r w:rsidRPr="00846319">
                        <w:rPr>
                          <w:rFonts w:ascii="Times New Roman" w:hAnsi="Times New Roman" w:cs="Times New Roman"/>
                          <w:sz w:val="18"/>
                          <w:szCs w:val="18"/>
                        </w:rPr>
                        <w:t> </w:t>
                      </w:r>
                      <w:r w:rsidRPr="00846319">
                        <w:rPr>
                          <w:rFonts w:ascii="Times New Roman" w:hAnsi="Times New Roman" w:cs="Times New Roman"/>
                          <w:b/>
                          <w:bCs/>
                          <w:sz w:val="18"/>
                          <w:szCs w:val="18"/>
                        </w:rPr>
                        <w:t xml:space="preserve">(D) </w:t>
                      </w:r>
                      <w:r w:rsidRPr="00846319">
                        <w:rPr>
                          <w:rFonts w:ascii="Times New Roman" w:hAnsi="Times New Roman" w:cs="Times New Roman"/>
                          <w:sz w:val="18"/>
                          <w:szCs w:val="18"/>
                        </w:rPr>
                        <w:t>in RBECs (n=8-9/group). Data are presented as mean with 95% CI; Data analyzed with Factorial ANOVAs; p-values are indicated for specific pairwise comparisons post-hoc.</w:t>
                      </w:r>
                      <w:r>
                        <w:rPr>
                          <w:rFonts w:ascii="Times New Roman" w:hAnsi="Times New Roman" w:cs="Times New Roman"/>
                          <w:sz w:val="18"/>
                          <w:szCs w:val="18"/>
                        </w:rPr>
                        <w:t xml:space="preserve"> </w:t>
                      </w:r>
                    </w:p>
                  </w:txbxContent>
                </v:textbox>
                <w10:wrap type="square" anchorx="margin"/>
              </v:shape>
            </w:pict>
          </mc:Fallback>
        </mc:AlternateContent>
      </w:r>
      <w:r>
        <w:rPr>
          <w:rFonts w:ascii="Times New Roman" w:hAnsi="Times New Roman" w:cs="Times New Roman"/>
          <w:noProof/>
          <w:sz w:val="20"/>
          <w:szCs w:val="20"/>
        </w:rPr>
        <w:drawing>
          <wp:inline distT="0" distB="0" distL="0" distR="0" wp14:anchorId="0C696150" wp14:editId="41FA4C0D">
            <wp:extent cx="6223000" cy="2166424"/>
            <wp:effectExtent l="0" t="0" r="0" b="0"/>
            <wp:docPr id="2111073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0042" cy="2168875"/>
                    </a:xfrm>
                    <a:prstGeom prst="rect">
                      <a:avLst/>
                    </a:prstGeom>
                    <a:noFill/>
                  </pic:spPr>
                </pic:pic>
              </a:graphicData>
            </a:graphic>
          </wp:inline>
        </w:drawing>
      </w:r>
    </w:p>
    <w:p w14:paraId="48F13627" w14:textId="77777777" w:rsidR="00846319" w:rsidRDefault="00846319" w:rsidP="00E061F6">
      <w:pPr>
        <w:spacing w:after="0" w:line="480" w:lineRule="auto"/>
        <w:rPr>
          <w:rFonts w:ascii="Times New Roman" w:hAnsi="Times New Roman" w:cs="Times New Roman"/>
          <w:b/>
          <w:bCs/>
          <w:sz w:val="20"/>
          <w:szCs w:val="20"/>
        </w:rPr>
      </w:pPr>
    </w:p>
    <w:p w14:paraId="649A59AB" w14:textId="77777777" w:rsidR="0083420D" w:rsidRPr="0083420D" w:rsidRDefault="0083420D" w:rsidP="0083420D">
      <w:pPr>
        <w:spacing w:after="0" w:line="480" w:lineRule="auto"/>
        <w:rPr>
          <w:rFonts w:ascii="Times New Roman" w:hAnsi="Times New Roman" w:cs="Times New Roman"/>
          <w:b/>
          <w:bCs/>
          <w:sz w:val="22"/>
          <w:szCs w:val="22"/>
          <w:lang w:val="en-US"/>
        </w:rPr>
      </w:pPr>
      <w:r w:rsidRPr="0083420D">
        <w:rPr>
          <w:rFonts w:ascii="Times New Roman" w:hAnsi="Times New Roman" w:cs="Times New Roman"/>
          <w:b/>
          <w:bCs/>
          <w:sz w:val="22"/>
          <w:szCs w:val="22"/>
          <w:lang w:val="en-US"/>
        </w:rPr>
        <w:t xml:space="preserve">Supplementary Methods </w:t>
      </w:r>
    </w:p>
    <w:p w14:paraId="239896CF" w14:textId="5CADEC27" w:rsidR="0083420D" w:rsidRDefault="0083420D" w:rsidP="0083420D">
      <w:pPr>
        <w:spacing w:after="0" w:line="480" w:lineRule="auto"/>
        <w:rPr>
          <w:rFonts w:ascii="Times New Roman" w:hAnsi="Times New Roman" w:cs="Times New Roman"/>
          <w:b/>
          <w:bCs/>
          <w:sz w:val="20"/>
          <w:szCs w:val="20"/>
          <w:lang w:val="en-US"/>
        </w:rPr>
      </w:pPr>
      <w:r w:rsidRPr="0083420D">
        <w:rPr>
          <w:rFonts w:ascii="Times New Roman" w:hAnsi="Times New Roman" w:cs="Times New Roman"/>
          <w:b/>
          <w:bCs/>
          <w:sz w:val="20"/>
          <w:szCs w:val="20"/>
          <w:lang w:val="en-US"/>
        </w:rPr>
        <w:t>Antibodies</w:t>
      </w:r>
    </w:p>
    <w:p w14:paraId="7CF264D9" w14:textId="244820DD" w:rsidR="0083420D" w:rsidRPr="0083420D" w:rsidRDefault="0083420D" w:rsidP="0083420D">
      <w:pPr>
        <w:spacing w:after="0" w:line="480" w:lineRule="auto"/>
        <w:rPr>
          <w:rFonts w:ascii="Times New Roman" w:hAnsi="Times New Roman" w:cs="Times New Roman"/>
          <w:sz w:val="20"/>
          <w:szCs w:val="20"/>
          <w:lang w:val="en-US"/>
        </w:rPr>
      </w:pPr>
      <w:r w:rsidRPr="0083420D">
        <w:rPr>
          <w:rFonts w:ascii="Times New Roman" w:hAnsi="Times New Roman" w:cs="Times New Roman"/>
          <w:sz w:val="20"/>
          <w:szCs w:val="20"/>
          <w:lang w:val="en-US"/>
        </w:rPr>
        <w:t xml:space="preserve">Primary antibodies: </w:t>
      </w:r>
      <w:r w:rsidR="00B25D70">
        <w:rPr>
          <w:rFonts w:ascii="Times New Roman" w:hAnsi="Times New Roman" w:cs="Times New Roman"/>
          <w:sz w:val="20"/>
          <w:szCs w:val="20"/>
          <w:lang w:val="en-US"/>
        </w:rPr>
        <w:t xml:space="preserve">Anti-TRIM21, rabbit polyclonal, 1:1000, #PA5-120224, </w:t>
      </w:r>
      <w:proofErr w:type="spellStart"/>
      <w:r w:rsidR="00B25D70">
        <w:rPr>
          <w:rFonts w:ascii="Times New Roman" w:hAnsi="Times New Roman" w:cs="Times New Roman"/>
          <w:sz w:val="20"/>
          <w:szCs w:val="20"/>
          <w:lang w:val="en-US"/>
        </w:rPr>
        <w:t>Thermo</w:t>
      </w:r>
      <w:proofErr w:type="spellEnd"/>
      <w:r w:rsidR="00B25D70">
        <w:rPr>
          <w:rFonts w:ascii="Times New Roman" w:hAnsi="Times New Roman" w:cs="Times New Roman"/>
          <w:sz w:val="20"/>
          <w:szCs w:val="20"/>
          <w:lang w:val="en-US"/>
        </w:rPr>
        <w:t xml:space="preserve"> Fisher Scientific; </w:t>
      </w:r>
      <w:r w:rsidRPr="0083420D">
        <w:rPr>
          <w:rFonts w:ascii="Times New Roman" w:hAnsi="Times New Roman" w:cs="Times New Roman"/>
          <w:sz w:val="20"/>
          <w:szCs w:val="20"/>
          <w:lang w:val="en-US"/>
        </w:rPr>
        <w:t>Anti-cleaved GSDMD (Asp276), rabbit monoclonal, 1:1000, #10137, Cell Signaling Technology; anti-NLRP3 (D4D8T), rabbit monoclonal, 1:1000, #15101, Cell Signaling Technology; β-actin, mouse monoclonal, 1:</w:t>
      </w:r>
      <w:r w:rsidR="006F7941">
        <w:rPr>
          <w:rFonts w:ascii="Times New Roman" w:hAnsi="Times New Roman" w:cs="Times New Roman"/>
          <w:sz w:val="20"/>
          <w:szCs w:val="20"/>
          <w:lang w:val="en-US"/>
        </w:rPr>
        <w:t>25</w:t>
      </w:r>
      <w:r w:rsidRPr="0083420D">
        <w:rPr>
          <w:rFonts w:ascii="Times New Roman" w:hAnsi="Times New Roman" w:cs="Times New Roman"/>
          <w:sz w:val="20"/>
          <w:szCs w:val="20"/>
          <w:lang w:val="en-US"/>
        </w:rPr>
        <w:t>000, #sc-47778, Santa Cruz Biotechnology</w:t>
      </w:r>
      <w:r w:rsidR="00B25D70">
        <w:rPr>
          <w:rFonts w:ascii="Times New Roman" w:hAnsi="Times New Roman" w:cs="Times New Roman"/>
          <w:sz w:val="20"/>
          <w:szCs w:val="20"/>
          <w:lang w:val="en-US"/>
        </w:rPr>
        <w:t xml:space="preserve">; </w:t>
      </w:r>
      <w:r w:rsidR="00B9258F" w:rsidRPr="00B9258F">
        <w:rPr>
          <w:rFonts w:ascii="Times New Roman" w:hAnsi="Times New Roman" w:cs="Times New Roman"/>
          <w:sz w:val="20"/>
          <w:szCs w:val="20"/>
        </w:rPr>
        <w:t>Anti-NF-kB p65 (</w:t>
      </w:r>
      <w:proofErr w:type="spellStart"/>
      <w:r w:rsidR="00B9258F" w:rsidRPr="00B9258F">
        <w:rPr>
          <w:rFonts w:ascii="Times New Roman" w:hAnsi="Times New Roman" w:cs="Times New Roman"/>
          <w:sz w:val="20"/>
          <w:szCs w:val="20"/>
        </w:rPr>
        <w:t>phospho</w:t>
      </w:r>
      <w:proofErr w:type="spellEnd"/>
      <w:r w:rsidR="00B9258F" w:rsidRPr="00B9258F">
        <w:rPr>
          <w:rFonts w:ascii="Times New Roman" w:hAnsi="Times New Roman" w:cs="Times New Roman"/>
          <w:sz w:val="20"/>
          <w:szCs w:val="20"/>
        </w:rPr>
        <w:t xml:space="preserve"> S536)</w:t>
      </w:r>
      <w:r w:rsidR="00B9258F">
        <w:rPr>
          <w:rFonts w:ascii="Times New Roman" w:hAnsi="Times New Roman" w:cs="Times New Roman"/>
          <w:sz w:val="20"/>
          <w:szCs w:val="20"/>
        </w:rPr>
        <w:t xml:space="preserve">, rabbit monoclonal, </w:t>
      </w:r>
      <w:r w:rsidR="009C6FB4">
        <w:rPr>
          <w:rFonts w:ascii="Times New Roman" w:hAnsi="Times New Roman" w:cs="Times New Roman"/>
          <w:sz w:val="20"/>
          <w:szCs w:val="20"/>
        </w:rPr>
        <w:t>1.1000, #</w:t>
      </w:r>
      <w:r w:rsidR="009C6FB4" w:rsidRPr="009C6FB4">
        <w:rPr>
          <w:rFonts w:ascii="Noto Sans" w:hAnsi="Noto Sans" w:cs="Noto Sans"/>
          <w:color w:val="000000"/>
          <w:sz w:val="27"/>
          <w:szCs w:val="27"/>
        </w:rPr>
        <w:t xml:space="preserve"> </w:t>
      </w:r>
      <w:r w:rsidR="009C6FB4" w:rsidRPr="009C6FB4">
        <w:rPr>
          <w:rFonts w:ascii="Times New Roman" w:hAnsi="Times New Roman" w:cs="Times New Roman"/>
          <w:sz w:val="20"/>
          <w:szCs w:val="20"/>
        </w:rPr>
        <w:t>ab76302</w:t>
      </w:r>
      <w:r w:rsidR="009C6FB4">
        <w:rPr>
          <w:rFonts w:ascii="Times New Roman" w:hAnsi="Times New Roman" w:cs="Times New Roman"/>
          <w:sz w:val="20"/>
          <w:szCs w:val="20"/>
        </w:rPr>
        <w:t xml:space="preserve">, Abcam; </w:t>
      </w:r>
      <w:r w:rsidR="00551663" w:rsidRPr="00B9258F">
        <w:rPr>
          <w:rFonts w:ascii="Times New Roman" w:hAnsi="Times New Roman" w:cs="Times New Roman"/>
          <w:sz w:val="20"/>
          <w:szCs w:val="20"/>
        </w:rPr>
        <w:t>Anti-NF-kB p65</w:t>
      </w:r>
      <w:r w:rsidR="00551663">
        <w:rPr>
          <w:rFonts w:ascii="Times New Roman" w:hAnsi="Times New Roman" w:cs="Times New Roman"/>
          <w:sz w:val="20"/>
          <w:szCs w:val="20"/>
        </w:rPr>
        <w:t>, mouse monoclonal, 1:</w:t>
      </w:r>
      <w:r w:rsidR="006F7941">
        <w:rPr>
          <w:rFonts w:ascii="Times New Roman" w:hAnsi="Times New Roman" w:cs="Times New Roman"/>
          <w:sz w:val="20"/>
          <w:szCs w:val="20"/>
        </w:rPr>
        <w:t>2</w:t>
      </w:r>
      <w:r w:rsidR="00551663">
        <w:rPr>
          <w:rFonts w:ascii="Times New Roman" w:hAnsi="Times New Roman" w:cs="Times New Roman"/>
          <w:sz w:val="20"/>
          <w:szCs w:val="20"/>
        </w:rPr>
        <w:t xml:space="preserve">000, #sc-8008, </w:t>
      </w:r>
      <w:r w:rsidR="00551663" w:rsidRPr="0083420D">
        <w:rPr>
          <w:rFonts w:ascii="Times New Roman" w:hAnsi="Times New Roman" w:cs="Times New Roman"/>
          <w:sz w:val="20"/>
          <w:szCs w:val="20"/>
          <w:lang w:val="en-US"/>
        </w:rPr>
        <w:t>Santa Cruz Biotechnology</w:t>
      </w:r>
      <w:r w:rsidR="00551663">
        <w:rPr>
          <w:rFonts w:ascii="Times New Roman" w:hAnsi="Times New Roman" w:cs="Times New Roman"/>
          <w:sz w:val="20"/>
          <w:szCs w:val="20"/>
          <w:lang w:val="en-US"/>
        </w:rPr>
        <w:t xml:space="preserve">; </w:t>
      </w:r>
      <w:r w:rsidR="00551663" w:rsidRPr="00551663">
        <w:rPr>
          <w:rFonts w:ascii="Times New Roman" w:hAnsi="Times New Roman" w:cs="Times New Roman"/>
          <w:sz w:val="20"/>
          <w:szCs w:val="20"/>
        </w:rPr>
        <w:t>Anti-ICAM1</w:t>
      </w:r>
      <w:r w:rsidR="00551663">
        <w:rPr>
          <w:rFonts w:ascii="Times New Roman" w:hAnsi="Times New Roman" w:cs="Times New Roman"/>
          <w:sz w:val="20"/>
          <w:szCs w:val="20"/>
        </w:rPr>
        <w:t>, rabbit monoclonal, 1:1000, #</w:t>
      </w:r>
      <w:r w:rsidR="00551663" w:rsidRPr="00551663">
        <w:rPr>
          <w:rFonts w:ascii="Times New Roman" w:hAnsi="Times New Roman" w:cs="Times New Roman"/>
          <w:sz w:val="20"/>
          <w:szCs w:val="20"/>
        </w:rPr>
        <w:t>ab222736</w:t>
      </w:r>
      <w:r w:rsidR="00551663">
        <w:rPr>
          <w:rFonts w:ascii="Times New Roman" w:hAnsi="Times New Roman" w:cs="Times New Roman"/>
          <w:sz w:val="20"/>
          <w:szCs w:val="20"/>
        </w:rPr>
        <w:t xml:space="preserve">, Abcam; </w:t>
      </w:r>
      <w:r w:rsidR="006F7941" w:rsidRPr="006F7941">
        <w:rPr>
          <w:rFonts w:ascii="Times New Roman" w:hAnsi="Times New Roman" w:cs="Times New Roman"/>
          <w:sz w:val="20"/>
          <w:szCs w:val="20"/>
        </w:rPr>
        <w:t>ZO-1</w:t>
      </w:r>
      <w:r w:rsidR="006F7941">
        <w:rPr>
          <w:rFonts w:ascii="Times New Roman" w:hAnsi="Times New Roman" w:cs="Times New Roman"/>
          <w:sz w:val="20"/>
          <w:szCs w:val="20"/>
        </w:rPr>
        <w:t xml:space="preserve">, rabbit polyclonal, 1:2000, </w:t>
      </w:r>
      <w:r w:rsidR="006F7941" w:rsidRPr="006F7941">
        <w:rPr>
          <w:rFonts w:ascii="Times New Roman" w:hAnsi="Times New Roman" w:cs="Times New Roman"/>
          <w:b/>
          <w:bCs/>
          <w:sz w:val="20"/>
          <w:szCs w:val="20"/>
        </w:rPr>
        <w:t>#</w:t>
      </w:r>
      <w:r w:rsidR="006F7941" w:rsidRPr="006F7941">
        <w:rPr>
          <w:rFonts w:ascii="Times New Roman" w:hAnsi="Times New Roman" w:cs="Times New Roman"/>
          <w:sz w:val="20"/>
          <w:szCs w:val="20"/>
        </w:rPr>
        <w:t>61-7300</w:t>
      </w:r>
      <w:r w:rsidR="006F7941">
        <w:rPr>
          <w:rFonts w:ascii="Times New Roman" w:hAnsi="Times New Roman" w:cs="Times New Roman"/>
          <w:sz w:val="20"/>
          <w:szCs w:val="20"/>
        </w:rPr>
        <w:t xml:space="preserve">, </w:t>
      </w:r>
      <w:proofErr w:type="spellStart"/>
      <w:r w:rsidR="006F7941">
        <w:rPr>
          <w:rFonts w:ascii="Times New Roman" w:hAnsi="Times New Roman" w:cs="Times New Roman"/>
          <w:sz w:val="20"/>
          <w:szCs w:val="20"/>
        </w:rPr>
        <w:t>Thermo</w:t>
      </w:r>
      <w:proofErr w:type="spellEnd"/>
      <w:r w:rsidR="006F7941">
        <w:rPr>
          <w:rFonts w:ascii="Times New Roman" w:hAnsi="Times New Roman" w:cs="Times New Roman"/>
          <w:sz w:val="20"/>
          <w:szCs w:val="20"/>
        </w:rPr>
        <w:t xml:space="preserve"> Fisher Scientific. </w:t>
      </w:r>
      <w:r w:rsidRPr="0083420D">
        <w:rPr>
          <w:rFonts w:ascii="Times New Roman" w:hAnsi="Times New Roman" w:cs="Times New Roman"/>
          <w:sz w:val="20"/>
          <w:szCs w:val="20"/>
          <w:lang w:val="en-US"/>
        </w:rPr>
        <w:t>Secondary antibodies: HRP-conjugated goat anti-rabbit IgG, 1:</w:t>
      </w:r>
      <w:r w:rsidR="006F7941">
        <w:rPr>
          <w:rFonts w:ascii="Times New Roman" w:hAnsi="Times New Roman" w:cs="Times New Roman"/>
          <w:sz w:val="20"/>
          <w:szCs w:val="20"/>
          <w:lang w:val="en-US"/>
        </w:rPr>
        <w:t>5</w:t>
      </w:r>
      <w:r w:rsidRPr="0083420D">
        <w:rPr>
          <w:rFonts w:ascii="Times New Roman" w:hAnsi="Times New Roman" w:cs="Times New Roman"/>
          <w:sz w:val="20"/>
          <w:szCs w:val="20"/>
          <w:lang w:val="en-US"/>
        </w:rPr>
        <w:t>0000, #STAR124P, Bio-Rad Laboratories; and HRP-conjugated goat anti-mouse IgG, 1:</w:t>
      </w:r>
      <w:r w:rsidR="006F7941">
        <w:rPr>
          <w:rFonts w:ascii="Times New Roman" w:hAnsi="Times New Roman" w:cs="Times New Roman"/>
          <w:sz w:val="20"/>
          <w:szCs w:val="20"/>
          <w:lang w:val="en-US"/>
        </w:rPr>
        <w:t>5</w:t>
      </w:r>
      <w:r w:rsidRPr="0083420D">
        <w:rPr>
          <w:rFonts w:ascii="Times New Roman" w:hAnsi="Times New Roman" w:cs="Times New Roman"/>
          <w:sz w:val="20"/>
          <w:szCs w:val="20"/>
          <w:lang w:val="en-US"/>
        </w:rPr>
        <w:t xml:space="preserve">0000, #sc-2005, Santa Cruz Biotechnology. </w:t>
      </w:r>
    </w:p>
    <w:p w14:paraId="2608D5FA" w14:textId="77777777" w:rsidR="001F0E9D" w:rsidRDefault="001F0E9D" w:rsidP="0083420D">
      <w:pPr>
        <w:spacing w:after="0" w:line="480" w:lineRule="auto"/>
        <w:rPr>
          <w:rFonts w:ascii="Times New Roman" w:hAnsi="Times New Roman" w:cs="Times New Roman"/>
          <w:b/>
          <w:bCs/>
          <w:sz w:val="20"/>
          <w:szCs w:val="20"/>
        </w:rPr>
      </w:pPr>
    </w:p>
    <w:p w14:paraId="09B34C43" w14:textId="68FBFC3E" w:rsidR="00DA6E7D" w:rsidRPr="0083420D" w:rsidRDefault="00DA6E7D" w:rsidP="0083420D">
      <w:pPr>
        <w:spacing w:after="0" w:line="480" w:lineRule="auto"/>
        <w:rPr>
          <w:rFonts w:ascii="Times New Roman" w:hAnsi="Times New Roman" w:cs="Times New Roman"/>
          <w:b/>
          <w:bCs/>
          <w:sz w:val="20"/>
          <w:szCs w:val="20"/>
          <w:lang w:val="en-US"/>
        </w:rPr>
      </w:pPr>
      <w:r w:rsidRPr="0083420D">
        <w:rPr>
          <w:rFonts w:ascii="Times New Roman" w:hAnsi="Times New Roman" w:cs="Times New Roman"/>
          <w:b/>
          <w:bCs/>
          <w:sz w:val="20"/>
          <w:szCs w:val="20"/>
        </w:rPr>
        <w:t xml:space="preserve">Quantitative real-time PCR </w:t>
      </w:r>
      <w:r w:rsidRPr="0083420D">
        <w:rPr>
          <w:rFonts w:ascii="Times New Roman" w:hAnsi="Times New Roman" w:cs="Times New Roman"/>
          <w:b/>
          <w:bCs/>
          <w:sz w:val="20"/>
          <w:szCs w:val="20"/>
          <w:lang w:val="en-US"/>
        </w:rPr>
        <w:t>Primer sequences</w:t>
      </w:r>
    </w:p>
    <w:p w14:paraId="3C093076" w14:textId="1BEBC604"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T</w:t>
      </w:r>
      <w:r w:rsidR="002B4532">
        <w:rPr>
          <w:rFonts w:ascii="Times New Roman" w:hAnsi="Times New Roman" w:cs="Times New Roman"/>
          <w:i/>
          <w:iCs/>
          <w:sz w:val="20"/>
          <w:szCs w:val="20"/>
        </w:rPr>
        <w:t>rim21</w:t>
      </w:r>
      <w:r w:rsidRPr="0083420D">
        <w:rPr>
          <w:rFonts w:ascii="Times New Roman" w:hAnsi="Times New Roman" w:cs="Times New Roman"/>
          <w:i/>
          <w:iCs/>
          <w:sz w:val="20"/>
          <w:szCs w:val="20"/>
        </w:rPr>
        <w:t xml:space="preserve">: </w:t>
      </w:r>
    </w:p>
    <w:p w14:paraId="5A334645" w14:textId="4A21C2BB"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 xml:space="preserve">F: GTTGATTCCCCAGACCTGACA </w:t>
      </w:r>
    </w:p>
    <w:p w14:paraId="33D5E594" w14:textId="114EFD22"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R: GTCCAGCCCACAATTCCTACA</w:t>
      </w:r>
    </w:p>
    <w:p w14:paraId="07FA16C6" w14:textId="77777777" w:rsidR="00846319" w:rsidRDefault="00846319" w:rsidP="0083420D">
      <w:pPr>
        <w:spacing w:after="0" w:line="480" w:lineRule="auto"/>
        <w:rPr>
          <w:rFonts w:ascii="Times New Roman" w:hAnsi="Times New Roman" w:cs="Times New Roman"/>
          <w:i/>
          <w:iCs/>
          <w:sz w:val="20"/>
          <w:szCs w:val="20"/>
        </w:rPr>
      </w:pPr>
    </w:p>
    <w:p w14:paraId="41FFDEC1" w14:textId="09C93B71"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lastRenderedPageBreak/>
        <w:t xml:space="preserve">E-selectin: </w:t>
      </w:r>
    </w:p>
    <w:p w14:paraId="4691DE71" w14:textId="2B7F8008"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F: TCCAGCAGCAGACACGATAC</w:t>
      </w:r>
    </w:p>
    <w:p w14:paraId="122C5720" w14:textId="70165B9F"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 xml:space="preserve">R: TTCGGGGGTTGGATTCCTTG, </w:t>
      </w:r>
    </w:p>
    <w:p w14:paraId="52FD9961" w14:textId="2016DB30"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Claudin-5</w:t>
      </w:r>
      <w:r w:rsidR="003862AC">
        <w:rPr>
          <w:rFonts w:ascii="Times New Roman" w:hAnsi="Times New Roman" w:cs="Times New Roman"/>
          <w:i/>
          <w:iCs/>
          <w:sz w:val="20"/>
          <w:szCs w:val="20"/>
        </w:rPr>
        <w:t>:</w:t>
      </w:r>
    </w:p>
    <w:p w14:paraId="2D21DA79" w14:textId="327C7871"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F: TTAAGGCACGGGTGGCACTCACG</w:t>
      </w:r>
    </w:p>
    <w:p w14:paraId="06C7306C" w14:textId="77232298"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R: TTAGACGTAGTTCTTCTTGTCG</w:t>
      </w:r>
    </w:p>
    <w:p w14:paraId="1FAC3A1B" w14:textId="27E37F3B"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MMP9</w:t>
      </w:r>
      <w:r w:rsidR="003862AC">
        <w:rPr>
          <w:rFonts w:ascii="Times New Roman" w:hAnsi="Times New Roman" w:cs="Times New Roman"/>
          <w:i/>
          <w:iCs/>
          <w:sz w:val="20"/>
          <w:szCs w:val="20"/>
        </w:rPr>
        <w:t>:</w:t>
      </w:r>
    </w:p>
    <w:p w14:paraId="6FDB9837" w14:textId="2FAB8F64"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F: GGATGTTTTTGATGCCATTGCTG</w:t>
      </w:r>
    </w:p>
    <w:p w14:paraId="566B77AE" w14:textId="7DC5DD10" w:rsidR="00DA6E7D" w:rsidRPr="0083420D" w:rsidRDefault="00DA6E7D" w:rsidP="0083420D">
      <w:pPr>
        <w:spacing w:after="0" w:line="480" w:lineRule="auto"/>
        <w:rPr>
          <w:rFonts w:ascii="Times New Roman" w:hAnsi="Times New Roman" w:cs="Times New Roman"/>
          <w:i/>
          <w:iCs/>
          <w:sz w:val="20"/>
          <w:szCs w:val="20"/>
          <w:lang w:val="en-US"/>
        </w:rPr>
      </w:pPr>
      <w:r w:rsidRPr="0083420D">
        <w:rPr>
          <w:rFonts w:ascii="Times New Roman" w:hAnsi="Times New Roman" w:cs="Times New Roman"/>
          <w:i/>
          <w:iCs/>
          <w:sz w:val="20"/>
          <w:szCs w:val="20"/>
        </w:rPr>
        <w:t>R: CCACGTGCGGGCAATAAGAAAG.</w:t>
      </w:r>
    </w:p>
    <w:p w14:paraId="6DDA5A64" w14:textId="5D94B626" w:rsidR="00DA6E7D" w:rsidRPr="0083420D" w:rsidRDefault="00DA6E7D" w:rsidP="0083420D">
      <w:pPr>
        <w:spacing w:after="0" w:line="480" w:lineRule="auto"/>
        <w:rPr>
          <w:rFonts w:ascii="Times New Roman" w:hAnsi="Times New Roman" w:cs="Times New Roman"/>
          <w:i/>
          <w:iCs/>
          <w:sz w:val="20"/>
          <w:szCs w:val="20"/>
        </w:rPr>
      </w:pPr>
      <w:proofErr w:type="spellStart"/>
      <w:r w:rsidRPr="0083420D">
        <w:rPr>
          <w:rFonts w:ascii="Times New Roman" w:hAnsi="Times New Roman" w:cs="Times New Roman"/>
          <w:i/>
          <w:iCs/>
          <w:sz w:val="20"/>
          <w:szCs w:val="20"/>
        </w:rPr>
        <w:t>G</w:t>
      </w:r>
      <w:r w:rsidR="00C01F2B">
        <w:rPr>
          <w:rFonts w:ascii="Times New Roman" w:hAnsi="Times New Roman" w:cs="Times New Roman"/>
          <w:i/>
          <w:iCs/>
          <w:sz w:val="20"/>
          <w:szCs w:val="20"/>
        </w:rPr>
        <w:t>apdh</w:t>
      </w:r>
      <w:proofErr w:type="spellEnd"/>
      <w:r w:rsidR="003862AC">
        <w:rPr>
          <w:rFonts w:ascii="Times New Roman" w:hAnsi="Times New Roman" w:cs="Times New Roman"/>
          <w:i/>
          <w:iCs/>
          <w:sz w:val="20"/>
          <w:szCs w:val="20"/>
        </w:rPr>
        <w:t>:</w:t>
      </w:r>
    </w:p>
    <w:p w14:paraId="2C22033E" w14:textId="0486D254"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F: GCAAGAGAGAGGCCCTCAG</w:t>
      </w:r>
    </w:p>
    <w:p w14:paraId="36D1855A" w14:textId="567D9F25" w:rsidR="00DA6E7D" w:rsidRPr="0083420D" w:rsidRDefault="00DA6E7D"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R: TGTGAGGGAGATGCTCAGTG</w:t>
      </w:r>
    </w:p>
    <w:p w14:paraId="771C81AE" w14:textId="77777777" w:rsidR="00AD112A" w:rsidRPr="0083420D" w:rsidRDefault="00AD112A" w:rsidP="0083420D">
      <w:pPr>
        <w:spacing w:after="0" w:line="480" w:lineRule="auto"/>
        <w:rPr>
          <w:rFonts w:ascii="Times New Roman" w:hAnsi="Times New Roman" w:cs="Times New Roman"/>
          <w:b/>
          <w:bCs/>
          <w:i/>
          <w:iCs/>
          <w:sz w:val="20"/>
          <w:szCs w:val="20"/>
          <w:lang w:val="en-US"/>
        </w:rPr>
      </w:pPr>
    </w:p>
    <w:p w14:paraId="3FE32C24" w14:textId="69A8BA22" w:rsidR="00DA6E7D" w:rsidRPr="0083420D" w:rsidRDefault="00DA6E7D" w:rsidP="0083420D">
      <w:pPr>
        <w:spacing w:after="0" w:line="480" w:lineRule="auto"/>
        <w:rPr>
          <w:rFonts w:ascii="Times New Roman" w:hAnsi="Times New Roman" w:cs="Times New Roman"/>
          <w:b/>
          <w:bCs/>
          <w:sz w:val="20"/>
          <w:szCs w:val="20"/>
          <w:lang w:val="en-US"/>
        </w:rPr>
      </w:pPr>
      <w:r w:rsidRPr="0083420D">
        <w:rPr>
          <w:rFonts w:ascii="Times New Roman" w:hAnsi="Times New Roman" w:cs="Times New Roman"/>
          <w:b/>
          <w:bCs/>
          <w:i/>
          <w:iCs/>
          <w:sz w:val="20"/>
          <w:szCs w:val="20"/>
          <w:lang w:val="en-US"/>
        </w:rPr>
        <w:t>siRNA</w:t>
      </w:r>
      <w:r w:rsidRPr="0083420D">
        <w:rPr>
          <w:rFonts w:ascii="Times New Roman" w:hAnsi="Times New Roman" w:cs="Times New Roman"/>
          <w:b/>
          <w:bCs/>
          <w:sz w:val="20"/>
          <w:szCs w:val="20"/>
          <w:lang w:val="en-US"/>
        </w:rPr>
        <w:t xml:space="preserve"> Sequences</w:t>
      </w:r>
    </w:p>
    <w:p w14:paraId="045FC345" w14:textId="55B9DDE3" w:rsidR="00DA6E7D" w:rsidRPr="0083420D" w:rsidRDefault="00DA6E7D" w:rsidP="0083420D">
      <w:pPr>
        <w:spacing w:after="0" w:line="480" w:lineRule="auto"/>
        <w:rPr>
          <w:rFonts w:ascii="Times New Roman" w:hAnsi="Times New Roman" w:cs="Times New Roman"/>
          <w:i/>
          <w:iCs/>
          <w:sz w:val="20"/>
          <w:szCs w:val="20"/>
        </w:rPr>
      </w:pPr>
      <w:bookmarkStart w:id="1" w:name="_Hlk209257061"/>
      <w:r w:rsidRPr="0083420D">
        <w:rPr>
          <w:rFonts w:ascii="Times New Roman" w:hAnsi="Times New Roman" w:cs="Times New Roman"/>
          <w:i/>
          <w:iCs/>
          <w:sz w:val="20"/>
          <w:szCs w:val="20"/>
        </w:rPr>
        <w:t>Control scrambled siRNAs:</w:t>
      </w:r>
    </w:p>
    <w:p w14:paraId="68D2F253" w14:textId="77777777" w:rsidR="00DA6E7D" w:rsidRPr="0083420D" w:rsidRDefault="00DA6E7D"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1. 5’-</w:t>
      </w:r>
      <w:bookmarkEnd w:id="1"/>
      <w:r w:rsidRPr="0083420D">
        <w:rPr>
          <w:rFonts w:ascii="Times New Roman" w:hAnsi="Times New Roman" w:cs="Times New Roman"/>
          <w:sz w:val="20"/>
          <w:szCs w:val="20"/>
        </w:rPr>
        <w:t>GCTAGCTGGTCTAATATAA-3’</w:t>
      </w:r>
    </w:p>
    <w:p w14:paraId="7FA74632" w14:textId="77777777" w:rsidR="00DA6E7D" w:rsidRPr="0083420D" w:rsidRDefault="00DA6E7D"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2. 5’-GACCCATTAGCAATTCAAA-3’</w:t>
      </w:r>
    </w:p>
    <w:p w14:paraId="4F3CE985" w14:textId="77777777" w:rsidR="00DA6E7D" w:rsidRPr="0083420D" w:rsidRDefault="00DA6E7D"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3. 5’-GCAATATAGACGACGTACT-3’</w:t>
      </w:r>
    </w:p>
    <w:p w14:paraId="6ED768CF" w14:textId="77777777" w:rsidR="00DA6E7D" w:rsidRPr="0083420D" w:rsidRDefault="00DA6E7D"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 xml:space="preserve">4. 5’-GGGTAGTAAGTTCACATAA-3’ </w:t>
      </w:r>
    </w:p>
    <w:p w14:paraId="18EE1375" w14:textId="23F4B3F8" w:rsidR="00E23D77" w:rsidRPr="0083420D" w:rsidRDefault="00E23D77" w:rsidP="0083420D">
      <w:pPr>
        <w:spacing w:after="0" w:line="480" w:lineRule="auto"/>
        <w:rPr>
          <w:rFonts w:ascii="Times New Roman" w:hAnsi="Times New Roman" w:cs="Times New Roman"/>
          <w:i/>
          <w:iCs/>
          <w:sz w:val="20"/>
          <w:szCs w:val="20"/>
        </w:rPr>
      </w:pPr>
      <w:r w:rsidRPr="0083420D">
        <w:rPr>
          <w:rFonts w:ascii="Times New Roman" w:hAnsi="Times New Roman" w:cs="Times New Roman"/>
          <w:i/>
          <w:iCs/>
          <w:sz w:val="20"/>
          <w:szCs w:val="20"/>
        </w:rPr>
        <w:t xml:space="preserve">siRNA sequences for </w:t>
      </w:r>
      <w:bookmarkStart w:id="2" w:name="_Hlk209468653"/>
      <w:r w:rsidRPr="0083420D">
        <w:rPr>
          <w:rFonts w:ascii="Times New Roman" w:hAnsi="Times New Roman" w:cs="Times New Roman"/>
          <w:i/>
          <w:iCs/>
          <w:sz w:val="20"/>
          <w:szCs w:val="20"/>
        </w:rPr>
        <w:t>Trim21</w:t>
      </w:r>
      <w:bookmarkEnd w:id="2"/>
      <w:r w:rsidRPr="0083420D">
        <w:rPr>
          <w:rFonts w:ascii="Times New Roman" w:hAnsi="Times New Roman" w:cs="Times New Roman"/>
          <w:i/>
          <w:iCs/>
          <w:sz w:val="20"/>
          <w:szCs w:val="20"/>
        </w:rPr>
        <w:t xml:space="preserve"> knockdown:</w:t>
      </w:r>
    </w:p>
    <w:p w14:paraId="59725B4B" w14:textId="2D225A9F" w:rsidR="00E23D77" w:rsidRPr="0083420D" w:rsidRDefault="00E23D77"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1. 5’-GCUGUAAUGUUCACAAUGA-3’</w:t>
      </w:r>
    </w:p>
    <w:p w14:paraId="2B15C10E" w14:textId="77777777" w:rsidR="00E23D77" w:rsidRPr="0083420D" w:rsidRDefault="00E23D77"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2. 5’-CAUCAAUGUACCAGACAUA-3’</w:t>
      </w:r>
    </w:p>
    <w:p w14:paraId="4E09B0DE" w14:textId="77777777" w:rsidR="00E23D77" w:rsidRPr="0083420D" w:rsidRDefault="00E23D77"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t>3. 5’-GAGUUCGCACAUCAGAAUA-3’</w:t>
      </w:r>
    </w:p>
    <w:p w14:paraId="6827D79B" w14:textId="77777777" w:rsidR="00E23D77" w:rsidRPr="0083420D" w:rsidRDefault="00E23D77" w:rsidP="0083420D">
      <w:pPr>
        <w:spacing w:after="0" w:line="480" w:lineRule="auto"/>
        <w:rPr>
          <w:rFonts w:ascii="Times New Roman" w:hAnsi="Times New Roman" w:cs="Times New Roman"/>
          <w:i/>
          <w:iCs/>
          <w:sz w:val="20"/>
          <w:szCs w:val="20"/>
        </w:rPr>
      </w:pPr>
      <w:r w:rsidRPr="0083420D">
        <w:rPr>
          <w:rFonts w:ascii="Times New Roman" w:hAnsi="Times New Roman" w:cs="Times New Roman"/>
          <w:sz w:val="20"/>
          <w:szCs w:val="20"/>
        </w:rPr>
        <w:t>4. 5’-GAUAUGAUGGUCAGUAACA-3’</w:t>
      </w:r>
      <w:r w:rsidRPr="0083420D">
        <w:rPr>
          <w:rFonts w:ascii="Times New Roman" w:hAnsi="Times New Roman" w:cs="Times New Roman"/>
          <w:i/>
          <w:iCs/>
          <w:sz w:val="20"/>
          <w:szCs w:val="20"/>
        </w:rPr>
        <w:t xml:space="preserve"> </w:t>
      </w:r>
    </w:p>
    <w:p w14:paraId="6546B689" w14:textId="77777777" w:rsidR="00AD112A" w:rsidRPr="0083420D" w:rsidRDefault="00AD112A" w:rsidP="0083420D">
      <w:pPr>
        <w:spacing w:after="0" w:line="480" w:lineRule="auto"/>
        <w:rPr>
          <w:rFonts w:ascii="Times New Roman" w:hAnsi="Times New Roman" w:cs="Times New Roman"/>
          <w:b/>
          <w:bCs/>
          <w:i/>
          <w:iCs/>
          <w:sz w:val="20"/>
          <w:szCs w:val="20"/>
        </w:rPr>
      </w:pPr>
    </w:p>
    <w:p w14:paraId="1F131F82" w14:textId="468750EF" w:rsidR="001E09D5" w:rsidRPr="0083420D" w:rsidRDefault="001E09D5" w:rsidP="0083420D">
      <w:pPr>
        <w:spacing w:after="0" w:line="480" w:lineRule="auto"/>
        <w:rPr>
          <w:rFonts w:ascii="Times New Roman" w:hAnsi="Times New Roman" w:cs="Times New Roman"/>
          <w:b/>
          <w:bCs/>
          <w:i/>
          <w:iCs/>
          <w:sz w:val="20"/>
          <w:szCs w:val="20"/>
        </w:rPr>
      </w:pPr>
      <w:r w:rsidRPr="0083420D">
        <w:rPr>
          <w:rFonts w:ascii="Times New Roman" w:hAnsi="Times New Roman" w:cs="Times New Roman"/>
          <w:b/>
          <w:bCs/>
          <w:i/>
          <w:iCs/>
          <w:sz w:val="20"/>
          <w:szCs w:val="20"/>
        </w:rPr>
        <w:t>In Vitro blood-brain barrier models</w:t>
      </w:r>
    </w:p>
    <w:p w14:paraId="3BAC8E67" w14:textId="6B92BC74" w:rsidR="001E09D5" w:rsidRPr="0083420D" w:rsidRDefault="001E09D5" w:rsidP="0083420D">
      <w:pPr>
        <w:spacing w:after="0" w:line="480" w:lineRule="auto"/>
        <w:rPr>
          <w:rFonts w:ascii="Times New Roman" w:hAnsi="Times New Roman" w:cs="Times New Roman"/>
          <w:sz w:val="20"/>
          <w:szCs w:val="20"/>
        </w:rPr>
      </w:pPr>
      <w:r w:rsidRPr="0083420D">
        <w:rPr>
          <w:rFonts w:ascii="Times New Roman" w:hAnsi="Times New Roman" w:cs="Times New Roman"/>
          <w:i/>
          <w:iCs/>
          <w:sz w:val="20"/>
          <w:szCs w:val="20"/>
        </w:rPr>
        <w:t xml:space="preserve">Isolation and culture of rat </w:t>
      </w:r>
      <w:r w:rsidR="00840189" w:rsidRPr="0083420D">
        <w:rPr>
          <w:rFonts w:ascii="Times New Roman" w:hAnsi="Times New Roman" w:cs="Times New Roman"/>
          <w:i/>
          <w:iCs/>
          <w:sz w:val="20"/>
          <w:szCs w:val="20"/>
        </w:rPr>
        <w:t>b</w:t>
      </w:r>
      <w:r w:rsidRPr="0083420D">
        <w:rPr>
          <w:rFonts w:ascii="Times New Roman" w:hAnsi="Times New Roman" w:cs="Times New Roman"/>
          <w:i/>
          <w:iCs/>
          <w:sz w:val="20"/>
          <w:szCs w:val="20"/>
        </w:rPr>
        <w:t>rain microvascular endothelial cells</w:t>
      </w:r>
      <w:r w:rsidRPr="0083420D">
        <w:rPr>
          <w:rFonts w:ascii="Times New Roman" w:hAnsi="Times New Roman" w:cs="Times New Roman"/>
          <w:sz w:val="20"/>
          <w:szCs w:val="20"/>
        </w:rPr>
        <w:br/>
        <w:t xml:space="preserve">RBECs were isolated from adult Sprague-Dawley rat brains according to an adapted protocol </w:t>
      </w:r>
      <w:r w:rsidRPr="0083420D">
        <w:rPr>
          <w:rFonts w:ascii="Times New Roman" w:hAnsi="Times New Roman" w:cs="Times New Roman"/>
          <w:bCs/>
          <w:sz w:val="20"/>
          <w:szCs w:val="20"/>
        </w:rPr>
        <w:t xml:space="preserve"> </w:t>
      </w:r>
      <w:r w:rsidRPr="0083420D">
        <w:rPr>
          <w:rFonts w:ascii="Times New Roman" w:hAnsi="Times New Roman" w:cs="Times New Roman"/>
          <w:bCs/>
          <w:color w:val="BF4E14" w:themeColor="accent2" w:themeShade="BF"/>
          <w:sz w:val="20"/>
          <w:szCs w:val="20"/>
        </w:rPr>
        <w:fldChar w:fldCharType="begin"/>
      </w:r>
      <w:r w:rsidR="00AD112A" w:rsidRPr="0083420D">
        <w:rPr>
          <w:rFonts w:ascii="Times New Roman" w:hAnsi="Times New Roman" w:cs="Times New Roman"/>
          <w:bCs/>
          <w:color w:val="BF4E14" w:themeColor="accent2" w:themeShade="BF"/>
          <w:sz w:val="20"/>
          <w:szCs w:val="20"/>
        </w:rPr>
        <w:instrText xml:space="preserve"> ADDIN ZOTERO_ITEM CSL_CITATION {"citationID":"j4n1AF1b","properties":{"formattedCitation":"[1]","plainCitation":"[1]","noteIndex":0},"citationItems":[{"id":152,"uris":["http://zotero.org/users/18372393/items/QR28XULG"],"itemData":{"id":152,"type":"article-journal","abstract":"The blood–brain barrier (BBB) is formed by brain capillary endothelial cells, astrocytes, pericytes, microglia, and neurons. BBB disruption under pathological conditions such as neurodegenerative disease and inflammation is observed in parallel with microglial activation. To test whether activation of microglia is linked to BBB dysfunction, we evaluated the effect of lipopolysaccharide (LPS) on BBB functions in an in vitro co-culture system with rat brain microvascular endothelial cells (RBEC) and microglia. When LPS was added for 6 h to the abluminal side of RBEC/microglia co-culture at a concentration showing no effects on the RBEC monolayer, transendothelial electrical resistance was decreased and permeability to sodium-fluorescein was increased in RBEC. Immunofluorescence staining for tight junction proteins demonstrated that zonula occludens-1-, claudin-5-, and occludin-like immunoreactivities at the intercellular borders of RBEC were fragmented in the presence of LPS-activated microglia. These functional changes induced by LPS-activated microglia were blocked by the nicotinamide adenine dinucleotide phosphate (NADPH) oxidase inhibitor, diphenyleneiodonium chloride. The present findings suggest that LPS activates microglia to induce dysfunction of the BBB by producing reactive oxygen species through NADPH oxidase.","container-title":"Cellular and Molecular Neurobiology","DOI":"10.1007/s10571-009-9446-7","ISSN":"1573-6830","issue":"2","journalAbbreviation":"Cell Mol Neurobiol","language":"en","page":"247-253","source":"Springer Link","title":"Lipopolysaccharide-Activated Microglia Induce Dysfunction of the Blood–Brain Barrier in Rat Microvascular Endothelial Cells Co-Cultured with Microglia","URL":"https://doi.org/10.1007/s10571-009-9446-7","volume":"30","author":[{"family":"Sumi","given":"Noriko"},{"family":"Nishioku","given":"Tsuyoshi"},{"family":"Takata","given":"Fuyuko"},{"family":"Matsumoto","given":"Junichi"},{"family":"Watanabe","given":"Takuya"},{"family":"Shuto","given":"Hideki"},{"family":"Yamauchi","given":"Atsushi"},{"family":"Dohgu","given":"Shinya"},{"family":"Kataoka","given":"Yasufumi"}],"accessed":{"date-parts":[["2025",11,17]]},"issued":{"date-parts":[["2010",3,1]]}}}],"schema":"https://github.com/citation-style-language/schema/raw/master/csl-citation.json"} </w:instrText>
      </w:r>
      <w:r w:rsidRPr="0083420D">
        <w:rPr>
          <w:rFonts w:ascii="Times New Roman" w:hAnsi="Times New Roman" w:cs="Times New Roman"/>
          <w:bCs/>
          <w:color w:val="BF4E14" w:themeColor="accent2" w:themeShade="BF"/>
          <w:sz w:val="20"/>
          <w:szCs w:val="20"/>
        </w:rPr>
        <w:fldChar w:fldCharType="separate"/>
      </w:r>
      <w:r w:rsidR="00AD112A" w:rsidRPr="0083420D">
        <w:rPr>
          <w:rFonts w:ascii="Times New Roman" w:hAnsi="Times New Roman" w:cs="Times New Roman"/>
          <w:sz w:val="20"/>
          <w:szCs w:val="20"/>
        </w:rPr>
        <w:t>[1]</w:t>
      </w:r>
      <w:r w:rsidRPr="0083420D">
        <w:rPr>
          <w:rFonts w:ascii="Times New Roman" w:hAnsi="Times New Roman" w:cs="Times New Roman"/>
          <w:bCs/>
          <w:color w:val="BF4E14" w:themeColor="accent2" w:themeShade="BF"/>
          <w:sz w:val="20"/>
          <w:szCs w:val="20"/>
        </w:rPr>
        <w:fldChar w:fldCharType="end"/>
      </w:r>
      <w:r w:rsidRPr="0083420D">
        <w:rPr>
          <w:rFonts w:ascii="Times New Roman" w:hAnsi="Times New Roman" w:cs="Times New Roman"/>
          <w:sz w:val="20"/>
          <w:szCs w:val="20"/>
        </w:rPr>
        <w:t xml:space="preserve">. Briefly, minced cortical </w:t>
      </w:r>
      <w:r w:rsidRPr="0083420D">
        <w:rPr>
          <w:rFonts w:ascii="Times New Roman" w:hAnsi="Times New Roman" w:cs="Times New Roman"/>
          <w:sz w:val="20"/>
          <w:szCs w:val="20"/>
        </w:rPr>
        <w:lastRenderedPageBreak/>
        <w:t>tissue was gently homogenized in ice-cold DMEM containing collagenase type 2 (1 mg/ml), DNase I (15 µg/ml), and gentamicin (50 µg/ml). The homogenate was filtered through a 40 µm nylon strainer to collect microvessels, which were subsequently digested in collagenase/</w:t>
      </w:r>
      <w:proofErr w:type="spellStart"/>
      <w:r w:rsidRPr="0083420D">
        <w:rPr>
          <w:rFonts w:ascii="Times New Roman" w:hAnsi="Times New Roman" w:cs="Times New Roman"/>
          <w:sz w:val="20"/>
          <w:szCs w:val="20"/>
        </w:rPr>
        <w:t>dispase</w:t>
      </w:r>
      <w:proofErr w:type="spellEnd"/>
      <w:r w:rsidRPr="0083420D">
        <w:rPr>
          <w:rFonts w:ascii="Times New Roman" w:hAnsi="Times New Roman" w:cs="Times New Roman"/>
          <w:sz w:val="20"/>
          <w:szCs w:val="20"/>
        </w:rPr>
        <w:t xml:space="preserve"> (1 mg/ml) and DNase I (5 µg/ml) for 45 minutes at 37°C. The microvascular endothelial cell fraction was purified using a 33% </w:t>
      </w:r>
      <w:proofErr w:type="spellStart"/>
      <w:r w:rsidRPr="0083420D">
        <w:rPr>
          <w:rFonts w:ascii="Times New Roman" w:hAnsi="Times New Roman" w:cs="Times New Roman"/>
          <w:sz w:val="20"/>
          <w:szCs w:val="20"/>
        </w:rPr>
        <w:t>Percoll</w:t>
      </w:r>
      <w:proofErr w:type="spellEnd"/>
      <w:r w:rsidRPr="0083420D">
        <w:rPr>
          <w:rFonts w:ascii="Times New Roman" w:hAnsi="Times New Roman" w:cs="Times New Roman"/>
          <w:sz w:val="20"/>
          <w:szCs w:val="20"/>
        </w:rPr>
        <w:t xml:space="preserve"> density gradient. Cells were cultured in DMEM supplemented with endothelial cell growth supplement on culture plates pre-coated with collagen type IV and fibronectin (0.1 mg/ml each). </w:t>
      </w:r>
    </w:p>
    <w:p w14:paraId="65DFC687" w14:textId="425E9B8A" w:rsidR="001E09D5" w:rsidRPr="0083420D" w:rsidRDefault="001E09D5" w:rsidP="0083420D">
      <w:pPr>
        <w:spacing w:after="0" w:line="480" w:lineRule="auto"/>
        <w:rPr>
          <w:rFonts w:ascii="Times New Roman" w:hAnsi="Times New Roman" w:cs="Times New Roman"/>
          <w:sz w:val="20"/>
          <w:szCs w:val="20"/>
        </w:rPr>
      </w:pPr>
      <w:r w:rsidRPr="0083420D">
        <w:rPr>
          <w:rFonts w:ascii="Times New Roman" w:hAnsi="Times New Roman" w:cs="Times New Roman"/>
          <w:i/>
          <w:iCs/>
          <w:sz w:val="20"/>
          <w:szCs w:val="20"/>
        </w:rPr>
        <w:t>PBMC-endothelial cell interaction model</w:t>
      </w:r>
      <w:r w:rsidRPr="0083420D">
        <w:rPr>
          <w:rFonts w:ascii="Times New Roman" w:hAnsi="Times New Roman" w:cs="Times New Roman"/>
          <w:sz w:val="20"/>
          <w:szCs w:val="20"/>
        </w:rPr>
        <w:br/>
        <w:t xml:space="preserve">To model the impact of stress-induced peripheral inflammation on the BBB, RBECs were grown to confluence on 12-well plates. </w:t>
      </w:r>
      <w:proofErr w:type="spellStart"/>
      <w:r w:rsidRPr="0083420D">
        <w:rPr>
          <w:rFonts w:ascii="Times New Roman" w:hAnsi="Times New Roman" w:cs="Times New Roman"/>
          <w:sz w:val="20"/>
          <w:szCs w:val="20"/>
        </w:rPr>
        <w:t>Transwell</w:t>
      </w:r>
      <w:proofErr w:type="spellEnd"/>
      <w:r w:rsidRPr="0083420D">
        <w:rPr>
          <w:rFonts w:ascii="Times New Roman" w:hAnsi="Times New Roman" w:cs="Times New Roman"/>
          <w:sz w:val="20"/>
          <w:szCs w:val="20"/>
        </w:rPr>
        <w:t>-Clear inserts (12 mm diameter, 0.4 µm pore size; Corning) were placed into the wells with PBMCs (2×10⁵ cells) and 2% serum obtained from either control or RSD-stressed rats, to create "control" and "RSD" conditions, respectively. After 72 hours of co-culture, RBECs and conditioned media were collected for analysis.</w:t>
      </w:r>
    </w:p>
    <w:p w14:paraId="54D02353" w14:textId="73DC271C" w:rsidR="001E09D5" w:rsidRPr="0083420D" w:rsidRDefault="001E09D5" w:rsidP="0083420D">
      <w:pPr>
        <w:spacing w:after="0" w:line="480" w:lineRule="auto"/>
        <w:rPr>
          <w:rFonts w:ascii="Times New Roman" w:hAnsi="Times New Roman" w:cs="Times New Roman"/>
          <w:sz w:val="20"/>
          <w:szCs w:val="20"/>
        </w:rPr>
      </w:pPr>
      <w:r w:rsidRPr="0083420D">
        <w:rPr>
          <w:rFonts w:ascii="Times New Roman" w:hAnsi="Times New Roman" w:cs="Times New Roman"/>
          <w:i/>
          <w:iCs/>
          <w:sz w:val="20"/>
          <w:szCs w:val="20"/>
        </w:rPr>
        <w:t>Astrocyte-</w:t>
      </w:r>
      <w:r w:rsidR="00840189" w:rsidRPr="0083420D">
        <w:rPr>
          <w:rFonts w:ascii="Times New Roman" w:hAnsi="Times New Roman" w:cs="Times New Roman"/>
          <w:i/>
          <w:iCs/>
          <w:sz w:val="20"/>
          <w:szCs w:val="20"/>
        </w:rPr>
        <w:t>e</w:t>
      </w:r>
      <w:r w:rsidRPr="0083420D">
        <w:rPr>
          <w:rFonts w:ascii="Times New Roman" w:hAnsi="Times New Roman" w:cs="Times New Roman"/>
          <w:i/>
          <w:iCs/>
          <w:sz w:val="20"/>
          <w:szCs w:val="20"/>
        </w:rPr>
        <w:t xml:space="preserve">ndothelial </w:t>
      </w:r>
      <w:r w:rsidR="00840189" w:rsidRPr="0083420D">
        <w:rPr>
          <w:rFonts w:ascii="Times New Roman" w:hAnsi="Times New Roman" w:cs="Times New Roman"/>
          <w:i/>
          <w:iCs/>
          <w:sz w:val="20"/>
          <w:szCs w:val="20"/>
        </w:rPr>
        <w:t>c</w:t>
      </w:r>
      <w:r w:rsidRPr="0083420D">
        <w:rPr>
          <w:rFonts w:ascii="Times New Roman" w:hAnsi="Times New Roman" w:cs="Times New Roman"/>
          <w:i/>
          <w:iCs/>
          <w:sz w:val="20"/>
          <w:szCs w:val="20"/>
        </w:rPr>
        <w:t xml:space="preserve">o-culture and </w:t>
      </w:r>
      <w:r w:rsidR="00840189" w:rsidRPr="0083420D">
        <w:rPr>
          <w:rFonts w:ascii="Times New Roman" w:hAnsi="Times New Roman" w:cs="Times New Roman"/>
          <w:i/>
          <w:iCs/>
          <w:sz w:val="20"/>
          <w:szCs w:val="20"/>
        </w:rPr>
        <w:t>b</w:t>
      </w:r>
      <w:r w:rsidRPr="0083420D">
        <w:rPr>
          <w:rFonts w:ascii="Times New Roman" w:hAnsi="Times New Roman" w:cs="Times New Roman"/>
          <w:i/>
          <w:iCs/>
          <w:sz w:val="20"/>
          <w:szCs w:val="20"/>
        </w:rPr>
        <w:t xml:space="preserve">arrier </w:t>
      </w:r>
      <w:r w:rsidR="00840189" w:rsidRPr="0083420D">
        <w:rPr>
          <w:rFonts w:ascii="Times New Roman" w:hAnsi="Times New Roman" w:cs="Times New Roman"/>
          <w:i/>
          <w:iCs/>
          <w:sz w:val="20"/>
          <w:szCs w:val="20"/>
        </w:rPr>
        <w:t>p</w:t>
      </w:r>
      <w:r w:rsidRPr="0083420D">
        <w:rPr>
          <w:rFonts w:ascii="Times New Roman" w:hAnsi="Times New Roman" w:cs="Times New Roman"/>
          <w:i/>
          <w:iCs/>
          <w:sz w:val="20"/>
          <w:szCs w:val="20"/>
        </w:rPr>
        <w:t xml:space="preserve">ermeability </w:t>
      </w:r>
      <w:r w:rsidR="00840189" w:rsidRPr="0083420D">
        <w:rPr>
          <w:rFonts w:ascii="Times New Roman" w:hAnsi="Times New Roman" w:cs="Times New Roman"/>
          <w:i/>
          <w:iCs/>
          <w:sz w:val="20"/>
          <w:szCs w:val="20"/>
        </w:rPr>
        <w:t>a</w:t>
      </w:r>
      <w:r w:rsidRPr="0083420D">
        <w:rPr>
          <w:rFonts w:ascii="Times New Roman" w:hAnsi="Times New Roman" w:cs="Times New Roman"/>
          <w:i/>
          <w:iCs/>
          <w:sz w:val="20"/>
          <w:szCs w:val="20"/>
        </w:rPr>
        <w:t>ssay</w:t>
      </w:r>
      <w:r w:rsidRPr="0083420D">
        <w:rPr>
          <w:rFonts w:ascii="Times New Roman" w:hAnsi="Times New Roman" w:cs="Times New Roman"/>
          <w:sz w:val="20"/>
          <w:szCs w:val="20"/>
        </w:rPr>
        <w:br/>
        <w:t xml:space="preserve">A co-culture model was established to assess functional BBB integrity </w:t>
      </w:r>
      <w:r w:rsidRPr="0083420D">
        <w:rPr>
          <w:rFonts w:ascii="Times New Roman" w:hAnsi="Times New Roman" w:cs="Times New Roman"/>
          <w:bCs/>
          <w:color w:val="BF4E14" w:themeColor="accent2" w:themeShade="BF"/>
          <w:sz w:val="20"/>
          <w:szCs w:val="20"/>
        </w:rPr>
        <w:fldChar w:fldCharType="begin"/>
      </w:r>
      <w:r w:rsidR="00AD112A" w:rsidRPr="0083420D">
        <w:rPr>
          <w:rFonts w:ascii="Times New Roman" w:hAnsi="Times New Roman" w:cs="Times New Roman"/>
          <w:bCs/>
          <w:color w:val="BF4E14" w:themeColor="accent2" w:themeShade="BF"/>
          <w:sz w:val="20"/>
          <w:szCs w:val="20"/>
        </w:rPr>
        <w:instrText xml:space="preserve"> ADDIN ZOTERO_ITEM CSL_CITATION {"citationID":"aX9sJtwP","properties":{"formattedCitation":"[2]","plainCitation":"[2]","noteIndex":0},"citationItems":[{"id":153,"uris":["http://zotero.org/users/18372393/items/BBGWIHTZ"],"itemData":{"id":153,"type":"chapter","abstract":"In vitro blood–brain barrier (BBB) models using primary cultured brain endothelial cells are important for establishing cellular and molecular mechanisms of BBB function. Co-culturing with BBB-associated cells especially astrocytes to mimic more closely the in vivo condition leads to upregulation of the BBB phenotype in the brain endothelial cells. Rat brain endothelial cells (RBECs) are a valuable tool allowing ready comparison with in vivo studies in rodents; however, it has been difficult to obtain pure brain endothelial cells, and few models achieve a transendothelial electrical resistance (TEER, measure of tight junction efficacy) of &gt;200 Ω cm2, i.e. the models are still relatively leaky. Here, we describe methods for preparing high purity RBECs and neonatal rat astrocytes, and a co-culture method that generates a robust, stable BBB model that can achieve TEER &gt;600 Ω cm2. The method is based on &gt;20 years experience with RBEC culture, together with recent improvements to kill contaminating cells and encourage BBB differentiation.","container-title":"Astrocytes: Methods and Protocols","event-place":"Totowa, NJ","ISBN":"978-1-61779-452-0","language":"en","note":"DOI: 10.1007/978-1-61779-452-0_28","page":"415-430","publisher":"Humana Press","publisher-place":"Totowa, NJ","source":"Springer Link","title":"An Improved In Vitro Blood–Brain Barrier Model: Rat Brain Endothelial Cells Co-cultured with Astrocytes","title-short":"An Improved In Vitro Blood–Brain Barrier Model","URL":"https://doi.org/10.1007/978-1-61779-452-0_28","author":[{"family":"Abbott","given":"N. Joan"},{"family":"Dolman","given":"Diana E. M."},{"family":"Drndarski","given":"Svetlana"},{"family":"Fredriksson","given":"Sarah M."}],"editor":[{"family":"Milner","given":"Richard"}],"accessed":{"date-parts":[["2025",11,17]]},"issued":{"date-parts":[["2012"]]}}}],"schema":"https://github.com/citation-style-language/schema/raw/master/csl-citation.json"} </w:instrText>
      </w:r>
      <w:r w:rsidRPr="0083420D">
        <w:rPr>
          <w:rFonts w:ascii="Times New Roman" w:hAnsi="Times New Roman" w:cs="Times New Roman"/>
          <w:bCs/>
          <w:color w:val="BF4E14" w:themeColor="accent2" w:themeShade="BF"/>
          <w:sz w:val="20"/>
          <w:szCs w:val="20"/>
        </w:rPr>
        <w:fldChar w:fldCharType="separate"/>
      </w:r>
      <w:r w:rsidR="00AD112A" w:rsidRPr="0083420D">
        <w:rPr>
          <w:rFonts w:ascii="Times New Roman" w:hAnsi="Times New Roman" w:cs="Times New Roman"/>
          <w:sz w:val="20"/>
          <w:szCs w:val="20"/>
        </w:rPr>
        <w:t>[2]</w:t>
      </w:r>
      <w:r w:rsidRPr="0083420D">
        <w:rPr>
          <w:rFonts w:ascii="Times New Roman" w:hAnsi="Times New Roman" w:cs="Times New Roman"/>
          <w:bCs/>
          <w:color w:val="BF4E14" w:themeColor="accent2" w:themeShade="BF"/>
          <w:sz w:val="20"/>
          <w:szCs w:val="20"/>
        </w:rPr>
        <w:fldChar w:fldCharType="end"/>
      </w:r>
      <w:r w:rsidRPr="0083420D">
        <w:rPr>
          <w:rFonts w:ascii="Times New Roman" w:hAnsi="Times New Roman" w:cs="Times New Roman"/>
          <w:sz w:val="20"/>
          <w:szCs w:val="20"/>
        </w:rPr>
        <w:t xml:space="preserve">. Astrocytes were isolated from postnatal day 2 rat pups via tryptic digestion and mechanical dissociation, followed by filtration through a 40 µm strainer. After 3 days in culture, contaminating cells were removed by orbital shaking. Pure astrocytes were seeded in the basolateral compartment of 12-well plates, while RBECs were cultured on </w:t>
      </w:r>
      <w:proofErr w:type="spellStart"/>
      <w:r w:rsidRPr="0083420D">
        <w:rPr>
          <w:rFonts w:ascii="Times New Roman" w:hAnsi="Times New Roman" w:cs="Times New Roman"/>
          <w:sz w:val="20"/>
          <w:szCs w:val="20"/>
        </w:rPr>
        <w:t>Transwell</w:t>
      </w:r>
      <w:proofErr w:type="spellEnd"/>
      <w:r w:rsidRPr="0083420D">
        <w:rPr>
          <w:rFonts w:ascii="Times New Roman" w:hAnsi="Times New Roman" w:cs="Times New Roman"/>
          <w:sz w:val="20"/>
          <w:szCs w:val="20"/>
        </w:rPr>
        <w:t xml:space="preserve"> inserts placed above them. This co-culture system was then treated with PBMCs and serum from control or RSD rats as described above. After 72 hours, barrier function was quantified by adding 70 </w:t>
      </w:r>
      <w:proofErr w:type="spellStart"/>
      <w:r w:rsidRPr="0083420D">
        <w:rPr>
          <w:rFonts w:ascii="Times New Roman" w:hAnsi="Times New Roman" w:cs="Times New Roman"/>
          <w:sz w:val="20"/>
          <w:szCs w:val="20"/>
        </w:rPr>
        <w:t>kDa</w:t>
      </w:r>
      <w:proofErr w:type="spellEnd"/>
      <w:r w:rsidRPr="0083420D">
        <w:rPr>
          <w:rFonts w:ascii="Times New Roman" w:hAnsi="Times New Roman" w:cs="Times New Roman"/>
          <w:sz w:val="20"/>
          <w:szCs w:val="20"/>
        </w:rPr>
        <w:t xml:space="preserve"> FITC-dextran to the luminal chamber and measuring its leakage in the abluminal chamber over time using a fluorescence plate reader (490/520 nm; </w:t>
      </w:r>
      <w:r w:rsidRPr="0083420D">
        <w:rPr>
          <w:rFonts w:ascii="Times New Roman" w:hAnsi="Times New Roman" w:cs="Times New Roman"/>
          <w:bCs/>
          <w:sz w:val="20"/>
          <w:szCs w:val="20"/>
        </w:rPr>
        <w:fldChar w:fldCharType="begin"/>
      </w:r>
      <w:r w:rsidR="00AD112A" w:rsidRPr="0083420D">
        <w:rPr>
          <w:rFonts w:ascii="Times New Roman" w:hAnsi="Times New Roman" w:cs="Times New Roman"/>
          <w:bCs/>
          <w:sz w:val="20"/>
          <w:szCs w:val="20"/>
        </w:rPr>
        <w:instrText xml:space="preserve"> ADDIN ZOTERO_ITEM CSL_CITATION {"citationID":"PMhfkDOP","properties":{"formattedCitation":"[3]","plainCitation":"[3]","noteIndex":0},"citationItems":[{"id":154,"uris":["http://zotero.org/users/18372393/items/ZHP7TNBT"],"itemData":{"id":154,"type":"article-journal","abstract":"In vitro blood-brain barrier (BBB) models have been widely used to simulate in vivo models due to their low cost, feasibility, and repeatability. To serve as a valid substitute, the in vitro BBB should have the similar barrier function as that in vivo. This chapter summarizes the detailed methods for quantifying the barrier function, e.g., the permeability of the BBB to water, ions, and solutes for an in vitro BBB generated on the Transwell filter.","container-title":"Methods in molecular biology (Clifton, N.J.)","DOI":"10.1007/978-1-0716-1708-3_18","ISSN":"1064-3745","journalAbbreviation":"Methods Mol Biol","note":"PMID: 34591311\nPMCID: PMC12208173","page":"217-228","source":"PubMed Central","title":"Quantification of In Vitro Blood-Brain Barrier Permeability","URL":"https://pmc.ncbi.nlm.nih.gov/articles/PMC12208173/","volume":"2375","author":[{"family":"Fu","given":"Bingmei M."}],"accessed":{"date-parts":[["2025",11,17]]},"issued":{"date-parts":[["2022"]]}}}],"schema":"https://github.com/citation-style-language/schema/raw/master/csl-citation.json"} </w:instrText>
      </w:r>
      <w:r w:rsidRPr="0083420D">
        <w:rPr>
          <w:rFonts w:ascii="Times New Roman" w:hAnsi="Times New Roman" w:cs="Times New Roman"/>
          <w:bCs/>
          <w:sz w:val="20"/>
          <w:szCs w:val="20"/>
        </w:rPr>
        <w:fldChar w:fldCharType="separate"/>
      </w:r>
      <w:r w:rsidR="00AD112A" w:rsidRPr="0083420D">
        <w:rPr>
          <w:rFonts w:ascii="Times New Roman" w:hAnsi="Times New Roman" w:cs="Times New Roman"/>
          <w:sz w:val="20"/>
          <w:szCs w:val="20"/>
        </w:rPr>
        <w:t>[3]</w:t>
      </w:r>
      <w:r w:rsidRPr="0083420D">
        <w:rPr>
          <w:rFonts w:ascii="Times New Roman" w:hAnsi="Times New Roman" w:cs="Times New Roman"/>
          <w:bCs/>
          <w:sz w:val="20"/>
          <w:szCs w:val="20"/>
        </w:rPr>
        <w:fldChar w:fldCharType="end"/>
      </w:r>
      <w:r w:rsidRPr="0083420D">
        <w:rPr>
          <w:rFonts w:ascii="Times New Roman" w:hAnsi="Times New Roman" w:cs="Times New Roman"/>
          <w:sz w:val="20"/>
          <w:szCs w:val="20"/>
        </w:rPr>
        <w:t>.</w:t>
      </w:r>
    </w:p>
    <w:p w14:paraId="78D498D5" w14:textId="77777777" w:rsidR="00AD112A" w:rsidRPr="0083420D" w:rsidRDefault="00AD112A" w:rsidP="0083420D">
      <w:pPr>
        <w:spacing w:after="0" w:line="480" w:lineRule="auto"/>
        <w:rPr>
          <w:rFonts w:ascii="Times New Roman" w:hAnsi="Times New Roman" w:cs="Times New Roman"/>
          <w:sz w:val="20"/>
          <w:szCs w:val="20"/>
        </w:rPr>
      </w:pPr>
    </w:p>
    <w:p w14:paraId="312978FC" w14:textId="15198A91" w:rsidR="001E09D5" w:rsidRPr="0083420D" w:rsidRDefault="00AD112A" w:rsidP="0083420D">
      <w:pPr>
        <w:spacing w:after="0" w:line="480" w:lineRule="auto"/>
        <w:rPr>
          <w:rFonts w:ascii="Times New Roman" w:hAnsi="Times New Roman" w:cs="Times New Roman"/>
          <w:sz w:val="20"/>
          <w:szCs w:val="20"/>
        </w:rPr>
      </w:pPr>
      <w:r w:rsidRPr="0083420D">
        <w:rPr>
          <w:rFonts w:ascii="Times New Roman" w:hAnsi="Times New Roman" w:cs="Times New Roman"/>
          <w:b/>
          <w:bCs/>
          <w:sz w:val="20"/>
          <w:szCs w:val="20"/>
        </w:rPr>
        <w:t>References</w:t>
      </w:r>
    </w:p>
    <w:p w14:paraId="28455B8F" w14:textId="77777777" w:rsidR="00AD112A" w:rsidRPr="0083420D" w:rsidRDefault="00AD112A" w:rsidP="0083420D">
      <w:pPr>
        <w:pStyle w:val="Bibliography"/>
        <w:spacing w:after="0" w:line="480" w:lineRule="auto"/>
        <w:rPr>
          <w:rFonts w:ascii="Times New Roman" w:hAnsi="Times New Roman" w:cs="Times New Roman"/>
          <w:sz w:val="20"/>
          <w:szCs w:val="20"/>
        </w:rPr>
      </w:pPr>
      <w:r w:rsidRPr="0083420D">
        <w:rPr>
          <w:rFonts w:ascii="Times New Roman" w:hAnsi="Times New Roman" w:cs="Times New Roman"/>
          <w:sz w:val="20"/>
          <w:szCs w:val="20"/>
        </w:rPr>
        <w:fldChar w:fldCharType="begin"/>
      </w:r>
      <w:r w:rsidRPr="0083420D">
        <w:rPr>
          <w:rFonts w:ascii="Times New Roman" w:hAnsi="Times New Roman" w:cs="Times New Roman"/>
          <w:sz w:val="20"/>
          <w:szCs w:val="20"/>
        </w:rPr>
        <w:instrText xml:space="preserve"> ADDIN ZOTERO_BIBL {"uncited":[],"omitted":[],"custom":[]} CSL_BIBLIOGRAPHY </w:instrText>
      </w:r>
      <w:r w:rsidRPr="0083420D">
        <w:rPr>
          <w:rFonts w:ascii="Times New Roman" w:hAnsi="Times New Roman" w:cs="Times New Roman"/>
          <w:sz w:val="20"/>
          <w:szCs w:val="20"/>
        </w:rPr>
        <w:fldChar w:fldCharType="separate"/>
      </w:r>
      <w:r w:rsidRPr="0083420D">
        <w:rPr>
          <w:rFonts w:ascii="Times New Roman" w:hAnsi="Times New Roman" w:cs="Times New Roman"/>
          <w:sz w:val="20"/>
          <w:szCs w:val="20"/>
        </w:rPr>
        <w:t xml:space="preserve">1. </w:t>
      </w:r>
      <w:r w:rsidRPr="0083420D">
        <w:rPr>
          <w:rFonts w:ascii="Times New Roman" w:hAnsi="Times New Roman" w:cs="Times New Roman"/>
          <w:sz w:val="20"/>
          <w:szCs w:val="20"/>
        </w:rPr>
        <w:tab/>
        <w:t>Sumi N, Nishioku T, Takata F, et al (2010) Lipopolysaccharide-Activated Microglia Induce Dysfunction of the Blood–Brain Barrier in Rat Microvascular Endothelial Cells Co-Cultured with Microglia. Cell Mol Neurobiol 30:247–253. https://doi.org/10.1007/s10571-009-9446-7</w:t>
      </w:r>
    </w:p>
    <w:p w14:paraId="07D63659" w14:textId="77777777" w:rsidR="00AD112A" w:rsidRPr="0083420D" w:rsidRDefault="00AD112A" w:rsidP="0083420D">
      <w:pPr>
        <w:pStyle w:val="Bibliography"/>
        <w:spacing w:after="0" w:line="480" w:lineRule="auto"/>
        <w:rPr>
          <w:rFonts w:ascii="Times New Roman" w:hAnsi="Times New Roman" w:cs="Times New Roman"/>
          <w:sz w:val="20"/>
          <w:szCs w:val="20"/>
        </w:rPr>
      </w:pPr>
      <w:r w:rsidRPr="0083420D">
        <w:rPr>
          <w:rFonts w:ascii="Times New Roman" w:hAnsi="Times New Roman" w:cs="Times New Roman"/>
          <w:sz w:val="20"/>
          <w:szCs w:val="20"/>
        </w:rPr>
        <w:t xml:space="preserve">2. </w:t>
      </w:r>
      <w:r w:rsidRPr="0083420D">
        <w:rPr>
          <w:rFonts w:ascii="Times New Roman" w:hAnsi="Times New Roman" w:cs="Times New Roman"/>
          <w:sz w:val="20"/>
          <w:szCs w:val="20"/>
        </w:rPr>
        <w:tab/>
        <w:t>Abbott NJ, Dolman DEM, Drndarski S, Fredriksson SM (2012) An Improved In Vitro Blood–Brain Barrier Model: Rat Brain Endothelial Cells Co-cultured with Astrocytes. In: Milner R (ed) Astrocytes: Methods and Protocols. Humana Press, Totowa, NJ, pp 415–430</w:t>
      </w:r>
    </w:p>
    <w:p w14:paraId="3FEFAD0E" w14:textId="77777777" w:rsidR="00AD112A" w:rsidRPr="0083420D" w:rsidRDefault="00AD112A" w:rsidP="0083420D">
      <w:pPr>
        <w:pStyle w:val="Bibliography"/>
        <w:spacing w:after="0" w:line="480" w:lineRule="auto"/>
        <w:rPr>
          <w:rFonts w:ascii="Times New Roman" w:hAnsi="Times New Roman" w:cs="Times New Roman"/>
          <w:sz w:val="20"/>
          <w:szCs w:val="20"/>
        </w:rPr>
      </w:pPr>
      <w:r w:rsidRPr="0083420D">
        <w:rPr>
          <w:rFonts w:ascii="Times New Roman" w:hAnsi="Times New Roman" w:cs="Times New Roman"/>
          <w:sz w:val="20"/>
          <w:szCs w:val="20"/>
        </w:rPr>
        <w:lastRenderedPageBreak/>
        <w:t xml:space="preserve">3. </w:t>
      </w:r>
      <w:r w:rsidRPr="0083420D">
        <w:rPr>
          <w:rFonts w:ascii="Times New Roman" w:hAnsi="Times New Roman" w:cs="Times New Roman"/>
          <w:sz w:val="20"/>
          <w:szCs w:val="20"/>
        </w:rPr>
        <w:tab/>
        <w:t>Fu BM (2022) Quantification of In Vitro Blood-Brain Barrier Permeability. Methods Mol Biol 2375:217–228. https://doi.org/10.1007/978-1-0716-1708-3_18</w:t>
      </w:r>
    </w:p>
    <w:p w14:paraId="31EBE835" w14:textId="3B7028D6" w:rsidR="00AD112A" w:rsidRPr="00CE714F" w:rsidRDefault="00AD112A" w:rsidP="0083420D">
      <w:pPr>
        <w:spacing w:after="0" w:line="480" w:lineRule="auto"/>
        <w:rPr>
          <w:rFonts w:ascii="Times New Roman" w:hAnsi="Times New Roman" w:cs="Times New Roman"/>
          <w:sz w:val="20"/>
          <w:szCs w:val="20"/>
        </w:rPr>
      </w:pPr>
      <w:r w:rsidRPr="0083420D">
        <w:rPr>
          <w:rFonts w:ascii="Times New Roman" w:hAnsi="Times New Roman" w:cs="Times New Roman"/>
          <w:sz w:val="20"/>
          <w:szCs w:val="20"/>
        </w:rPr>
        <w:fldChar w:fldCharType="end"/>
      </w:r>
    </w:p>
    <w:sectPr w:rsidR="00AD112A" w:rsidRPr="00CE714F" w:rsidSect="00D46042">
      <w:pgSz w:w="12242" w:h="15842" w:code="1"/>
      <w:pgMar w:top="1440" w:right="1191" w:bottom="144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63CAF"/>
    <w:multiLevelType w:val="hybridMultilevel"/>
    <w:tmpl w:val="043858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788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8"/>
    <w:rsid w:val="00127354"/>
    <w:rsid w:val="001815EF"/>
    <w:rsid w:val="001A1A39"/>
    <w:rsid w:val="001E09D5"/>
    <w:rsid w:val="001F0E9D"/>
    <w:rsid w:val="002B4532"/>
    <w:rsid w:val="003807D1"/>
    <w:rsid w:val="003862AC"/>
    <w:rsid w:val="004277D6"/>
    <w:rsid w:val="00505858"/>
    <w:rsid w:val="00551663"/>
    <w:rsid w:val="006F7941"/>
    <w:rsid w:val="007A2562"/>
    <w:rsid w:val="007B61C0"/>
    <w:rsid w:val="007C4F86"/>
    <w:rsid w:val="0083420D"/>
    <w:rsid w:val="00840189"/>
    <w:rsid w:val="00846319"/>
    <w:rsid w:val="008D5624"/>
    <w:rsid w:val="009C6FB4"/>
    <w:rsid w:val="009E466D"/>
    <w:rsid w:val="00A12591"/>
    <w:rsid w:val="00AD112A"/>
    <w:rsid w:val="00B10E53"/>
    <w:rsid w:val="00B25D70"/>
    <w:rsid w:val="00B9258F"/>
    <w:rsid w:val="00BB3D9A"/>
    <w:rsid w:val="00C01F2B"/>
    <w:rsid w:val="00C45AD6"/>
    <w:rsid w:val="00CA339C"/>
    <w:rsid w:val="00CE714F"/>
    <w:rsid w:val="00D46042"/>
    <w:rsid w:val="00D83428"/>
    <w:rsid w:val="00DA6E7D"/>
    <w:rsid w:val="00E061F6"/>
    <w:rsid w:val="00E23D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A1F4"/>
  <w15:chartTrackingRefBased/>
  <w15:docId w15:val="{D6C4E418-3D73-44A4-B719-5A9A20A8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428"/>
    <w:rPr>
      <w:rFonts w:eastAsiaTheme="majorEastAsia" w:cstheme="majorBidi"/>
      <w:color w:val="272727" w:themeColor="text1" w:themeTint="D8"/>
    </w:rPr>
  </w:style>
  <w:style w:type="paragraph" w:styleId="Title">
    <w:name w:val="Title"/>
    <w:basedOn w:val="Normal"/>
    <w:next w:val="Normal"/>
    <w:link w:val="TitleChar"/>
    <w:uiPriority w:val="10"/>
    <w:qFormat/>
    <w:rsid w:val="00D83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428"/>
    <w:pPr>
      <w:spacing w:before="160"/>
      <w:jc w:val="center"/>
    </w:pPr>
    <w:rPr>
      <w:i/>
      <w:iCs/>
      <w:color w:val="404040" w:themeColor="text1" w:themeTint="BF"/>
    </w:rPr>
  </w:style>
  <w:style w:type="character" w:customStyle="1" w:styleId="QuoteChar">
    <w:name w:val="Quote Char"/>
    <w:basedOn w:val="DefaultParagraphFont"/>
    <w:link w:val="Quote"/>
    <w:uiPriority w:val="29"/>
    <w:rsid w:val="00D83428"/>
    <w:rPr>
      <w:i/>
      <w:iCs/>
      <w:color w:val="404040" w:themeColor="text1" w:themeTint="BF"/>
    </w:rPr>
  </w:style>
  <w:style w:type="paragraph" w:styleId="ListParagraph">
    <w:name w:val="List Paragraph"/>
    <w:basedOn w:val="Normal"/>
    <w:uiPriority w:val="34"/>
    <w:qFormat/>
    <w:rsid w:val="00D83428"/>
    <w:pPr>
      <w:ind w:left="720"/>
      <w:contextualSpacing/>
    </w:pPr>
  </w:style>
  <w:style w:type="character" w:styleId="IntenseEmphasis">
    <w:name w:val="Intense Emphasis"/>
    <w:basedOn w:val="DefaultParagraphFont"/>
    <w:uiPriority w:val="21"/>
    <w:qFormat/>
    <w:rsid w:val="00D83428"/>
    <w:rPr>
      <w:i/>
      <w:iCs/>
      <w:color w:val="0F4761" w:themeColor="accent1" w:themeShade="BF"/>
    </w:rPr>
  </w:style>
  <w:style w:type="paragraph" w:styleId="IntenseQuote">
    <w:name w:val="Intense Quote"/>
    <w:basedOn w:val="Normal"/>
    <w:next w:val="Normal"/>
    <w:link w:val="IntenseQuoteChar"/>
    <w:uiPriority w:val="30"/>
    <w:qFormat/>
    <w:rsid w:val="00D83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428"/>
    <w:rPr>
      <w:i/>
      <w:iCs/>
      <w:color w:val="0F4761" w:themeColor="accent1" w:themeShade="BF"/>
    </w:rPr>
  </w:style>
  <w:style w:type="character" w:styleId="IntenseReference">
    <w:name w:val="Intense Reference"/>
    <w:basedOn w:val="DefaultParagraphFont"/>
    <w:uiPriority w:val="32"/>
    <w:qFormat/>
    <w:rsid w:val="00D83428"/>
    <w:rPr>
      <w:b/>
      <w:bCs/>
      <w:smallCaps/>
      <w:color w:val="0F4761" w:themeColor="accent1" w:themeShade="BF"/>
      <w:spacing w:val="5"/>
    </w:rPr>
  </w:style>
  <w:style w:type="paragraph" w:styleId="Bibliography">
    <w:name w:val="Bibliography"/>
    <w:basedOn w:val="Normal"/>
    <w:next w:val="Normal"/>
    <w:uiPriority w:val="37"/>
    <w:unhideWhenUsed/>
    <w:rsid w:val="00AD112A"/>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761</TotalTime>
  <Pages>6</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 Ghosh</dc:creator>
  <cp:keywords/>
  <dc:description/>
  <cp:lastModifiedBy>Simi Ghosh</cp:lastModifiedBy>
  <cp:revision>33</cp:revision>
  <dcterms:created xsi:type="dcterms:W3CDTF">2025-11-16T17:28:00Z</dcterms:created>
  <dcterms:modified xsi:type="dcterms:W3CDTF">2025-12-02T10:44:00Z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id="GK8gr09e"/&gt;&lt;style id="http://www.zotero.org/styles/molecular-neurobiology" hasBibliography="1" bibliographyStyleHasBeenSet="1"/&gt;&lt;prefs&gt;&lt;pref name="fieldType" value="Field"/&gt;&lt;/prefs&gt;&lt;/data&gt;</vt:lpwstr>
  </property>
</Properties>
</file>