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04" w:rsidRPr="00A60C24" w:rsidRDefault="0080241A" w:rsidP="00371F5A">
      <w:pPr>
        <w:spacing w:before="100" w:beforeAutospacing="1" w:after="100" w:afterAutospacing="1"/>
        <w:ind w:leftChars="-200" w:left="-420" w:rightChars="-200" w:right="-420"/>
        <w:jc w:val="center"/>
        <w:rPr>
          <w:rFonts w:ascii="Times New Roman" w:eastAsia="宋体" w:hAnsi="Times New Roman" w:cs="Times New Roman"/>
          <w:b/>
          <w:bCs/>
          <w:sz w:val="28"/>
          <w:szCs w:val="28"/>
        </w:rPr>
      </w:pPr>
      <w:r w:rsidRPr="00A60C24">
        <w:rPr>
          <w:rFonts w:ascii="Times New Roman" w:eastAsia="宋体" w:hAnsi="Times New Roman" w:cs="Times New Roman"/>
          <w:b/>
          <w:bCs/>
          <w:sz w:val="28"/>
          <w:szCs w:val="28"/>
        </w:rPr>
        <w:t>A</w:t>
      </w:r>
      <w:r w:rsidRPr="00A60C24">
        <w:rPr>
          <w:rFonts w:ascii="Times New Roman" w:eastAsia="宋体" w:hAnsi="Times New Roman" w:cs="Times New Roman" w:hint="eastAsia"/>
          <w:b/>
          <w:bCs/>
          <w:sz w:val="28"/>
          <w:szCs w:val="28"/>
        </w:rPr>
        <w:t xml:space="preserve"> Study on the I</w:t>
      </w:r>
      <w:r w:rsidR="00D94B04" w:rsidRPr="00A60C24">
        <w:rPr>
          <w:rFonts w:ascii="Times New Roman" w:eastAsia="宋体" w:hAnsi="Times New Roman" w:cs="Times New Roman" w:hint="eastAsia"/>
          <w:b/>
          <w:bCs/>
          <w:sz w:val="28"/>
          <w:szCs w:val="28"/>
        </w:rPr>
        <w:t xml:space="preserve">mpact of Neuroticism on Academic English Learning Anxiety </w:t>
      </w:r>
      <w:r w:rsidR="00B638F7" w:rsidRPr="00A60C24">
        <w:rPr>
          <w:rFonts w:ascii="Times New Roman" w:eastAsia="宋体" w:hAnsi="Times New Roman" w:cs="Times New Roman" w:hint="eastAsia"/>
          <w:b/>
          <w:bCs/>
          <w:sz w:val="28"/>
          <w:szCs w:val="28"/>
        </w:rPr>
        <w:t>a</w:t>
      </w:r>
      <w:r w:rsidR="00D94B04" w:rsidRPr="00A60C24">
        <w:rPr>
          <w:rFonts w:ascii="Times New Roman" w:eastAsia="宋体" w:hAnsi="Times New Roman" w:cs="Times New Roman" w:hint="eastAsia"/>
          <w:b/>
          <w:bCs/>
          <w:sz w:val="28"/>
          <w:szCs w:val="28"/>
        </w:rPr>
        <w:t>mong Medical Postgraduate Students</w:t>
      </w:r>
    </w:p>
    <w:p w:rsidR="00F36DB4" w:rsidRPr="00082F4A" w:rsidRDefault="00F36DB4" w:rsidP="00082F4A">
      <w:pPr>
        <w:spacing w:before="100" w:beforeAutospacing="1" w:after="100" w:afterAutospacing="1"/>
        <w:ind w:leftChars="-200" w:left="-420" w:rightChars="-200" w:right="-420" w:firstLineChars="200" w:firstLine="482"/>
        <w:jc w:val="center"/>
        <w:rPr>
          <w:rFonts w:ascii="Times New Roman" w:eastAsia="宋体" w:hAnsi="Times New Roman" w:cs="Times New Roman"/>
          <w:b/>
          <w:sz w:val="24"/>
          <w:szCs w:val="24"/>
        </w:rPr>
      </w:pPr>
      <w:r w:rsidRPr="00082F4A">
        <w:rPr>
          <w:rFonts w:ascii="Times New Roman" w:eastAsia="宋体" w:hAnsi="Times New Roman" w:cs="Times New Roman"/>
          <w:b/>
          <w:sz w:val="24"/>
          <w:szCs w:val="24"/>
        </w:rPr>
        <w:t>Table 1 Correlation Coefficients between Total Neuroticism Score and Sub-Dimensions and AELA (N=228)</w:t>
      </w:r>
    </w:p>
    <w:tbl>
      <w:tblPr>
        <w:tblStyle w:val="aa"/>
        <w:tblW w:w="0" w:type="auto"/>
        <w:tblBorders>
          <w:left w:val="none" w:sz="0" w:space="0" w:color="auto"/>
          <w:right w:val="none" w:sz="0" w:space="0" w:color="auto"/>
          <w:insideV w:val="none" w:sz="0" w:space="0" w:color="auto"/>
        </w:tblBorders>
        <w:tblLook w:val="04A0"/>
      </w:tblPr>
      <w:tblGrid>
        <w:gridCol w:w="2093"/>
        <w:gridCol w:w="1417"/>
        <w:gridCol w:w="1645"/>
        <w:gridCol w:w="1659"/>
        <w:gridCol w:w="1660"/>
      </w:tblGrid>
      <w:tr w:rsidR="008D69E9" w:rsidRPr="00371F5A" w:rsidTr="009E4B87">
        <w:tc>
          <w:tcPr>
            <w:tcW w:w="2093"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Variable</w:t>
            </w:r>
            <w:r w:rsidR="009F5D43" w:rsidRPr="00371F5A">
              <w:rPr>
                <w:rFonts w:ascii="Times New Roman" w:eastAsia="宋体" w:hAnsi="Times New Roman" w:cs="Times New Roman" w:hint="eastAsia"/>
                <w:b/>
                <w:szCs w:val="21"/>
              </w:rPr>
              <w:t>s</w:t>
            </w:r>
          </w:p>
        </w:tc>
        <w:tc>
          <w:tcPr>
            <w:tcW w:w="1417"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AELA Total Score</w:t>
            </w:r>
          </w:p>
        </w:tc>
        <w:tc>
          <w:tcPr>
            <w:tcW w:w="1645"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Cognitive Anxiety</w:t>
            </w:r>
          </w:p>
        </w:tc>
        <w:tc>
          <w:tcPr>
            <w:tcW w:w="1659"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Social Anxiety</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Behavioral Avoidance</w:t>
            </w:r>
          </w:p>
        </w:tc>
      </w:tr>
      <w:tr w:rsidR="008D69E9" w:rsidRPr="00371F5A" w:rsidTr="009E4B87">
        <w:tc>
          <w:tcPr>
            <w:tcW w:w="2093"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Neuroticism Total Score</w:t>
            </w:r>
          </w:p>
        </w:tc>
        <w:tc>
          <w:tcPr>
            <w:tcW w:w="1417"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0.64**</w:t>
            </w:r>
          </w:p>
        </w:tc>
        <w:tc>
          <w:tcPr>
            <w:tcW w:w="1645"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0.58**</w:t>
            </w:r>
          </w:p>
        </w:tc>
        <w:tc>
          <w:tcPr>
            <w:tcW w:w="1659"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0.52**</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0.47**</w:t>
            </w:r>
          </w:p>
        </w:tc>
      </w:tr>
      <w:tr w:rsidR="008D69E9" w:rsidRPr="00371F5A" w:rsidTr="009E4B87">
        <w:tc>
          <w:tcPr>
            <w:tcW w:w="2093"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Anxiety Tendency</w:t>
            </w:r>
          </w:p>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(Sub-Dimension)</w:t>
            </w:r>
          </w:p>
        </w:tc>
        <w:tc>
          <w:tcPr>
            <w:tcW w:w="1417"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0.61**</w:t>
            </w:r>
          </w:p>
        </w:tc>
        <w:tc>
          <w:tcPr>
            <w:tcW w:w="1645"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0.55**</w:t>
            </w:r>
          </w:p>
        </w:tc>
        <w:tc>
          <w:tcPr>
            <w:tcW w:w="1659"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0.49**</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0.43**</w:t>
            </w:r>
          </w:p>
        </w:tc>
      </w:tr>
      <w:tr w:rsidR="008D69E9" w:rsidRPr="00371F5A" w:rsidTr="009E4B87">
        <w:tc>
          <w:tcPr>
            <w:tcW w:w="2093"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Vulnerability</w:t>
            </w:r>
          </w:p>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(Sub-Dimension)</w:t>
            </w:r>
          </w:p>
        </w:tc>
        <w:tc>
          <w:tcPr>
            <w:tcW w:w="1417"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0.56**</w:t>
            </w:r>
          </w:p>
        </w:tc>
        <w:tc>
          <w:tcPr>
            <w:tcW w:w="1645"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0.50**</w:t>
            </w:r>
          </w:p>
        </w:tc>
        <w:tc>
          <w:tcPr>
            <w:tcW w:w="1659"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0.45**</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0.40**</w:t>
            </w:r>
          </w:p>
        </w:tc>
      </w:tr>
      <w:tr w:rsidR="008D69E9" w:rsidRPr="00371F5A" w:rsidTr="009E4B87">
        <w:tc>
          <w:tcPr>
            <w:tcW w:w="2093"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Depression Tendency</w:t>
            </w:r>
          </w:p>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(Sub-Dimension)</w:t>
            </w:r>
          </w:p>
        </w:tc>
        <w:tc>
          <w:tcPr>
            <w:tcW w:w="1417"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0.31*</w:t>
            </w:r>
          </w:p>
        </w:tc>
        <w:tc>
          <w:tcPr>
            <w:tcW w:w="1645"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0.28*</w:t>
            </w:r>
          </w:p>
        </w:tc>
        <w:tc>
          <w:tcPr>
            <w:tcW w:w="1659"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0.25*</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0.22*</w:t>
            </w:r>
          </w:p>
        </w:tc>
      </w:tr>
      <w:tr w:rsidR="008D69E9" w:rsidRPr="00371F5A" w:rsidTr="009E4B87">
        <w:tc>
          <w:tcPr>
            <w:tcW w:w="8474" w:type="dxa"/>
            <w:gridSpan w:val="5"/>
            <w:vAlign w:val="center"/>
          </w:tcPr>
          <w:p w:rsidR="008D69E9" w:rsidRPr="00371F5A" w:rsidRDefault="008D69E9" w:rsidP="00371F5A">
            <w:pPr>
              <w:ind w:leftChars="-200" w:left="-420" w:rightChars="-200" w:right="-420" w:firstLineChars="196" w:firstLine="413"/>
              <w:rPr>
                <w:rFonts w:ascii="Times New Roman" w:eastAsia="宋体" w:hAnsi="Times New Roman" w:cs="Times New Roman"/>
                <w:b/>
                <w:szCs w:val="21"/>
              </w:rPr>
            </w:pPr>
            <w:r w:rsidRPr="00371F5A">
              <w:rPr>
                <w:rFonts w:ascii="Times New Roman" w:eastAsia="宋体" w:hAnsi="Times New Roman" w:cs="Times New Roman"/>
                <w:b/>
                <w:szCs w:val="21"/>
              </w:rPr>
              <w:t>*p&lt;0.05</w:t>
            </w:r>
            <w:r w:rsidRPr="00371F5A">
              <w:rPr>
                <w:rFonts w:ascii="Times New Roman" w:eastAsia="宋体" w:hAnsi="Times New Roman" w:cs="Times New Roman"/>
                <w:b/>
                <w:szCs w:val="21"/>
              </w:rPr>
              <w:t>，</w:t>
            </w:r>
            <w:r w:rsidRPr="00371F5A">
              <w:rPr>
                <w:rFonts w:ascii="Times New Roman" w:eastAsia="宋体" w:hAnsi="Times New Roman" w:cs="Times New Roman"/>
                <w:b/>
                <w:szCs w:val="21"/>
              </w:rPr>
              <w:t>**p&lt;0.01</w:t>
            </w:r>
            <w:r w:rsidR="009F5D43" w:rsidRPr="00371F5A">
              <w:rPr>
                <w:rFonts w:ascii="Times New Roman" w:eastAsia="宋体" w:hAnsi="Times New Roman" w:cs="Times New Roman" w:hint="eastAsia"/>
                <w:b/>
                <w:szCs w:val="21"/>
              </w:rPr>
              <w:t>.</w:t>
            </w:r>
          </w:p>
        </w:tc>
      </w:tr>
    </w:tbl>
    <w:p w:rsidR="005A1006" w:rsidRPr="00371F5A" w:rsidRDefault="00F36DB4" w:rsidP="00371F5A">
      <w:pPr>
        <w:spacing w:before="100" w:beforeAutospacing="1"/>
        <w:ind w:leftChars="-200" w:left="-420" w:rightChars="-200" w:right="-420" w:firstLineChars="200" w:firstLine="420"/>
        <w:rPr>
          <w:rFonts w:ascii="Times New Roman" w:eastAsia="宋体" w:hAnsi="Times New Roman" w:cs="Times New Roman"/>
          <w:szCs w:val="21"/>
        </w:rPr>
      </w:pPr>
      <w:r w:rsidRPr="00371F5A">
        <w:rPr>
          <w:rFonts w:ascii="Times New Roman" w:eastAsia="宋体" w:hAnsi="Times New Roman" w:cs="Times New Roman"/>
          <w:szCs w:val="21"/>
        </w:rPr>
        <w:t>Table 1 shows that the total Neuroticism score is significantly positively correlated with the total AELA score and each sub-dimension (p&lt;0.01). The "Anxiety Tendency" and "Vulnerability" sub-dimensions show the strongest correlations with the AELA (r&gt;0.55), while the "Depression Tendency" sub-dimension has a weaker correlation (r=0.31). This suggests that individuals high in Neuroticism are more sensitive to uncertainty in academic English settings (such as difficulty understanding terminology and peer review pressure), and are more likely to exacerbate anxiety through excessive worry and mood swings. Th</w:t>
      </w:r>
      <w:r w:rsidR="003B77B3" w:rsidRPr="00371F5A">
        <w:rPr>
          <w:rFonts w:ascii="Times New Roman" w:eastAsia="宋体" w:hAnsi="Times New Roman" w:cs="Times New Roman" w:hint="eastAsia"/>
          <w:szCs w:val="21"/>
        </w:rPr>
        <w:t>e above result</w:t>
      </w:r>
      <w:r w:rsidR="00596B45" w:rsidRPr="00371F5A">
        <w:rPr>
          <w:rFonts w:ascii="Times New Roman" w:eastAsia="宋体" w:hAnsi="Times New Roman" w:cs="Times New Roman" w:hint="eastAsia"/>
          <w:szCs w:val="21"/>
        </w:rPr>
        <w:t xml:space="preserve"> correspondingly </w:t>
      </w:r>
      <w:r w:rsidR="00596B45" w:rsidRPr="00371F5A">
        <w:rPr>
          <w:rFonts w:ascii="Times New Roman" w:eastAsia="宋体" w:hAnsi="Times New Roman" w:cs="Times New Roman"/>
          <w:szCs w:val="21"/>
        </w:rPr>
        <w:t>echoes</w:t>
      </w:r>
      <w:r w:rsidR="00596B45" w:rsidRPr="00371F5A">
        <w:rPr>
          <w:rFonts w:ascii="Times New Roman" w:eastAsia="宋体" w:hAnsi="Times New Roman" w:cs="Times New Roman" w:hint="eastAsia"/>
          <w:szCs w:val="21"/>
        </w:rPr>
        <w:t>Camelia Maria and Darian Faur</w:t>
      </w:r>
      <w:r w:rsidR="00596B45" w:rsidRPr="00371F5A">
        <w:rPr>
          <w:rFonts w:ascii="Times New Roman" w:eastAsia="宋体" w:hAnsi="Times New Roman" w:cs="Times New Roman"/>
          <w:szCs w:val="21"/>
        </w:rPr>
        <w:t>’</w:t>
      </w:r>
      <w:r w:rsidR="00596B45" w:rsidRPr="00371F5A">
        <w:rPr>
          <w:rFonts w:ascii="Times New Roman" w:eastAsia="宋体" w:hAnsi="Times New Roman" w:cs="Times New Roman" w:hint="eastAsia"/>
          <w:szCs w:val="21"/>
        </w:rPr>
        <w:t xml:space="preserve">s (2025) research in </w:t>
      </w:r>
      <w:r w:rsidR="00596B45" w:rsidRPr="00371F5A">
        <w:rPr>
          <w:rFonts w:ascii="Times New Roman" w:eastAsia="宋体" w:hAnsi="Times New Roman" w:cs="Times New Roman"/>
          <w:szCs w:val="21"/>
        </w:rPr>
        <w:t>which</w:t>
      </w:r>
      <w:r w:rsidR="00596B45" w:rsidRPr="00371F5A">
        <w:rPr>
          <w:rFonts w:ascii="Times New Roman" w:eastAsia="宋体" w:hAnsi="Times New Roman" w:cs="Times New Roman" w:hint="eastAsia"/>
          <w:szCs w:val="21"/>
        </w:rPr>
        <w:t xml:space="preserve"> th</w:t>
      </w:r>
      <w:r w:rsidRPr="00371F5A">
        <w:rPr>
          <w:rFonts w:ascii="Times New Roman" w:eastAsia="宋体" w:hAnsi="Times New Roman" w:cs="Times New Roman"/>
          <w:szCs w:val="21"/>
        </w:rPr>
        <w:t>e impact of depression tendencies may be more pronounced on long-term learning motivation rather than immediate anxiety.</w:t>
      </w:r>
    </w:p>
    <w:p w:rsidR="00F36DB4" w:rsidRPr="00082F4A" w:rsidRDefault="00F36DB4" w:rsidP="00082F4A">
      <w:pPr>
        <w:spacing w:before="100" w:beforeAutospacing="1" w:after="100" w:afterAutospacing="1"/>
        <w:ind w:leftChars="-200" w:left="-420" w:rightChars="-200" w:right="-420" w:firstLineChars="200" w:firstLine="482"/>
        <w:jc w:val="center"/>
        <w:rPr>
          <w:rFonts w:ascii="Times New Roman" w:eastAsia="宋体" w:hAnsi="Times New Roman" w:cs="Times New Roman"/>
          <w:b/>
          <w:sz w:val="24"/>
          <w:szCs w:val="24"/>
        </w:rPr>
      </w:pPr>
      <w:r w:rsidRPr="00082F4A">
        <w:rPr>
          <w:rFonts w:ascii="Times New Roman" w:eastAsia="宋体" w:hAnsi="Times New Roman" w:cs="Times New Roman"/>
          <w:b/>
          <w:sz w:val="24"/>
          <w:szCs w:val="24"/>
        </w:rPr>
        <w:t>Table 2 Differences in Anxiety Performance among Students with Different Neuroticism Levels (M ± SD)</w:t>
      </w:r>
    </w:p>
    <w:tbl>
      <w:tblPr>
        <w:tblStyle w:val="aa"/>
        <w:tblW w:w="0" w:type="auto"/>
        <w:tblBorders>
          <w:left w:val="none" w:sz="0" w:space="0" w:color="auto"/>
          <w:right w:val="none" w:sz="0" w:space="0" w:color="auto"/>
          <w:insideV w:val="none" w:sz="0" w:space="0" w:color="auto"/>
        </w:tblBorders>
        <w:tblLook w:val="04A0"/>
      </w:tblPr>
      <w:tblGrid>
        <w:gridCol w:w="1951"/>
        <w:gridCol w:w="1701"/>
        <w:gridCol w:w="1701"/>
        <w:gridCol w:w="1283"/>
        <w:gridCol w:w="1660"/>
      </w:tblGrid>
      <w:tr w:rsidR="008D69E9" w:rsidRPr="00371F5A" w:rsidTr="009E4B87">
        <w:tc>
          <w:tcPr>
            <w:tcW w:w="1951"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Indicator</w:t>
            </w:r>
            <w:r w:rsidR="009F5D43" w:rsidRPr="00371F5A">
              <w:rPr>
                <w:rFonts w:ascii="Times New Roman" w:eastAsia="宋体" w:hAnsi="Times New Roman" w:cs="Times New Roman" w:hint="eastAsia"/>
                <w:b/>
                <w:szCs w:val="21"/>
              </w:rPr>
              <w:t>s</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High Neuroticism Group</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Low Neuroticism Group</w:t>
            </w:r>
          </w:p>
        </w:tc>
        <w:tc>
          <w:tcPr>
            <w:tcW w:w="1283"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bCs/>
                <w:szCs w:val="21"/>
              </w:rPr>
              <w:t>t-</w:t>
            </w:r>
            <w:r w:rsidRPr="00371F5A">
              <w:rPr>
                <w:rFonts w:ascii="Times New Roman" w:eastAsia="宋体" w:hAnsi="Times New Roman" w:cs="Times New Roman" w:hint="eastAsia"/>
                <w:b/>
                <w:bCs/>
                <w:szCs w:val="21"/>
              </w:rPr>
              <w:t>valu</w:t>
            </w:r>
            <w:r w:rsidR="009F5D43" w:rsidRPr="00371F5A">
              <w:rPr>
                <w:rFonts w:ascii="Times New Roman" w:eastAsia="宋体" w:hAnsi="Times New Roman" w:cs="Times New Roman" w:hint="eastAsia"/>
                <w:b/>
                <w:bCs/>
                <w:szCs w:val="21"/>
              </w:rPr>
              <w:t>e</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bCs/>
                <w:szCs w:val="21"/>
              </w:rPr>
              <w:t>p-</w:t>
            </w:r>
            <w:r w:rsidRPr="00371F5A">
              <w:rPr>
                <w:rFonts w:ascii="Times New Roman" w:eastAsia="宋体" w:hAnsi="Times New Roman" w:cs="Times New Roman" w:hint="eastAsia"/>
                <w:b/>
                <w:bCs/>
                <w:szCs w:val="21"/>
              </w:rPr>
              <w:t>value</w:t>
            </w:r>
          </w:p>
        </w:tc>
      </w:tr>
      <w:tr w:rsidR="008D69E9" w:rsidRPr="00371F5A" w:rsidTr="009E4B87">
        <w:tc>
          <w:tcPr>
            <w:tcW w:w="1951"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AELA</w:t>
            </w:r>
            <w:r w:rsidR="00A60C24" w:rsidRPr="00371F5A">
              <w:rPr>
                <w:rFonts w:ascii="Times New Roman" w:eastAsia="宋体" w:hAnsi="Times New Roman" w:cs="Times New Roman" w:hint="eastAsia"/>
                <w:b/>
                <w:szCs w:val="21"/>
              </w:rPr>
              <w:t xml:space="preserve"> </w:t>
            </w:r>
            <w:r w:rsidRPr="00371F5A">
              <w:rPr>
                <w:rFonts w:ascii="Times New Roman" w:eastAsia="宋体" w:hAnsi="Times New Roman" w:cs="Times New Roman" w:hint="eastAsia"/>
                <w:b/>
                <w:szCs w:val="21"/>
              </w:rPr>
              <w:t>total score</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82.3±9.6</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58.7±8.2</w:t>
            </w:r>
          </w:p>
        </w:tc>
        <w:tc>
          <w:tcPr>
            <w:tcW w:w="1283"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18.2</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&lt;0.001</w:t>
            </w:r>
          </w:p>
        </w:tc>
      </w:tr>
      <w:tr w:rsidR="008D69E9" w:rsidRPr="00371F5A" w:rsidTr="009E4B87">
        <w:tc>
          <w:tcPr>
            <w:tcW w:w="1951" w:type="dxa"/>
            <w:vAlign w:val="center"/>
          </w:tcPr>
          <w:p w:rsidR="008D69E9" w:rsidRPr="00371F5A" w:rsidRDefault="009F5D43"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hint="eastAsia"/>
                <w:b/>
                <w:szCs w:val="21"/>
              </w:rPr>
              <w:t>C</w:t>
            </w:r>
            <w:r w:rsidR="008D69E9" w:rsidRPr="00371F5A">
              <w:rPr>
                <w:rFonts w:ascii="Times New Roman" w:eastAsia="宋体" w:hAnsi="Times New Roman" w:cs="Times New Roman" w:hint="eastAsia"/>
                <w:b/>
                <w:szCs w:val="21"/>
              </w:rPr>
              <w:t xml:space="preserve">ognitive </w:t>
            </w:r>
            <w:r w:rsidRPr="00371F5A">
              <w:rPr>
                <w:rFonts w:ascii="Times New Roman" w:eastAsia="宋体" w:hAnsi="Times New Roman" w:cs="Times New Roman" w:hint="eastAsia"/>
                <w:b/>
                <w:szCs w:val="21"/>
              </w:rPr>
              <w:t>A</w:t>
            </w:r>
            <w:r w:rsidR="008D69E9" w:rsidRPr="00371F5A">
              <w:rPr>
                <w:rFonts w:ascii="Times New Roman" w:eastAsia="宋体" w:hAnsi="Times New Roman" w:cs="Times New Roman" w:hint="eastAsia"/>
                <w:b/>
                <w:szCs w:val="21"/>
              </w:rPr>
              <w:t>nxiety</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32.1±5.8</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21.4±4.3</w:t>
            </w:r>
          </w:p>
        </w:tc>
        <w:tc>
          <w:tcPr>
            <w:tcW w:w="1283"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15.3</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&lt;0.001</w:t>
            </w:r>
          </w:p>
        </w:tc>
      </w:tr>
      <w:tr w:rsidR="008D69E9" w:rsidRPr="00371F5A" w:rsidTr="009E4B87">
        <w:tc>
          <w:tcPr>
            <w:tcW w:w="1951" w:type="dxa"/>
            <w:vAlign w:val="center"/>
          </w:tcPr>
          <w:p w:rsidR="008D69E9" w:rsidRPr="00371F5A" w:rsidRDefault="009F5D43"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hint="eastAsia"/>
                <w:b/>
                <w:szCs w:val="21"/>
              </w:rPr>
              <w:t>S</w:t>
            </w:r>
            <w:r w:rsidR="008D69E9" w:rsidRPr="00371F5A">
              <w:rPr>
                <w:rFonts w:ascii="Times New Roman" w:eastAsia="宋体" w:hAnsi="Times New Roman" w:cs="Times New Roman" w:hint="eastAsia"/>
                <w:b/>
                <w:szCs w:val="21"/>
              </w:rPr>
              <w:t xml:space="preserve">ocial </w:t>
            </w:r>
            <w:r w:rsidRPr="00371F5A">
              <w:rPr>
                <w:rFonts w:ascii="Times New Roman" w:eastAsia="宋体" w:hAnsi="Times New Roman" w:cs="Times New Roman" w:hint="eastAsia"/>
                <w:b/>
                <w:szCs w:val="21"/>
              </w:rPr>
              <w:t>A</w:t>
            </w:r>
            <w:r w:rsidR="008D69E9" w:rsidRPr="00371F5A">
              <w:rPr>
                <w:rFonts w:ascii="Times New Roman" w:eastAsia="宋体" w:hAnsi="Times New Roman" w:cs="Times New Roman" w:hint="eastAsia"/>
                <w:b/>
                <w:szCs w:val="21"/>
              </w:rPr>
              <w:t>nxiety</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28.7±4.9</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18.2±3.7</w:t>
            </w:r>
          </w:p>
        </w:tc>
        <w:tc>
          <w:tcPr>
            <w:tcW w:w="1283"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16.8</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&lt;0.001</w:t>
            </w:r>
          </w:p>
        </w:tc>
      </w:tr>
      <w:tr w:rsidR="008D69E9" w:rsidRPr="00371F5A" w:rsidTr="009E4B87">
        <w:tc>
          <w:tcPr>
            <w:tcW w:w="1951" w:type="dxa"/>
            <w:vAlign w:val="center"/>
          </w:tcPr>
          <w:p w:rsidR="008D69E9" w:rsidRPr="00371F5A" w:rsidRDefault="009F5D43"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hint="eastAsia"/>
                <w:b/>
                <w:szCs w:val="21"/>
              </w:rPr>
              <w:t>B</w:t>
            </w:r>
            <w:r w:rsidR="008D69E9" w:rsidRPr="00371F5A">
              <w:rPr>
                <w:rFonts w:ascii="Times New Roman" w:eastAsia="宋体" w:hAnsi="Times New Roman" w:cs="Times New Roman" w:hint="eastAsia"/>
                <w:b/>
                <w:szCs w:val="21"/>
              </w:rPr>
              <w:t xml:space="preserve">ehavioral </w:t>
            </w:r>
            <w:r w:rsidRPr="00371F5A">
              <w:rPr>
                <w:rFonts w:ascii="Times New Roman" w:eastAsia="宋体" w:hAnsi="Times New Roman" w:cs="Times New Roman" w:hint="eastAsia"/>
                <w:b/>
                <w:szCs w:val="21"/>
              </w:rPr>
              <w:t>A</w:t>
            </w:r>
            <w:r w:rsidR="008D69E9" w:rsidRPr="00371F5A">
              <w:rPr>
                <w:rFonts w:ascii="Times New Roman" w:eastAsia="宋体" w:hAnsi="Times New Roman" w:cs="Times New Roman" w:hint="eastAsia"/>
                <w:b/>
                <w:szCs w:val="21"/>
              </w:rPr>
              <w:t>voidance</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21.5±3.6</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12.1±2.8</w:t>
            </w:r>
          </w:p>
        </w:tc>
        <w:tc>
          <w:tcPr>
            <w:tcW w:w="1283"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19.7</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&lt;0.001</w:t>
            </w:r>
          </w:p>
        </w:tc>
      </w:tr>
      <w:tr w:rsidR="008D69E9" w:rsidRPr="00371F5A" w:rsidTr="009E4B87">
        <w:tc>
          <w:tcPr>
            <w:tcW w:w="1951"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HRV</w:t>
            </w:r>
            <w:r w:rsidRPr="00371F5A">
              <w:rPr>
                <w:rFonts w:ascii="Times New Roman" w:eastAsia="宋体" w:hAnsi="Times New Roman" w:cs="Times New Roman"/>
                <w:b/>
                <w:szCs w:val="21"/>
              </w:rPr>
              <w:t>（</w:t>
            </w:r>
            <w:r w:rsidRPr="00371F5A">
              <w:rPr>
                <w:rFonts w:ascii="Times New Roman" w:eastAsia="宋体" w:hAnsi="Times New Roman" w:cs="Times New Roman"/>
                <w:b/>
                <w:szCs w:val="21"/>
              </w:rPr>
              <w:t>ms²</w:t>
            </w:r>
            <w:r w:rsidRPr="00371F5A">
              <w:rPr>
                <w:rFonts w:ascii="Times New Roman" w:eastAsia="宋体" w:hAnsi="Times New Roman" w:cs="Times New Roman"/>
                <w:b/>
                <w:szCs w:val="21"/>
              </w:rPr>
              <w:t>）</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42.1±6.3</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58.7±7.1</w:t>
            </w:r>
          </w:p>
        </w:tc>
        <w:tc>
          <w:tcPr>
            <w:tcW w:w="1283"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15.8</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&lt;0.001</w:t>
            </w:r>
          </w:p>
        </w:tc>
      </w:tr>
      <w:tr w:rsidR="008D69E9" w:rsidRPr="00371F5A" w:rsidTr="009E4B87">
        <w:tc>
          <w:tcPr>
            <w:tcW w:w="1951"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Reporting Speech Rate</w:t>
            </w:r>
          </w:p>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(words/minute)</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92±14</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118±16</w:t>
            </w:r>
          </w:p>
        </w:tc>
        <w:tc>
          <w:tcPr>
            <w:tcW w:w="1283"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10.3</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&lt;0.001</w:t>
            </w:r>
          </w:p>
        </w:tc>
      </w:tr>
      <w:tr w:rsidR="008D69E9" w:rsidRPr="00371F5A" w:rsidTr="009E4B87">
        <w:tc>
          <w:tcPr>
            <w:tcW w:w="1951" w:type="dxa"/>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Number of Pauses</w:t>
            </w:r>
          </w:p>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(times/minute)</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4.2±1.1</w:t>
            </w:r>
          </w:p>
        </w:tc>
        <w:tc>
          <w:tcPr>
            <w:tcW w:w="1701"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1.8±0.7</w:t>
            </w:r>
          </w:p>
        </w:tc>
        <w:tc>
          <w:tcPr>
            <w:tcW w:w="1283"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18.9</w:t>
            </w:r>
          </w:p>
        </w:tc>
        <w:tc>
          <w:tcPr>
            <w:tcW w:w="1660" w:type="dxa"/>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&lt;0.001</w:t>
            </w:r>
          </w:p>
        </w:tc>
      </w:tr>
      <w:tr w:rsidR="008D69E9" w:rsidRPr="00371F5A" w:rsidTr="009F5D43">
        <w:tc>
          <w:tcPr>
            <w:tcW w:w="8296" w:type="dxa"/>
            <w:gridSpan w:val="5"/>
            <w:vAlign w:val="center"/>
          </w:tcPr>
          <w:p w:rsidR="008D69E9" w:rsidRPr="00371F5A" w:rsidRDefault="009F5D43" w:rsidP="00371F5A">
            <w:pPr>
              <w:ind w:leftChars="-200" w:left="-420" w:rightChars="-200" w:right="-420" w:firstLineChars="200" w:firstLine="422"/>
              <w:jc w:val="left"/>
              <w:rPr>
                <w:rFonts w:ascii="Times New Roman" w:eastAsia="宋体" w:hAnsi="Times New Roman" w:cs="Times New Roman"/>
                <w:b/>
                <w:szCs w:val="21"/>
              </w:rPr>
            </w:pPr>
            <w:r w:rsidRPr="00371F5A">
              <w:rPr>
                <w:rFonts w:ascii="Times New Roman" w:eastAsia="宋体" w:hAnsi="Times New Roman" w:cs="Times New Roman"/>
                <w:b/>
                <w:szCs w:val="21"/>
              </w:rPr>
              <w:t>HRV</w:t>
            </w:r>
            <w:r w:rsidRPr="00371F5A">
              <w:rPr>
                <w:rFonts w:ascii="Times New Roman" w:eastAsia="宋体" w:hAnsi="Times New Roman" w:cs="Times New Roman" w:hint="eastAsia"/>
                <w:b/>
                <w:szCs w:val="21"/>
              </w:rPr>
              <w:t xml:space="preserve"> refers to</w:t>
            </w:r>
            <w:r w:rsidR="008D69E9" w:rsidRPr="00371F5A">
              <w:rPr>
                <w:rFonts w:ascii="Times New Roman" w:eastAsia="宋体" w:hAnsi="Times New Roman" w:cs="Times New Roman"/>
                <w:b/>
                <w:szCs w:val="21"/>
              </w:rPr>
              <w:t xml:space="preserve"> heart rate variability, </w:t>
            </w:r>
            <w:r w:rsidRPr="00371F5A">
              <w:rPr>
                <w:rFonts w:ascii="Times New Roman" w:eastAsia="宋体" w:hAnsi="Times New Roman" w:cs="Times New Roman" w:hint="eastAsia"/>
                <w:b/>
                <w:szCs w:val="21"/>
              </w:rPr>
              <w:t xml:space="preserve">which </w:t>
            </w:r>
            <w:r w:rsidRPr="00371F5A">
              <w:rPr>
                <w:rFonts w:ascii="Times New Roman" w:eastAsia="宋体" w:hAnsi="Times New Roman" w:cs="Times New Roman"/>
                <w:b/>
                <w:szCs w:val="21"/>
              </w:rPr>
              <w:t>reflect</w:t>
            </w:r>
            <w:r w:rsidRPr="00371F5A">
              <w:rPr>
                <w:rFonts w:ascii="Times New Roman" w:eastAsia="宋体" w:hAnsi="Times New Roman" w:cs="Times New Roman" w:hint="eastAsia"/>
                <w:b/>
                <w:szCs w:val="21"/>
              </w:rPr>
              <w:t>s</w:t>
            </w:r>
            <w:r w:rsidR="008D69E9" w:rsidRPr="00371F5A">
              <w:rPr>
                <w:rFonts w:ascii="Times New Roman" w:eastAsia="宋体" w:hAnsi="Times New Roman" w:cs="Times New Roman"/>
                <w:b/>
                <w:szCs w:val="21"/>
              </w:rPr>
              <w:t xml:space="preserve"> the regulatory capacity of the autonomic nervous system.</w:t>
            </w:r>
          </w:p>
        </w:tc>
      </w:tr>
    </w:tbl>
    <w:p w:rsidR="00F36DB4" w:rsidRPr="00371F5A" w:rsidRDefault="00F36DB4" w:rsidP="00371F5A">
      <w:pPr>
        <w:spacing w:before="100" w:beforeAutospacing="1"/>
        <w:ind w:leftChars="-200" w:left="-420" w:rightChars="-200" w:right="-420" w:firstLineChars="200" w:firstLine="420"/>
        <w:rPr>
          <w:rFonts w:ascii="Times New Roman" w:eastAsia="宋体" w:hAnsi="Times New Roman" w:cs="Times New Roman"/>
          <w:szCs w:val="21"/>
        </w:rPr>
      </w:pPr>
      <w:r w:rsidRPr="00371F5A">
        <w:rPr>
          <w:rFonts w:ascii="Times New Roman" w:eastAsia="宋体" w:hAnsi="Times New Roman" w:cs="Times New Roman"/>
          <w:szCs w:val="21"/>
        </w:rPr>
        <w:lastRenderedPageBreak/>
        <w:t xml:space="preserve">Table 2 shows that the high-neuroticism group had significantly higher scores on the AELA total score and each subscale than the low-neuroticism group (p&lt;0.001), with the largest differences in cognitive anxiety and social anxiety (38% and 45% higher, respectively). Regarding physiological indicators, the high-neuroticism group had significantly lower HRV than the low-neuroticism group (p&lt;0.001), indicating a weaker regulatory capacity of the autonomic nervous system. Behavioral indicators showed that the high-neuroticism group reported a slower speech rate (p&lt;0.001) and more pauses (p&lt;0.001), further confirming </w:t>
      </w:r>
      <w:r w:rsidR="00596B45" w:rsidRPr="00371F5A">
        <w:rPr>
          <w:rFonts w:ascii="Times New Roman" w:eastAsia="宋体" w:hAnsi="Times New Roman" w:cs="Times New Roman" w:hint="eastAsia"/>
          <w:szCs w:val="21"/>
        </w:rPr>
        <w:t>Qin and Li</w:t>
      </w:r>
      <w:r w:rsidR="00596B45" w:rsidRPr="00371F5A">
        <w:rPr>
          <w:rFonts w:ascii="Times New Roman" w:eastAsia="宋体" w:hAnsi="Times New Roman" w:cs="Times New Roman"/>
          <w:szCs w:val="21"/>
        </w:rPr>
        <w:t>’</w:t>
      </w:r>
      <w:r w:rsidR="00596B45" w:rsidRPr="00371F5A">
        <w:rPr>
          <w:rFonts w:ascii="Times New Roman" w:eastAsia="宋体" w:hAnsi="Times New Roman" w:cs="Times New Roman" w:hint="eastAsia"/>
          <w:szCs w:val="21"/>
        </w:rPr>
        <w:t xml:space="preserve">s (2024) study in which </w:t>
      </w:r>
      <w:r w:rsidRPr="00371F5A">
        <w:rPr>
          <w:rFonts w:ascii="Times New Roman" w:eastAsia="宋体" w:hAnsi="Times New Roman" w:cs="Times New Roman"/>
          <w:szCs w:val="21"/>
        </w:rPr>
        <w:t xml:space="preserve">the inhibitory effect of anxiety </w:t>
      </w:r>
      <w:r w:rsidR="00596B45" w:rsidRPr="00371F5A">
        <w:rPr>
          <w:rFonts w:ascii="Times New Roman" w:eastAsia="宋体" w:hAnsi="Times New Roman" w:cs="Times New Roman" w:hint="eastAsia"/>
          <w:szCs w:val="21"/>
        </w:rPr>
        <w:t xml:space="preserve">has much to do </w:t>
      </w:r>
      <w:r w:rsidRPr="00371F5A">
        <w:rPr>
          <w:rFonts w:ascii="Times New Roman" w:eastAsia="宋体" w:hAnsi="Times New Roman" w:cs="Times New Roman"/>
          <w:szCs w:val="21"/>
        </w:rPr>
        <w:t xml:space="preserve">on </w:t>
      </w:r>
      <w:r w:rsidR="00596B45" w:rsidRPr="00371F5A">
        <w:rPr>
          <w:rFonts w:ascii="Times New Roman" w:eastAsia="宋体" w:hAnsi="Times New Roman" w:cs="Times New Roman" w:hint="eastAsia"/>
          <w:szCs w:val="21"/>
        </w:rPr>
        <w:t>the output of learners</w:t>
      </w:r>
      <w:r w:rsidR="00596B45" w:rsidRPr="00371F5A">
        <w:rPr>
          <w:rFonts w:ascii="Times New Roman" w:eastAsia="宋体" w:hAnsi="Times New Roman" w:cs="Times New Roman"/>
          <w:szCs w:val="21"/>
        </w:rPr>
        <w:t>’</w:t>
      </w:r>
      <w:r w:rsidR="00596B45" w:rsidRPr="00371F5A">
        <w:rPr>
          <w:rFonts w:ascii="Times New Roman" w:eastAsia="宋体" w:hAnsi="Times New Roman" w:cs="Times New Roman" w:hint="eastAsia"/>
          <w:szCs w:val="21"/>
        </w:rPr>
        <w:t xml:space="preserve"> second language acquisition</w:t>
      </w:r>
      <w:r w:rsidRPr="00371F5A">
        <w:rPr>
          <w:rFonts w:ascii="Times New Roman" w:eastAsia="宋体" w:hAnsi="Times New Roman" w:cs="Times New Roman"/>
          <w:szCs w:val="21"/>
        </w:rPr>
        <w:t>.</w:t>
      </w:r>
    </w:p>
    <w:p w:rsidR="00F36DB4" w:rsidRPr="00082F4A" w:rsidRDefault="00F36DB4" w:rsidP="00082F4A">
      <w:pPr>
        <w:spacing w:before="100" w:beforeAutospacing="1" w:after="100" w:afterAutospacing="1"/>
        <w:ind w:leftChars="-200" w:left="-420" w:rightChars="-200" w:right="-420" w:firstLineChars="200" w:firstLine="482"/>
        <w:jc w:val="center"/>
        <w:rPr>
          <w:rFonts w:ascii="Times New Roman" w:eastAsia="宋体" w:hAnsi="Times New Roman" w:cs="Times New Roman"/>
          <w:b/>
          <w:sz w:val="24"/>
          <w:szCs w:val="24"/>
        </w:rPr>
      </w:pPr>
      <w:r w:rsidRPr="00082F4A">
        <w:rPr>
          <w:rFonts w:ascii="Times New Roman" w:eastAsia="宋体" w:hAnsi="Times New Roman" w:cs="Times New Roman"/>
          <w:b/>
          <w:sz w:val="24"/>
          <w:szCs w:val="24"/>
        </w:rPr>
        <w:t>Table 3 Results of the Path Analysis of the Effect of Neuroticism on AELA</w:t>
      </w:r>
    </w:p>
    <w:tbl>
      <w:tblPr>
        <w:tblStyle w:val="aa"/>
        <w:tblW w:w="0" w:type="auto"/>
        <w:tblBorders>
          <w:left w:val="none" w:sz="0" w:space="0" w:color="auto"/>
          <w:right w:val="none" w:sz="0" w:space="0" w:color="auto"/>
          <w:insideH w:val="none" w:sz="0" w:space="0" w:color="auto"/>
          <w:insideV w:val="none" w:sz="0" w:space="0" w:color="auto"/>
        </w:tblBorders>
        <w:tblLook w:val="04A0"/>
      </w:tblPr>
      <w:tblGrid>
        <w:gridCol w:w="2660"/>
        <w:gridCol w:w="1843"/>
        <w:gridCol w:w="1719"/>
        <w:gridCol w:w="2074"/>
      </w:tblGrid>
      <w:tr w:rsidR="008D69E9" w:rsidRPr="00371F5A" w:rsidTr="009E4B87">
        <w:tc>
          <w:tcPr>
            <w:tcW w:w="2660" w:type="dxa"/>
            <w:tcBorders>
              <w:top w:val="single" w:sz="4" w:space="0" w:color="auto"/>
              <w:bottom w:val="single" w:sz="4" w:space="0" w:color="auto"/>
            </w:tcBorders>
            <w:vAlign w:val="center"/>
          </w:tcPr>
          <w:p w:rsidR="008D69E9" w:rsidRPr="00371F5A" w:rsidRDefault="009F5D43"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bCs/>
                <w:szCs w:val="21"/>
              </w:rPr>
              <w:t>P</w:t>
            </w:r>
            <w:r w:rsidR="008D69E9" w:rsidRPr="00371F5A">
              <w:rPr>
                <w:rFonts w:ascii="Times New Roman" w:eastAsia="宋体" w:hAnsi="Times New Roman" w:cs="Times New Roman" w:hint="eastAsia"/>
                <w:b/>
                <w:bCs/>
                <w:szCs w:val="21"/>
              </w:rPr>
              <w:t>ath</w:t>
            </w:r>
            <w:r w:rsidRPr="00371F5A">
              <w:rPr>
                <w:rFonts w:ascii="Times New Roman" w:eastAsia="宋体" w:hAnsi="Times New Roman" w:cs="Times New Roman" w:hint="eastAsia"/>
                <w:b/>
                <w:bCs/>
                <w:szCs w:val="21"/>
              </w:rPr>
              <w:t>s</w:t>
            </w:r>
          </w:p>
        </w:tc>
        <w:tc>
          <w:tcPr>
            <w:tcW w:w="1843"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Standardized Path Coefficient</w:t>
            </w:r>
          </w:p>
        </w:tc>
        <w:tc>
          <w:tcPr>
            <w:tcW w:w="1719"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bCs/>
                <w:szCs w:val="21"/>
              </w:rPr>
              <w:t>p-</w:t>
            </w:r>
            <w:r w:rsidRPr="00371F5A">
              <w:rPr>
                <w:rFonts w:ascii="Times New Roman" w:eastAsia="宋体" w:hAnsi="Times New Roman" w:cs="Times New Roman" w:hint="eastAsia"/>
                <w:b/>
                <w:bCs/>
                <w:szCs w:val="21"/>
              </w:rPr>
              <w:t>value</w:t>
            </w:r>
          </w:p>
        </w:tc>
        <w:tc>
          <w:tcPr>
            <w:tcW w:w="2074"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Percentage of Explained Variance</w:t>
            </w:r>
          </w:p>
        </w:tc>
      </w:tr>
      <w:tr w:rsidR="008D69E9" w:rsidRPr="00371F5A" w:rsidTr="009E4B87">
        <w:tc>
          <w:tcPr>
            <w:tcW w:w="2660"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Neuroticism → Rumination → Cognitive Anxiety</w:t>
            </w:r>
          </w:p>
        </w:tc>
        <w:tc>
          <w:tcPr>
            <w:tcW w:w="1843"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0.41→0.58</w:t>
            </w:r>
          </w:p>
        </w:tc>
        <w:tc>
          <w:tcPr>
            <w:tcW w:w="1719"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&lt;0.001</w:t>
            </w:r>
          </w:p>
        </w:tc>
        <w:tc>
          <w:tcPr>
            <w:tcW w:w="2074"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32%</w:t>
            </w:r>
          </w:p>
        </w:tc>
      </w:tr>
      <w:tr w:rsidR="008D69E9" w:rsidRPr="00371F5A" w:rsidTr="009E4B87">
        <w:tc>
          <w:tcPr>
            <w:tcW w:w="2660"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Neuroticism → Evaluative Fear → Social Anxiety</w:t>
            </w:r>
          </w:p>
        </w:tc>
        <w:tc>
          <w:tcPr>
            <w:tcW w:w="1843"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0.37→0.62</w:t>
            </w:r>
          </w:p>
        </w:tc>
        <w:tc>
          <w:tcPr>
            <w:tcW w:w="1719"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&lt;0.001</w:t>
            </w:r>
          </w:p>
        </w:tc>
        <w:tc>
          <w:tcPr>
            <w:tcW w:w="2074"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38%</w:t>
            </w:r>
          </w:p>
        </w:tc>
      </w:tr>
      <w:tr w:rsidR="008D69E9" w:rsidRPr="00371F5A" w:rsidTr="009E4B87">
        <w:tc>
          <w:tcPr>
            <w:tcW w:w="2660"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Neuroticism → Self-Efficacy → Avoidance Behavior</w:t>
            </w:r>
          </w:p>
        </w:tc>
        <w:tc>
          <w:tcPr>
            <w:tcW w:w="1843"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0.29→-0.31</w:t>
            </w:r>
          </w:p>
        </w:tc>
        <w:tc>
          <w:tcPr>
            <w:tcW w:w="1719"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&lt;0.05</w:t>
            </w:r>
          </w:p>
        </w:tc>
        <w:tc>
          <w:tcPr>
            <w:tcW w:w="2074" w:type="dxa"/>
            <w:tcBorders>
              <w:top w:val="single" w:sz="4" w:space="0" w:color="auto"/>
              <w:bottom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22%</w:t>
            </w:r>
          </w:p>
        </w:tc>
      </w:tr>
      <w:tr w:rsidR="008D69E9" w:rsidRPr="00371F5A" w:rsidTr="009E4B87">
        <w:tc>
          <w:tcPr>
            <w:tcW w:w="2660" w:type="dxa"/>
            <w:tcBorders>
              <w:top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b/>
                <w:szCs w:val="21"/>
              </w:rPr>
            </w:pPr>
            <w:r w:rsidRPr="00371F5A">
              <w:rPr>
                <w:rFonts w:ascii="Times New Roman" w:eastAsia="宋体" w:hAnsi="Times New Roman" w:cs="Times New Roman"/>
                <w:b/>
                <w:szCs w:val="21"/>
              </w:rPr>
              <w:t>Total Model Explained Variance (R²)</w:t>
            </w:r>
          </w:p>
        </w:tc>
        <w:tc>
          <w:tcPr>
            <w:tcW w:w="1843" w:type="dxa"/>
            <w:tcBorders>
              <w:top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w:t>
            </w:r>
          </w:p>
        </w:tc>
        <w:tc>
          <w:tcPr>
            <w:tcW w:w="1719" w:type="dxa"/>
            <w:tcBorders>
              <w:top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w:t>
            </w:r>
          </w:p>
        </w:tc>
        <w:tc>
          <w:tcPr>
            <w:tcW w:w="2074" w:type="dxa"/>
            <w:tcBorders>
              <w:top w:val="single" w:sz="4" w:space="0" w:color="auto"/>
            </w:tcBorders>
            <w:vAlign w:val="center"/>
          </w:tcPr>
          <w:p w:rsidR="008D69E9" w:rsidRPr="00371F5A" w:rsidRDefault="008D69E9" w:rsidP="00371F5A">
            <w:pPr>
              <w:ind w:leftChars="-200" w:left="-420" w:rightChars="-200" w:right="-420"/>
              <w:jc w:val="center"/>
              <w:rPr>
                <w:rFonts w:ascii="Times New Roman" w:eastAsia="宋体" w:hAnsi="Times New Roman" w:cs="Times New Roman"/>
                <w:szCs w:val="21"/>
              </w:rPr>
            </w:pPr>
            <w:r w:rsidRPr="00371F5A">
              <w:rPr>
                <w:rFonts w:ascii="Times New Roman" w:eastAsia="宋体" w:hAnsi="Times New Roman" w:cs="Times New Roman"/>
                <w:szCs w:val="21"/>
              </w:rPr>
              <w:t>72%</w:t>
            </w:r>
          </w:p>
        </w:tc>
      </w:tr>
    </w:tbl>
    <w:p w:rsidR="00F36DB4" w:rsidRPr="00371F5A" w:rsidRDefault="00F36DB4" w:rsidP="00371F5A">
      <w:pPr>
        <w:spacing w:before="100" w:beforeAutospacing="1"/>
        <w:ind w:leftChars="-200" w:left="-420" w:rightChars="-200" w:right="-420" w:firstLineChars="196" w:firstLine="412"/>
        <w:rPr>
          <w:rFonts w:ascii="Times New Roman" w:eastAsia="宋体" w:hAnsi="Times New Roman" w:cs="Times New Roman"/>
          <w:szCs w:val="21"/>
        </w:rPr>
      </w:pPr>
      <w:r w:rsidRPr="00371F5A">
        <w:rPr>
          <w:rFonts w:ascii="Times New Roman" w:eastAsia="宋体" w:hAnsi="Times New Roman" w:cs="Times New Roman"/>
          <w:szCs w:val="21"/>
        </w:rPr>
        <w:t>Table 3 shows that neuroticism affects AELA through three paths:</w:t>
      </w:r>
    </w:p>
    <w:p w:rsidR="00F36DB4" w:rsidRPr="00371F5A" w:rsidRDefault="0013575F" w:rsidP="00371F5A">
      <w:pPr>
        <w:ind w:leftChars="-200" w:left="-420" w:rightChars="-200" w:right="-420" w:firstLineChars="200" w:firstLine="420"/>
        <w:rPr>
          <w:rFonts w:ascii="Times New Roman" w:eastAsia="宋体" w:hAnsi="Times New Roman" w:cs="Times New Roman"/>
          <w:szCs w:val="21"/>
        </w:rPr>
      </w:pPr>
      <w:r w:rsidRPr="00371F5A">
        <w:rPr>
          <w:rFonts w:ascii="Times New Roman" w:eastAsia="宋体" w:hAnsi="Times New Roman" w:cs="Times New Roman"/>
          <w:szCs w:val="21"/>
        </w:rPr>
        <w:fldChar w:fldCharType="begin"/>
      </w:r>
      <w:r w:rsidR="00C60E37" w:rsidRPr="00371F5A">
        <w:rPr>
          <w:rFonts w:ascii="Times New Roman" w:eastAsia="宋体" w:hAnsi="Times New Roman" w:cs="Times New Roman" w:hint="eastAsia"/>
          <w:szCs w:val="21"/>
        </w:rPr>
        <w:instrText>eq \o\ac(</w:instrText>
      </w:r>
      <w:r w:rsidR="00C60E37" w:rsidRPr="00371F5A">
        <w:rPr>
          <w:rFonts w:ascii="Times New Roman" w:eastAsia="宋体" w:hAnsi="Times New Roman" w:cs="Times New Roman" w:hint="eastAsia"/>
          <w:szCs w:val="21"/>
        </w:rPr>
        <w:instrText>○</w:instrText>
      </w:r>
      <w:r w:rsidR="00C60E37" w:rsidRPr="00371F5A">
        <w:rPr>
          <w:rFonts w:ascii="Times New Roman" w:eastAsia="宋体" w:hAnsi="Times New Roman" w:cs="Times New Roman" w:hint="eastAsia"/>
          <w:szCs w:val="21"/>
        </w:rPr>
        <w:instrText>,</w:instrText>
      </w:r>
      <w:r w:rsidR="00C60E37" w:rsidRPr="00371F5A">
        <w:rPr>
          <w:rFonts w:ascii="Times New Roman" w:eastAsia="宋体" w:hAnsi="Times New Roman" w:cs="Times New Roman" w:hint="eastAsia"/>
          <w:position w:val="2"/>
          <w:szCs w:val="21"/>
        </w:rPr>
        <w:instrText>1</w:instrText>
      </w:r>
      <w:r w:rsidR="00C60E37" w:rsidRPr="00371F5A">
        <w:rPr>
          <w:rFonts w:ascii="Times New Roman" w:eastAsia="宋体" w:hAnsi="Times New Roman" w:cs="Times New Roman" w:hint="eastAsia"/>
          <w:szCs w:val="21"/>
        </w:rPr>
        <w:instrText>)</w:instrText>
      </w:r>
      <w:r w:rsidRPr="00371F5A">
        <w:rPr>
          <w:rFonts w:ascii="Times New Roman" w:eastAsia="宋体" w:hAnsi="Times New Roman" w:cs="Times New Roman"/>
          <w:szCs w:val="21"/>
        </w:rPr>
        <w:fldChar w:fldCharType="end"/>
      </w:r>
      <w:r w:rsidR="00F36DB4" w:rsidRPr="00371F5A">
        <w:rPr>
          <w:rFonts w:ascii="Times New Roman" w:eastAsia="宋体" w:hAnsi="Times New Roman" w:cs="Times New Roman"/>
          <w:szCs w:val="21"/>
        </w:rPr>
        <w:t>Cognitive Resource Usage Path: Neuroticism enhances rumination (β = 0.41), depletes working memory resources, and leads to cognitive anxiety (β = 0.58), contributing 32% of the explained variance;</w:t>
      </w:r>
    </w:p>
    <w:p w:rsidR="00F36DB4" w:rsidRPr="00371F5A" w:rsidRDefault="0013575F" w:rsidP="00371F5A">
      <w:pPr>
        <w:ind w:leftChars="-200" w:left="-420" w:rightChars="-200" w:right="-420" w:firstLineChars="200" w:firstLine="420"/>
        <w:rPr>
          <w:rFonts w:ascii="Times New Roman" w:eastAsia="宋体" w:hAnsi="Times New Roman" w:cs="Times New Roman"/>
          <w:szCs w:val="21"/>
        </w:rPr>
      </w:pPr>
      <w:r w:rsidRPr="00371F5A">
        <w:rPr>
          <w:rFonts w:ascii="Times New Roman" w:eastAsia="宋体" w:hAnsi="Times New Roman" w:cs="Times New Roman"/>
          <w:szCs w:val="21"/>
        </w:rPr>
        <w:fldChar w:fldCharType="begin"/>
      </w:r>
      <w:r w:rsidR="00C60E37" w:rsidRPr="00371F5A">
        <w:rPr>
          <w:rFonts w:ascii="Times New Roman" w:eastAsia="宋体" w:hAnsi="Times New Roman" w:cs="Times New Roman" w:hint="eastAsia"/>
          <w:szCs w:val="21"/>
        </w:rPr>
        <w:instrText>eq \o\ac(</w:instrText>
      </w:r>
      <w:r w:rsidR="00C60E37" w:rsidRPr="00371F5A">
        <w:rPr>
          <w:rFonts w:ascii="Times New Roman" w:eastAsia="宋体" w:hAnsi="Times New Roman" w:cs="Times New Roman" w:hint="eastAsia"/>
          <w:szCs w:val="21"/>
        </w:rPr>
        <w:instrText>○</w:instrText>
      </w:r>
      <w:r w:rsidR="00C60E37" w:rsidRPr="00371F5A">
        <w:rPr>
          <w:rFonts w:ascii="Times New Roman" w:eastAsia="宋体" w:hAnsi="Times New Roman" w:cs="Times New Roman" w:hint="eastAsia"/>
          <w:szCs w:val="21"/>
        </w:rPr>
        <w:instrText>,</w:instrText>
      </w:r>
      <w:r w:rsidR="00C60E37" w:rsidRPr="00371F5A">
        <w:rPr>
          <w:rFonts w:ascii="Times New Roman" w:eastAsia="宋体" w:hAnsi="Times New Roman" w:cs="Times New Roman" w:hint="eastAsia"/>
          <w:position w:val="2"/>
          <w:szCs w:val="21"/>
        </w:rPr>
        <w:instrText>2</w:instrText>
      </w:r>
      <w:r w:rsidR="00C60E37" w:rsidRPr="00371F5A">
        <w:rPr>
          <w:rFonts w:ascii="Times New Roman" w:eastAsia="宋体" w:hAnsi="Times New Roman" w:cs="Times New Roman" w:hint="eastAsia"/>
          <w:szCs w:val="21"/>
        </w:rPr>
        <w:instrText>)</w:instrText>
      </w:r>
      <w:r w:rsidRPr="00371F5A">
        <w:rPr>
          <w:rFonts w:ascii="Times New Roman" w:eastAsia="宋体" w:hAnsi="Times New Roman" w:cs="Times New Roman"/>
          <w:szCs w:val="21"/>
        </w:rPr>
        <w:fldChar w:fldCharType="end"/>
      </w:r>
      <w:r w:rsidR="00F36DB4" w:rsidRPr="00371F5A">
        <w:rPr>
          <w:rFonts w:ascii="Times New Roman" w:eastAsia="宋体" w:hAnsi="Times New Roman" w:cs="Times New Roman"/>
          <w:szCs w:val="21"/>
        </w:rPr>
        <w:t>Evaluation Fear Path: Neuroticism heightens expectations of negative evaluation (β=0.37), directly increasing social anxiety (β=0.62), contributing 38% of the explained variance, making it the strongest influence path.</w:t>
      </w:r>
    </w:p>
    <w:p w:rsidR="00F36DB4" w:rsidRPr="00371F5A" w:rsidRDefault="0013575F" w:rsidP="00371F5A">
      <w:pPr>
        <w:ind w:leftChars="-200" w:left="-420" w:rightChars="-200" w:right="-420" w:firstLineChars="200" w:firstLine="420"/>
        <w:rPr>
          <w:rFonts w:ascii="Times New Roman" w:eastAsia="宋体" w:hAnsi="Times New Roman" w:cs="Times New Roman"/>
          <w:szCs w:val="21"/>
        </w:rPr>
      </w:pPr>
      <w:r w:rsidRPr="00371F5A">
        <w:rPr>
          <w:rFonts w:ascii="Times New Roman" w:eastAsia="宋体" w:hAnsi="Times New Roman" w:cs="Times New Roman"/>
          <w:szCs w:val="21"/>
        </w:rPr>
        <w:fldChar w:fldCharType="begin"/>
      </w:r>
      <w:r w:rsidR="00C60E37" w:rsidRPr="00371F5A">
        <w:rPr>
          <w:rFonts w:ascii="Times New Roman" w:eastAsia="宋体" w:hAnsi="Times New Roman" w:cs="Times New Roman" w:hint="eastAsia"/>
          <w:szCs w:val="21"/>
        </w:rPr>
        <w:instrText>eq \o\ac(</w:instrText>
      </w:r>
      <w:r w:rsidR="00C60E37" w:rsidRPr="00371F5A">
        <w:rPr>
          <w:rFonts w:ascii="Times New Roman" w:eastAsia="宋体" w:hAnsi="Times New Roman" w:cs="Times New Roman" w:hint="eastAsia"/>
          <w:szCs w:val="21"/>
        </w:rPr>
        <w:instrText>○</w:instrText>
      </w:r>
      <w:r w:rsidR="00C60E37" w:rsidRPr="00371F5A">
        <w:rPr>
          <w:rFonts w:ascii="Times New Roman" w:eastAsia="宋体" w:hAnsi="Times New Roman" w:cs="Times New Roman" w:hint="eastAsia"/>
          <w:szCs w:val="21"/>
        </w:rPr>
        <w:instrText>,</w:instrText>
      </w:r>
      <w:r w:rsidR="00C60E37" w:rsidRPr="00371F5A">
        <w:rPr>
          <w:rFonts w:ascii="Times New Roman" w:eastAsia="宋体" w:hAnsi="Times New Roman" w:cs="Times New Roman" w:hint="eastAsia"/>
          <w:position w:val="2"/>
          <w:szCs w:val="21"/>
        </w:rPr>
        <w:instrText>3</w:instrText>
      </w:r>
      <w:r w:rsidR="00C60E37" w:rsidRPr="00371F5A">
        <w:rPr>
          <w:rFonts w:ascii="Times New Roman" w:eastAsia="宋体" w:hAnsi="Times New Roman" w:cs="Times New Roman" w:hint="eastAsia"/>
          <w:szCs w:val="21"/>
        </w:rPr>
        <w:instrText>)</w:instrText>
      </w:r>
      <w:r w:rsidRPr="00371F5A">
        <w:rPr>
          <w:rFonts w:ascii="Times New Roman" w:eastAsia="宋体" w:hAnsi="Times New Roman" w:cs="Times New Roman"/>
          <w:szCs w:val="21"/>
        </w:rPr>
        <w:fldChar w:fldCharType="end"/>
      </w:r>
      <w:r w:rsidR="00F36DB4" w:rsidRPr="00371F5A">
        <w:rPr>
          <w:rFonts w:ascii="Times New Roman" w:eastAsia="宋体" w:hAnsi="Times New Roman" w:cs="Times New Roman"/>
          <w:szCs w:val="21"/>
        </w:rPr>
        <w:t>Avoidance Behavior Path: Neuroticism reduces self-efficacy (β=0.29), prompting students to adopt avoidance strategies (e.g., refusing to speak), which in turn further limits language practice opportunities (β=-0.31), creating a vicious cycle and contributing 22% of the explained variance.</w:t>
      </w:r>
    </w:p>
    <w:p w:rsidR="006A1B14" w:rsidRDefault="00F36DB4" w:rsidP="0079126F">
      <w:pPr>
        <w:ind w:leftChars="-200" w:left="-420" w:rightChars="-200" w:right="-420" w:firstLineChars="200" w:firstLine="420"/>
        <w:rPr>
          <w:rFonts w:ascii="Times New Roman" w:eastAsia="宋体" w:hAnsi="Times New Roman" w:cs="Times New Roman"/>
          <w:szCs w:val="21"/>
        </w:rPr>
      </w:pPr>
      <w:r w:rsidRPr="00371F5A">
        <w:rPr>
          <w:rFonts w:ascii="Times New Roman" w:eastAsia="宋体" w:hAnsi="Times New Roman" w:cs="Times New Roman"/>
          <w:szCs w:val="21"/>
        </w:rPr>
        <w:t xml:space="preserve">Combining </w:t>
      </w:r>
      <w:r w:rsidR="00C60E37" w:rsidRPr="00371F5A">
        <w:rPr>
          <w:rFonts w:ascii="Times New Roman" w:eastAsia="宋体" w:hAnsi="Times New Roman" w:cs="Times New Roman" w:hint="eastAsia"/>
          <w:szCs w:val="21"/>
        </w:rPr>
        <w:t xml:space="preserve">all </w:t>
      </w:r>
      <w:r w:rsidR="00C60E37" w:rsidRPr="00371F5A">
        <w:rPr>
          <w:rFonts w:ascii="Times New Roman" w:eastAsia="宋体" w:hAnsi="Times New Roman" w:cs="Times New Roman"/>
          <w:szCs w:val="21"/>
        </w:rPr>
        <w:t>th</w:t>
      </w:r>
      <w:r w:rsidR="00C60E37" w:rsidRPr="00371F5A">
        <w:rPr>
          <w:rFonts w:ascii="Times New Roman" w:eastAsia="宋体" w:hAnsi="Times New Roman" w:cs="Times New Roman" w:hint="eastAsia"/>
          <w:szCs w:val="21"/>
        </w:rPr>
        <w:t>at</w:t>
      </w:r>
      <w:r w:rsidRPr="00371F5A">
        <w:rPr>
          <w:rFonts w:ascii="Times New Roman" w:eastAsia="宋体" w:hAnsi="Times New Roman" w:cs="Times New Roman"/>
          <w:szCs w:val="21"/>
        </w:rPr>
        <w:t xml:space="preserve"> information, the three paths together explained 72% of the variance, indicating that neuroticism influences AELA through multidimensional mechanisms, with the evaluation fear path having the largest effect size. </w:t>
      </w:r>
      <w:r w:rsidR="003B77B3" w:rsidRPr="00371F5A">
        <w:rPr>
          <w:rFonts w:ascii="Times New Roman" w:eastAsia="宋体" w:hAnsi="Times New Roman" w:cs="Times New Roman"/>
          <w:szCs w:val="21"/>
        </w:rPr>
        <w:t>T</w:t>
      </w:r>
      <w:r w:rsidR="003B77B3" w:rsidRPr="00371F5A">
        <w:rPr>
          <w:rFonts w:ascii="Times New Roman" w:eastAsia="宋体" w:hAnsi="Times New Roman" w:cs="Times New Roman" w:hint="eastAsia"/>
          <w:szCs w:val="21"/>
        </w:rPr>
        <w:t xml:space="preserve">he above-mentioned information </w:t>
      </w:r>
      <w:r w:rsidR="00596B45" w:rsidRPr="00371F5A">
        <w:rPr>
          <w:rFonts w:ascii="Times New Roman" w:eastAsia="宋体" w:hAnsi="Times New Roman" w:cs="Times New Roman"/>
          <w:szCs w:val="21"/>
        </w:rPr>
        <w:t>coincides</w:t>
      </w:r>
      <w:r w:rsidR="00596B45" w:rsidRPr="00371F5A">
        <w:rPr>
          <w:rFonts w:ascii="Times New Roman" w:eastAsia="宋体" w:hAnsi="Times New Roman" w:cs="Times New Roman" w:hint="eastAsia"/>
          <w:szCs w:val="21"/>
        </w:rPr>
        <w:t xml:space="preserve"> Lian and Guo</w:t>
      </w:r>
      <w:r w:rsidR="00596B45" w:rsidRPr="00371F5A">
        <w:rPr>
          <w:rFonts w:ascii="Times New Roman" w:eastAsia="宋体" w:hAnsi="Times New Roman" w:cs="Times New Roman"/>
          <w:szCs w:val="21"/>
        </w:rPr>
        <w:t>’</w:t>
      </w:r>
      <w:r w:rsidR="00596B45" w:rsidRPr="00371F5A">
        <w:rPr>
          <w:rFonts w:ascii="Times New Roman" w:eastAsia="宋体" w:hAnsi="Times New Roman" w:cs="Times New Roman" w:hint="eastAsia"/>
          <w:szCs w:val="21"/>
        </w:rPr>
        <w:t xml:space="preserve">s(2020) research in </w:t>
      </w:r>
      <w:r w:rsidR="00596B45" w:rsidRPr="00371F5A">
        <w:rPr>
          <w:rFonts w:ascii="Times New Roman" w:eastAsia="宋体" w:hAnsi="Times New Roman" w:cs="Times New Roman"/>
          <w:szCs w:val="21"/>
        </w:rPr>
        <w:t>which</w:t>
      </w:r>
      <w:r w:rsidR="00596B45" w:rsidRPr="00371F5A">
        <w:rPr>
          <w:rFonts w:ascii="Times New Roman" w:eastAsia="宋体" w:hAnsi="Times New Roman" w:cs="Times New Roman" w:hint="eastAsia"/>
          <w:szCs w:val="21"/>
        </w:rPr>
        <w:t xml:space="preserve"> they </w:t>
      </w:r>
      <w:r w:rsidRPr="00371F5A">
        <w:rPr>
          <w:rFonts w:ascii="Times New Roman" w:eastAsia="宋体" w:hAnsi="Times New Roman" w:cs="Times New Roman"/>
          <w:szCs w:val="21"/>
        </w:rPr>
        <w:t>suggest that intervention strategies should simultaneously target cognitive regulation (e.g., reducing rumination), reshaping evaluation perspectives (e.g., reducing sensitivity to negative evaluation), and behavioral change (e.g., encouraging proactive participation in international exchanges).</w:t>
      </w:r>
    </w:p>
    <w:p w:rsidR="0079126F" w:rsidRPr="00371F5A" w:rsidRDefault="0079126F" w:rsidP="0079126F">
      <w:pPr>
        <w:ind w:leftChars="-200" w:left="-420" w:rightChars="-200" w:right="-420" w:firstLineChars="200" w:firstLine="420"/>
        <w:rPr>
          <w:rFonts w:ascii="Times New Roman" w:eastAsia="宋体" w:hAnsi="Times New Roman" w:cs="Times New Roman"/>
          <w:szCs w:val="21"/>
        </w:rPr>
      </w:pPr>
    </w:p>
    <w:sectPr w:rsidR="0079126F" w:rsidRPr="00371F5A" w:rsidSect="00F747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CE1" w:rsidRDefault="006B7CE1" w:rsidP="0080241A">
      <w:r>
        <w:separator/>
      </w:r>
    </w:p>
  </w:endnote>
  <w:endnote w:type="continuationSeparator" w:id="1">
    <w:p w:rsidR="006B7CE1" w:rsidRDefault="006B7CE1" w:rsidP="0080241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CE1" w:rsidRDefault="006B7CE1" w:rsidP="0080241A">
      <w:r>
        <w:separator/>
      </w:r>
    </w:p>
  </w:footnote>
  <w:footnote w:type="continuationSeparator" w:id="1">
    <w:p w:rsidR="006B7CE1" w:rsidRDefault="006B7CE1" w:rsidP="008024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4B48"/>
    <w:rsid w:val="0004442E"/>
    <w:rsid w:val="00051A56"/>
    <w:rsid w:val="000751B6"/>
    <w:rsid w:val="00082F4A"/>
    <w:rsid w:val="000B43B1"/>
    <w:rsid w:val="000C726C"/>
    <w:rsid w:val="000F3E1F"/>
    <w:rsid w:val="000F6657"/>
    <w:rsid w:val="00131461"/>
    <w:rsid w:val="0013575F"/>
    <w:rsid w:val="00136FC4"/>
    <w:rsid w:val="001E04F6"/>
    <w:rsid w:val="002153E4"/>
    <w:rsid w:val="00233AB3"/>
    <w:rsid w:val="00252727"/>
    <w:rsid w:val="00270E4D"/>
    <w:rsid w:val="00292ED7"/>
    <w:rsid w:val="0029566D"/>
    <w:rsid w:val="002A4CDE"/>
    <w:rsid w:val="003202DF"/>
    <w:rsid w:val="003259E7"/>
    <w:rsid w:val="00346470"/>
    <w:rsid w:val="00371F5A"/>
    <w:rsid w:val="003B77B3"/>
    <w:rsid w:val="003D653A"/>
    <w:rsid w:val="00403303"/>
    <w:rsid w:val="00442CA3"/>
    <w:rsid w:val="00452C30"/>
    <w:rsid w:val="00454D4E"/>
    <w:rsid w:val="0046605A"/>
    <w:rsid w:val="00486919"/>
    <w:rsid w:val="004E3F2D"/>
    <w:rsid w:val="004F2B24"/>
    <w:rsid w:val="005147E3"/>
    <w:rsid w:val="00572EE1"/>
    <w:rsid w:val="00596B45"/>
    <w:rsid w:val="005A1006"/>
    <w:rsid w:val="005A6D0D"/>
    <w:rsid w:val="005D2A29"/>
    <w:rsid w:val="005F2DA1"/>
    <w:rsid w:val="00620CD9"/>
    <w:rsid w:val="00642162"/>
    <w:rsid w:val="00667D4B"/>
    <w:rsid w:val="00690202"/>
    <w:rsid w:val="006A1B14"/>
    <w:rsid w:val="006B7CE1"/>
    <w:rsid w:val="006F226F"/>
    <w:rsid w:val="007638A4"/>
    <w:rsid w:val="00766617"/>
    <w:rsid w:val="007853BF"/>
    <w:rsid w:val="0079126F"/>
    <w:rsid w:val="0080241A"/>
    <w:rsid w:val="00802992"/>
    <w:rsid w:val="0081412A"/>
    <w:rsid w:val="00871365"/>
    <w:rsid w:val="00881950"/>
    <w:rsid w:val="008A3D2D"/>
    <w:rsid w:val="008D69E9"/>
    <w:rsid w:val="00900D95"/>
    <w:rsid w:val="009145E8"/>
    <w:rsid w:val="00924887"/>
    <w:rsid w:val="00967E4B"/>
    <w:rsid w:val="00974D70"/>
    <w:rsid w:val="009C1C9E"/>
    <w:rsid w:val="009D6161"/>
    <w:rsid w:val="009E4B87"/>
    <w:rsid w:val="009F5D43"/>
    <w:rsid w:val="00A4175B"/>
    <w:rsid w:val="00A60C24"/>
    <w:rsid w:val="00AA0F5B"/>
    <w:rsid w:val="00AE01BE"/>
    <w:rsid w:val="00B56FE1"/>
    <w:rsid w:val="00B638F7"/>
    <w:rsid w:val="00BD51D6"/>
    <w:rsid w:val="00C117CD"/>
    <w:rsid w:val="00C229E3"/>
    <w:rsid w:val="00C31EF5"/>
    <w:rsid w:val="00C60E37"/>
    <w:rsid w:val="00C706FB"/>
    <w:rsid w:val="00C70B6C"/>
    <w:rsid w:val="00C7174F"/>
    <w:rsid w:val="00C863DE"/>
    <w:rsid w:val="00D31CBC"/>
    <w:rsid w:val="00D6486A"/>
    <w:rsid w:val="00D74B48"/>
    <w:rsid w:val="00D83A4B"/>
    <w:rsid w:val="00D94B04"/>
    <w:rsid w:val="00DA46E7"/>
    <w:rsid w:val="00E3302A"/>
    <w:rsid w:val="00E35DFB"/>
    <w:rsid w:val="00E43691"/>
    <w:rsid w:val="00E45477"/>
    <w:rsid w:val="00EB5A20"/>
    <w:rsid w:val="00EE7760"/>
    <w:rsid w:val="00F00125"/>
    <w:rsid w:val="00F06819"/>
    <w:rsid w:val="00F36DB4"/>
    <w:rsid w:val="00F74429"/>
    <w:rsid w:val="00F74723"/>
    <w:rsid w:val="00FA6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A20"/>
    <w:pPr>
      <w:widowControl w:val="0"/>
      <w:jc w:val="both"/>
    </w:pPr>
  </w:style>
  <w:style w:type="paragraph" w:styleId="1">
    <w:name w:val="heading 1"/>
    <w:basedOn w:val="a"/>
    <w:next w:val="a"/>
    <w:link w:val="1Char"/>
    <w:uiPriority w:val="9"/>
    <w:qFormat/>
    <w:rsid w:val="00D74B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D74B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D74B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D74B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D74B4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rsid w:val="00D74B48"/>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D74B48"/>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D74B48"/>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D74B4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4B48"/>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D74B48"/>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D74B48"/>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D74B48"/>
    <w:rPr>
      <w:rFonts w:cstheme="majorBidi"/>
      <w:color w:val="2F5496" w:themeColor="accent1" w:themeShade="BF"/>
      <w:sz w:val="28"/>
      <w:szCs w:val="28"/>
    </w:rPr>
  </w:style>
  <w:style w:type="character" w:customStyle="1" w:styleId="5Char">
    <w:name w:val="标题 5 Char"/>
    <w:basedOn w:val="a0"/>
    <w:link w:val="5"/>
    <w:uiPriority w:val="9"/>
    <w:semiHidden/>
    <w:rsid w:val="00D74B48"/>
    <w:rPr>
      <w:rFonts w:cstheme="majorBidi"/>
      <w:color w:val="2F5496" w:themeColor="accent1" w:themeShade="BF"/>
      <w:sz w:val="24"/>
      <w:szCs w:val="24"/>
    </w:rPr>
  </w:style>
  <w:style w:type="character" w:customStyle="1" w:styleId="6Char">
    <w:name w:val="标题 6 Char"/>
    <w:basedOn w:val="a0"/>
    <w:link w:val="6"/>
    <w:uiPriority w:val="9"/>
    <w:semiHidden/>
    <w:rsid w:val="00D74B48"/>
    <w:rPr>
      <w:rFonts w:cstheme="majorBidi"/>
      <w:b/>
      <w:bCs/>
      <w:color w:val="2F5496" w:themeColor="accent1" w:themeShade="BF"/>
    </w:rPr>
  </w:style>
  <w:style w:type="character" w:customStyle="1" w:styleId="7Char">
    <w:name w:val="标题 7 Char"/>
    <w:basedOn w:val="a0"/>
    <w:link w:val="7"/>
    <w:uiPriority w:val="9"/>
    <w:semiHidden/>
    <w:rsid w:val="00D74B48"/>
    <w:rPr>
      <w:rFonts w:cstheme="majorBidi"/>
      <w:b/>
      <w:bCs/>
      <w:color w:val="595959" w:themeColor="text1" w:themeTint="A6"/>
    </w:rPr>
  </w:style>
  <w:style w:type="character" w:customStyle="1" w:styleId="8Char">
    <w:name w:val="标题 8 Char"/>
    <w:basedOn w:val="a0"/>
    <w:link w:val="8"/>
    <w:uiPriority w:val="9"/>
    <w:semiHidden/>
    <w:rsid w:val="00D74B48"/>
    <w:rPr>
      <w:rFonts w:cstheme="majorBidi"/>
      <w:color w:val="595959" w:themeColor="text1" w:themeTint="A6"/>
    </w:rPr>
  </w:style>
  <w:style w:type="character" w:customStyle="1" w:styleId="9Char">
    <w:name w:val="标题 9 Char"/>
    <w:basedOn w:val="a0"/>
    <w:link w:val="9"/>
    <w:uiPriority w:val="9"/>
    <w:semiHidden/>
    <w:rsid w:val="00D74B48"/>
    <w:rPr>
      <w:rFonts w:eastAsiaTheme="majorEastAsia" w:cstheme="majorBidi"/>
      <w:color w:val="595959" w:themeColor="text1" w:themeTint="A6"/>
    </w:rPr>
  </w:style>
  <w:style w:type="paragraph" w:styleId="a3">
    <w:name w:val="Title"/>
    <w:basedOn w:val="a"/>
    <w:next w:val="a"/>
    <w:link w:val="Char"/>
    <w:uiPriority w:val="10"/>
    <w:qFormat/>
    <w:rsid w:val="00D74B4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D74B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74B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D74B4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74B48"/>
    <w:pPr>
      <w:spacing w:before="160" w:after="160"/>
      <w:jc w:val="center"/>
    </w:pPr>
    <w:rPr>
      <w:i/>
      <w:iCs/>
      <w:color w:val="404040" w:themeColor="text1" w:themeTint="BF"/>
    </w:rPr>
  </w:style>
  <w:style w:type="character" w:customStyle="1" w:styleId="Char1">
    <w:name w:val="引用 Char"/>
    <w:basedOn w:val="a0"/>
    <w:link w:val="a5"/>
    <w:uiPriority w:val="29"/>
    <w:rsid w:val="00D74B48"/>
    <w:rPr>
      <w:i/>
      <w:iCs/>
      <w:color w:val="404040" w:themeColor="text1" w:themeTint="BF"/>
    </w:rPr>
  </w:style>
  <w:style w:type="paragraph" w:styleId="a6">
    <w:name w:val="List Paragraph"/>
    <w:basedOn w:val="a"/>
    <w:uiPriority w:val="34"/>
    <w:qFormat/>
    <w:rsid w:val="00D74B48"/>
    <w:pPr>
      <w:ind w:left="720"/>
      <w:contextualSpacing/>
    </w:pPr>
  </w:style>
  <w:style w:type="character" w:styleId="a7">
    <w:name w:val="Intense Emphasis"/>
    <w:basedOn w:val="a0"/>
    <w:uiPriority w:val="21"/>
    <w:qFormat/>
    <w:rsid w:val="00D74B48"/>
    <w:rPr>
      <w:i/>
      <w:iCs/>
      <w:color w:val="2F5496" w:themeColor="accent1" w:themeShade="BF"/>
    </w:rPr>
  </w:style>
  <w:style w:type="paragraph" w:styleId="a8">
    <w:name w:val="Intense Quote"/>
    <w:basedOn w:val="a"/>
    <w:next w:val="a"/>
    <w:link w:val="Char2"/>
    <w:uiPriority w:val="30"/>
    <w:qFormat/>
    <w:rsid w:val="00D74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D74B48"/>
    <w:rPr>
      <w:i/>
      <w:iCs/>
      <w:color w:val="2F5496" w:themeColor="accent1" w:themeShade="BF"/>
    </w:rPr>
  </w:style>
  <w:style w:type="character" w:styleId="a9">
    <w:name w:val="Intense Reference"/>
    <w:basedOn w:val="a0"/>
    <w:uiPriority w:val="32"/>
    <w:qFormat/>
    <w:rsid w:val="00D74B48"/>
    <w:rPr>
      <w:b/>
      <w:bCs/>
      <w:smallCaps/>
      <w:color w:val="2F5496" w:themeColor="accent1" w:themeShade="BF"/>
      <w:spacing w:val="5"/>
    </w:rPr>
  </w:style>
  <w:style w:type="table" w:styleId="aa">
    <w:name w:val="Table Grid"/>
    <w:basedOn w:val="a1"/>
    <w:uiPriority w:val="39"/>
    <w:rsid w:val="005A1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67D4B"/>
    <w:rPr>
      <w:color w:val="0563C1" w:themeColor="hyperlink"/>
      <w:u w:val="single"/>
    </w:rPr>
  </w:style>
  <w:style w:type="character" w:customStyle="1" w:styleId="10">
    <w:name w:val="未处理的提及1"/>
    <w:basedOn w:val="a0"/>
    <w:uiPriority w:val="99"/>
    <w:semiHidden/>
    <w:unhideWhenUsed/>
    <w:rsid w:val="00667D4B"/>
    <w:rPr>
      <w:color w:val="605E5C"/>
      <w:shd w:val="clear" w:color="auto" w:fill="E1DFDD"/>
    </w:rPr>
  </w:style>
  <w:style w:type="paragraph" w:styleId="ac">
    <w:name w:val="header"/>
    <w:basedOn w:val="a"/>
    <w:link w:val="Char3"/>
    <w:uiPriority w:val="99"/>
    <w:semiHidden/>
    <w:unhideWhenUsed/>
    <w:rsid w:val="0080241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semiHidden/>
    <w:rsid w:val="0080241A"/>
    <w:rPr>
      <w:sz w:val="18"/>
      <w:szCs w:val="18"/>
    </w:rPr>
  </w:style>
  <w:style w:type="paragraph" w:styleId="ad">
    <w:name w:val="footer"/>
    <w:basedOn w:val="a"/>
    <w:link w:val="Char4"/>
    <w:uiPriority w:val="99"/>
    <w:semiHidden/>
    <w:unhideWhenUsed/>
    <w:rsid w:val="0080241A"/>
    <w:pPr>
      <w:tabs>
        <w:tab w:val="center" w:pos="4153"/>
        <w:tab w:val="right" w:pos="8306"/>
      </w:tabs>
      <w:snapToGrid w:val="0"/>
      <w:jc w:val="left"/>
    </w:pPr>
    <w:rPr>
      <w:sz w:val="18"/>
      <w:szCs w:val="18"/>
    </w:rPr>
  </w:style>
  <w:style w:type="character" w:customStyle="1" w:styleId="Char4">
    <w:name w:val="页脚 Char"/>
    <w:basedOn w:val="a0"/>
    <w:link w:val="ad"/>
    <w:uiPriority w:val="99"/>
    <w:semiHidden/>
    <w:rsid w:val="0080241A"/>
    <w:rPr>
      <w:sz w:val="18"/>
      <w:szCs w:val="18"/>
    </w:rPr>
  </w:style>
</w:styles>
</file>

<file path=word/webSettings.xml><?xml version="1.0" encoding="utf-8"?>
<w:webSettings xmlns:r="http://schemas.openxmlformats.org/officeDocument/2006/relationships" xmlns:w="http://schemas.openxmlformats.org/wordprocessingml/2006/main">
  <w:divs>
    <w:div w:id="363408099">
      <w:bodyDiv w:val="1"/>
      <w:marLeft w:val="0"/>
      <w:marRight w:val="0"/>
      <w:marTop w:val="0"/>
      <w:marBottom w:val="0"/>
      <w:divBdr>
        <w:top w:val="none" w:sz="0" w:space="0" w:color="auto"/>
        <w:left w:val="none" w:sz="0" w:space="0" w:color="auto"/>
        <w:bottom w:val="none" w:sz="0" w:space="0" w:color="auto"/>
        <w:right w:val="none" w:sz="0" w:space="0" w:color="auto"/>
      </w:divBdr>
    </w:div>
    <w:div w:id="109963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HUANAN SU</dc:creator>
  <cp:keywords/>
  <dc:description/>
  <cp:lastModifiedBy>User</cp:lastModifiedBy>
  <cp:revision>45</cp:revision>
  <dcterms:created xsi:type="dcterms:W3CDTF">2025-10-18T13:06:00Z</dcterms:created>
  <dcterms:modified xsi:type="dcterms:W3CDTF">2025-12-02T10:04:00Z</dcterms:modified>
</cp:coreProperties>
</file>