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663C3" w14:textId="77777777" w:rsidR="005E7693" w:rsidRDefault="005E7693" w:rsidP="005E7693">
      <w:pPr>
        <w:pStyle w:val="Heading3"/>
        <w:spacing w:before="156" w:after="156"/>
      </w:pPr>
      <w:r>
        <w:rPr>
          <w:rFonts w:hint="eastAsia"/>
          <w:lang w:eastAsia="zh-CN"/>
        </w:rPr>
        <w:t>Supplementary figures</w:t>
      </w:r>
    </w:p>
    <w:p w14:paraId="5F4E0FE5" w14:textId="77777777" w:rsidR="005E7693" w:rsidRDefault="005E7693" w:rsidP="005E7693">
      <w:pPr>
        <w:rPr>
          <w:rFonts w:cs="Times New Roman"/>
          <w:b/>
          <w:bCs/>
        </w:rPr>
      </w:pPr>
      <w:r>
        <w:rPr>
          <w:rFonts w:cs="Times New Roman" w:hint="eastAsia"/>
          <w:b/>
          <w:bCs/>
          <w:noProof/>
        </w:rPr>
        <w:drawing>
          <wp:inline distT="0" distB="0" distL="114300" distR="114300" wp14:anchorId="469C7EEA" wp14:editId="7CBDA18F">
            <wp:extent cx="5267960" cy="2821940"/>
            <wp:effectExtent l="0" t="0" r="8890" b="6985"/>
            <wp:docPr id="1" name="图片 1" descr="Figure S2-BERT models 4 su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2-BERT models 4 subjects"/>
                    <pic:cNvPicPr>
                      <a:picLocks noChangeAspect="1"/>
                    </pic:cNvPicPr>
                  </pic:nvPicPr>
                  <pic:blipFill>
                    <a:blip r:embed="rId4"/>
                    <a:srcRect b="1877"/>
                    <a:stretch>
                      <a:fillRect/>
                    </a:stretch>
                  </pic:blipFill>
                  <pic:spPr>
                    <a:xfrm>
                      <a:off x="0" y="0"/>
                      <a:ext cx="5267960" cy="2821940"/>
                    </a:xfrm>
                    <a:prstGeom prst="rect">
                      <a:avLst/>
                    </a:prstGeom>
                  </pic:spPr>
                </pic:pic>
              </a:graphicData>
            </a:graphic>
          </wp:inline>
        </w:drawing>
      </w:r>
    </w:p>
    <w:p w14:paraId="50C4BF26" w14:textId="77777777" w:rsidR="005E7693" w:rsidRDefault="005E7693" w:rsidP="005E7693">
      <w:pPr>
        <w:rPr>
          <w:rFonts w:cs="Times New Roman"/>
        </w:rPr>
      </w:pPr>
      <w:r>
        <w:rPr>
          <w:rFonts w:eastAsia="Times New Roman" w:cs="Times New Roman"/>
          <w:b/>
          <w:bCs/>
        </w:rPr>
        <w:t xml:space="preserve">Figure </w:t>
      </w:r>
      <w:r>
        <w:rPr>
          <w:rFonts w:cs="Times New Roman" w:hint="eastAsia"/>
          <w:b/>
          <w:bCs/>
        </w:rPr>
        <w:t>S1</w:t>
      </w:r>
      <w:r>
        <w:rPr>
          <w:rFonts w:eastAsia="Times New Roman" w:cs="Times New Roman"/>
          <w:b/>
          <w:bCs/>
        </w:rPr>
        <w:t xml:space="preserve">. </w:t>
      </w:r>
      <w:r>
        <w:rPr>
          <w:rFonts w:cs="Times New Roman" w:hint="eastAsia"/>
          <w:b/>
          <w:bCs/>
        </w:rPr>
        <w:t xml:space="preserve">Individual BERT-based </w:t>
      </w:r>
      <w:r>
        <w:rPr>
          <w:rFonts w:eastAsia="Times New Roman" w:cs="Times New Roman" w:hint="eastAsia"/>
          <w:b/>
          <w:bCs/>
        </w:rPr>
        <w:t>encoding model</w:t>
      </w:r>
      <w:r>
        <w:rPr>
          <w:rFonts w:cs="Times New Roman" w:hint="eastAsia"/>
          <w:b/>
          <w:bCs/>
        </w:rPr>
        <w:t xml:space="preserve"> on four participants</w:t>
      </w:r>
      <w:r>
        <w:rPr>
          <w:rFonts w:eastAsia="Times New Roman" w:cs="Times New Roman" w:hint="eastAsia"/>
          <w:b/>
          <w:bCs/>
        </w:rPr>
        <w:t>.</w:t>
      </w:r>
      <w:r>
        <w:rPr>
          <w:rFonts w:cs="Times New Roman" w:hint="eastAsia"/>
          <w:b/>
          <w:bCs/>
        </w:rPr>
        <w:t xml:space="preserve"> </w:t>
      </w:r>
      <w:r>
        <w:rPr>
          <w:rFonts w:cs="Times New Roman" w:hint="eastAsia"/>
        </w:rPr>
        <w:t>The vertex-wise encoding accuracy of BERT demonstrated consistent and reliable predictions across four participants, indicating a population-label stable, linguistic representations supporting scene understanding. Notable individual differences in encoding models emerged predominantly in high-order visual cortex, extending along both dorsal and ventral visual pathways into frontoparietal regions. The spatial patterns of subject-specific BERT-based encoding models highly resembled the individual multimodal encoding models shown in Figure 7, suggesting that top-down linguistic modulation contributes substantially to individual differences in scene processing.</w:t>
      </w:r>
    </w:p>
    <w:p w14:paraId="26E5F16B" w14:textId="77777777" w:rsidR="005E7693" w:rsidRDefault="005E7693" w:rsidP="005E7693">
      <w:pPr>
        <w:rPr>
          <w:rFonts w:cs="Times New Roman"/>
        </w:rPr>
      </w:pPr>
    </w:p>
    <w:p w14:paraId="5E6B5CD4" w14:textId="77777777" w:rsidR="005E7693" w:rsidRDefault="005E7693" w:rsidP="005E7693">
      <w:pPr>
        <w:rPr>
          <w:rFonts w:cs="Times New Roman"/>
        </w:rPr>
      </w:pPr>
    </w:p>
    <w:p w14:paraId="57D50B61" w14:textId="77777777" w:rsidR="005E7693" w:rsidRDefault="005E7693" w:rsidP="005E7693">
      <w:pPr>
        <w:rPr>
          <w:rFonts w:cs="Times New Roman"/>
        </w:rPr>
      </w:pPr>
      <w:r>
        <w:rPr>
          <w:rFonts w:cs="Times New Roman"/>
          <w:noProof/>
        </w:rPr>
        <w:lastRenderedPageBreak/>
        <w:drawing>
          <wp:inline distT="0" distB="0" distL="114300" distR="114300" wp14:anchorId="11EBE0E4" wp14:editId="211F3AB6">
            <wp:extent cx="5271770" cy="2895600"/>
            <wp:effectExtent l="0" t="0" r="5080" b="0"/>
            <wp:docPr id="4" name="图片 4" descr="D:/NewLaptop/论文修改/semantic maps-NSD/figures9.8/Figure S3-language-vs-vision.pngFigure S3-language-vs-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NewLaptop/论文修改/semantic maps-NSD/figures9.8/Figure S3-language-vs-vision.pngFigure S3-language-vs-vision"/>
                    <pic:cNvPicPr>
                      <a:picLocks noChangeAspect="1"/>
                    </pic:cNvPicPr>
                  </pic:nvPicPr>
                  <pic:blipFill>
                    <a:blip r:embed="rId5"/>
                    <a:srcRect t="735" b="735"/>
                    <a:stretch>
                      <a:fillRect/>
                    </a:stretch>
                  </pic:blipFill>
                  <pic:spPr>
                    <a:xfrm>
                      <a:off x="0" y="0"/>
                      <a:ext cx="5271770" cy="2895600"/>
                    </a:xfrm>
                    <a:prstGeom prst="rect">
                      <a:avLst/>
                    </a:prstGeom>
                  </pic:spPr>
                </pic:pic>
              </a:graphicData>
            </a:graphic>
          </wp:inline>
        </w:drawing>
      </w:r>
    </w:p>
    <w:p w14:paraId="23226454" w14:textId="77777777" w:rsidR="005E7693" w:rsidRDefault="005E7693" w:rsidP="005E7693">
      <w:pPr>
        <w:rPr>
          <w:rFonts w:cs="Times New Roman"/>
        </w:rPr>
      </w:pPr>
      <w:r>
        <w:rPr>
          <w:rFonts w:eastAsia="Times New Roman" w:cs="Times New Roman"/>
          <w:b/>
          <w:bCs/>
        </w:rPr>
        <w:t xml:space="preserve">Figure </w:t>
      </w:r>
      <w:r>
        <w:rPr>
          <w:rFonts w:cs="Times New Roman" w:hint="eastAsia"/>
          <w:b/>
          <w:bCs/>
        </w:rPr>
        <w:t>S2</w:t>
      </w:r>
      <w:r>
        <w:rPr>
          <w:rFonts w:eastAsia="Times New Roman" w:cs="Times New Roman"/>
          <w:b/>
          <w:bCs/>
        </w:rPr>
        <w:t xml:space="preserve">. </w:t>
      </w:r>
      <w:r>
        <w:rPr>
          <w:rFonts w:cs="Times New Roman" w:hint="eastAsia"/>
          <w:b/>
          <w:bCs/>
        </w:rPr>
        <w:t>Relative contribution of linguistic vs visual representations to the multimodal joint embedding of</w:t>
      </w:r>
      <w:r>
        <w:rPr>
          <w:rFonts w:eastAsia="Times New Roman" w:cs="Times New Roman"/>
          <w:b/>
          <w:bCs/>
        </w:rPr>
        <w:t xml:space="preserve"> natural scenes</w:t>
      </w:r>
      <w:r>
        <w:rPr>
          <w:rFonts w:eastAsia="Times New Roman" w:cs="Times New Roman"/>
        </w:rPr>
        <w:t>.</w:t>
      </w:r>
      <w:r>
        <w:rPr>
          <w:rFonts w:cs="Times New Roman" w:hint="eastAsia"/>
        </w:rPr>
        <w:t xml:space="preserve"> Vertex-wise difference map illustrated the performance gain of the multimodal ViLT model over unimodal language (ViLT - BERT and ViLT - MultiHot) and vision models (ViLT - ViT and ViLT - ResNet), plotted on the fsaverage surface. V</w:t>
      </w:r>
      <w:r>
        <w:rPr>
          <w:rFonts w:eastAsia="Times New Roman" w:cs="Times New Roman" w:hint="eastAsia"/>
        </w:rPr>
        <w:t xml:space="preserve">iLT </w:t>
      </w:r>
      <w:r>
        <w:rPr>
          <w:rFonts w:cs="Times New Roman" w:hint="eastAsia"/>
        </w:rPr>
        <w:t>demonstrated large improvements over vision-based models throughout both dorsal and ventral streams and in associated areas of frontal, parietal and temporal regions.</w:t>
      </w:r>
      <w:r>
        <w:rPr>
          <w:rFonts w:eastAsia="Times New Roman" w:cs="Times New Roman"/>
        </w:rPr>
        <w:t xml:space="preserve"> </w:t>
      </w:r>
      <w:r>
        <w:rPr>
          <w:rFonts w:eastAsia="Times New Roman" w:cs="Times New Roman" w:hint="eastAsia"/>
        </w:rPr>
        <w:t xml:space="preserve">Only a small, localized deficit </w:t>
      </w:r>
      <w:r>
        <w:rPr>
          <w:rFonts w:cs="Times New Roman" w:hint="eastAsia"/>
        </w:rPr>
        <w:t>appeared</w:t>
      </w:r>
      <w:r>
        <w:rPr>
          <w:rFonts w:eastAsia="Times New Roman" w:cs="Times New Roman" w:hint="eastAsia"/>
        </w:rPr>
        <w:t xml:space="preserve"> in early visual cortex (V1-V3) relative to ViT.</w:t>
      </w:r>
      <w:r>
        <w:rPr>
          <w:rFonts w:cs="Times New Roman" w:hint="eastAsia"/>
        </w:rPr>
        <w:t xml:space="preserve"> Gains over language models were modest and confined to early and high-order visual areas. Similar distributions were observed whether captions or multi-hot object-label vectors were used in the language models, indicating that adding syntactic information provides limited additional benefit beyond isolated object/concept codes. </w:t>
      </w:r>
    </w:p>
    <w:p w14:paraId="796FA70E" w14:textId="77777777" w:rsidR="005E7693" w:rsidRDefault="005E7693" w:rsidP="005E7693">
      <w:pPr>
        <w:rPr>
          <w:rFonts w:cs="Times New Roman"/>
        </w:rPr>
      </w:pPr>
      <w:r>
        <w:rPr>
          <w:rFonts w:cs="Times New Roman"/>
          <w:noProof/>
        </w:rPr>
        <w:lastRenderedPageBreak/>
        <w:drawing>
          <wp:inline distT="0" distB="0" distL="114300" distR="114300" wp14:anchorId="461C0E37" wp14:editId="3D5A335D">
            <wp:extent cx="5434330" cy="2788920"/>
            <wp:effectExtent l="0" t="0" r="4445" b="1905"/>
            <wp:docPr id="6" name="图片 6" descr="Figure S3-to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3-top5"/>
                    <pic:cNvPicPr>
                      <a:picLocks noChangeAspect="1"/>
                    </pic:cNvPicPr>
                  </pic:nvPicPr>
                  <pic:blipFill>
                    <a:blip r:embed="rId6"/>
                    <a:srcRect r="856"/>
                    <a:stretch>
                      <a:fillRect/>
                    </a:stretch>
                  </pic:blipFill>
                  <pic:spPr>
                    <a:xfrm>
                      <a:off x="0" y="0"/>
                      <a:ext cx="5434330" cy="2788920"/>
                    </a:xfrm>
                    <a:prstGeom prst="rect">
                      <a:avLst/>
                    </a:prstGeom>
                  </pic:spPr>
                </pic:pic>
              </a:graphicData>
            </a:graphic>
          </wp:inline>
        </w:drawing>
      </w:r>
    </w:p>
    <w:p w14:paraId="4B68BB4C" w14:textId="77777777" w:rsidR="005E7693" w:rsidRDefault="005E7693" w:rsidP="005E7693">
      <w:pPr>
        <w:rPr>
          <w:rFonts w:cs="Times New Roman"/>
        </w:rPr>
      </w:pPr>
      <w:r>
        <w:rPr>
          <w:rFonts w:eastAsia="Times New Roman" w:cs="Times New Roman"/>
          <w:b/>
          <w:bCs/>
        </w:rPr>
        <w:t xml:space="preserve">Figure </w:t>
      </w:r>
      <w:r>
        <w:rPr>
          <w:rFonts w:cs="Times New Roman" w:hint="eastAsia"/>
          <w:b/>
          <w:bCs/>
        </w:rPr>
        <w:t>S3</w:t>
      </w:r>
      <w:r>
        <w:rPr>
          <w:rFonts w:eastAsia="Times New Roman" w:cs="Times New Roman"/>
          <w:b/>
          <w:bCs/>
        </w:rPr>
        <w:t xml:space="preserve">. </w:t>
      </w:r>
      <w:r>
        <w:rPr>
          <w:rFonts w:cs="Times New Roman" w:hint="eastAsia"/>
          <w:b/>
          <w:bCs/>
        </w:rPr>
        <w:t>Cortical distribution of the best-predicted vertices for visual-, language-, and multi-modal encoding models</w:t>
      </w:r>
      <w:r>
        <w:rPr>
          <w:rFonts w:cs="Times New Roman" w:hint="eastAsia"/>
        </w:rPr>
        <w:t xml:space="preserve">. </w:t>
      </w:r>
      <w:r>
        <w:rPr>
          <w:rFonts w:cs="Times New Roman" w:hint="eastAsia"/>
          <w:b/>
          <w:bCs/>
        </w:rPr>
        <w:t xml:space="preserve">(A, B) </w:t>
      </w:r>
      <w:r>
        <w:rPr>
          <w:rFonts w:cs="Times New Roman" w:hint="eastAsia"/>
        </w:rPr>
        <w:t xml:space="preserve">Spatial maps of the top 1% and top 5% most accurately predicted vertices for each unimodal and multimodal model. </w:t>
      </w:r>
      <w:r>
        <w:rPr>
          <w:rFonts w:cs="Times New Roman" w:hint="eastAsia"/>
          <w:b/>
          <w:bCs/>
        </w:rPr>
        <w:t>(C)</w:t>
      </w:r>
      <w:r>
        <w:rPr>
          <w:rFonts w:cs="Times New Roman" w:hint="eastAsia"/>
        </w:rPr>
        <w:t xml:space="preserve"> Regional encoding performance of visual areas defined by the Kasnter atlas. ViLT (joint image-text embedding) achieved the best encoding performance, followed by language models (MultiHot, BERT). Vision models performed the best in early visual cortex and declined along dorsal and ventral visual pathways. </w:t>
      </w:r>
      <w:r>
        <w:rPr>
          <w:rFonts w:cs="Times New Roman" w:hint="eastAsia"/>
          <w:b/>
          <w:bCs/>
        </w:rPr>
        <w:t>(D)</w:t>
      </w:r>
      <w:r>
        <w:rPr>
          <w:rFonts w:cs="Times New Roman" w:hint="eastAsia"/>
        </w:rPr>
        <w:t xml:space="preserve"> Language and multimodal models showed clear left-hemispheric dominance, whereas vision models showed a bilateral distribution. Violet density plots (top 5% vertices only) illustrated the comparison between the left and right hemispheres for unimodal and multimodal models. </w:t>
      </w:r>
    </w:p>
    <w:p w14:paraId="0BE62C27" w14:textId="77777777" w:rsidR="005E7693" w:rsidRDefault="005E7693" w:rsidP="005E7693">
      <w:pPr>
        <w:rPr>
          <w:rFonts w:cs="Times New Roman"/>
        </w:rPr>
      </w:pPr>
      <w:r>
        <w:rPr>
          <w:rFonts w:cs="Times New Roman" w:hint="eastAsia"/>
          <w:noProof/>
        </w:rPr>
        <w:lastRenderedPageBreak/>
        <w:drawing>
          <wp:inline distT="0" distB="0" distL="114300" distR="114300" wp14:anchorId="48715964" wp14:editId="3F7F2CAB">
            <wp:extent cx="5321300" cy="2889885"/>
            <wp:effectExtent l="0" t="0" r="0" b="0"/>
            <wp:docPr id="9" name="图片 9" descr="D:/NewLaptop/论文修改/semantic maps-NSD/figures9.8/Figure S5-BERT vs MultiHot-cortical-new.pngFigure S5-BERT vs MultiHot-cortical-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NewLaptop/论文修改/semantic maps-NSD/figures9.8/Figure S5-BERT vs MultiHot-cortical-new.pngFigure S5-BERT vs MultiHot-cortical-new"/>
                    <pic:cNvPicPr>
                      <a:picLocks noChangeAspect="1"/>
                    </pic:cNvPicPr>
                  </pic:nvPicPr>
                  <pic:blipFill>
                    <a:blip r:embed="rId7"/>
                    <a:srcRect l="81" r="378"/>
                    <a:stretch>
                      <a:fillRect/>
                    </a:stretch>
                  </pic:blipFill>
                  <pic:spPr>
                    <a:xfrm>
                      <a:off x="0" y="0"/>
                      <a:ext cx="5321300" cy="2889885"/>
                    </a:xfrm>
                    <a:prstGeom prst="rect">
                      <a:avLst/>
                    </a:prstGeom>
                  </pic:spPr>
                </pic:pic>
              </a:graphicData>
            </a:graphic>
          </wp:inline>
        </w:drawing>
      </w:r>
    </w:p>
    <w:p w14:paraId="183889F8" w14:textId="77777777" w:rsidR="005E7693" w:rsidRDefault="005E7693" w:rsidP="005E7693">
      <w:pPr>
        <w:rPr>
          <w:rFonts w:cs="Times New Roman"/>
        </w:rPr>
      </w:pPr>
      <w:r>
        <w:rPr>
          <w:rFonts w:eastAsia="Times New Roman" w:cs="Times New Roman"/>
          <w:b/>
          <w:bCs/>
        </w:rPr>
        <w:t xml:space="preserve">Figure </w:t>
      </w:r>
      <w:r>
        <w:rPr>
          <w:rFonts w:cs="Times New Roman" w:hint="eastAsia"/>
          <w:b/>
          <w:bCs/>
        </w:rPr>
        <w:t>S4</w:t>
      </w:r>
      <w:r>
        <w:rPr>
          <w:rFonts w:eastAsia="Times New Roman" w:cs="Times New Roman"/>
          <w:b/>
          <w:bCs/>
        </w:rPr>
        <w:t xml:space="preserve">. </w:t>
      </w:r>
      <w:r>
        <w:rPr>
          <w:rFonts w:cs="Times New Roman" w:hint="eastAsia"/>
          <w:b/>
          <w:bCs/>
        </w:rPr>
        <w:t>Cortical distribution illustrates the effect of caption length on language-based encoding models</w:t>
      </w:r>
      <w:r>
        <w:rPr>
          <w:rFonts w:cs="Times New Roman" w:hint="eastAsia"/>
        </w:rPr>
        <w:t>. Vertex-wise difference map illustrated the performance changes when using full five-sentence text caption instead of single captions and object-label vectors. The full-caption model demonstrated small benefits appeared in the frontal and parietal regions, and weak decrements in the superior temporal cortex. Additional contextual information improved the predictions in the dorsal and ventral streams but slightly reduced the accuracy in associated prefrontal areas. Limited benefits beyond isolated object/concept codes were observed as compared BERT with MultiHot encoding models.</w:t>
      </w:r>
    </w:p>
    <w:p w14:paraId="4C11B29B" w14:textId="77777777" w:rsidR="005E7693" w:rsidRDefault="005E7693" w:rsidP="005E7693">
      <w:pPr>
        <w:rPr>
          <w:rFonts w:cs="Times New Roman"/>
        </w:rPr>
      </w:pPr>
      <w:r>
        <w:rPr>
          <w:rFonts w:cs="Times New Roman"/>
          <w:noProof/>
        </w:rPr>
        <w:drawing>
          <wp:inline distT="0" distB="0" distL="114300" distR="114300" wp14:anchorId="0CE15FB6" wp14:editId="3D217673">
            <wp:extent cx="5263515" cy="2978785"/>
            <wp:effectExtent l="0" t="0" r="3810" b="0"/>
            <wp:docPr id="7" name="图片 7" descr="Figure S4-lateralization on two su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4-lateralization on two subjects"/>
                    <pic:cNvPicPr>
                      <a:picLocks noChangeAspect="1"/>
                    </pic:cNvPicPr>
                  </pic:nvPicPr>
                  <pic:blipFill>
                    <a:blip r:embed="rId8"/>
                    <a:stretch>
                      <a:fillRect/>
                    </a:stretch>
                  </pic:blipFill>
                  <pic:spPr>
                    <a:xfrm>
                      <a:off x="0" y="0"/>
                      <a:ext cx="5263515" cy="2978785"/>
                    </a:xfrm>
                    <a:prstGeom prst="rect">
                      <a:avLst/>
                    </a:prstGeom>
                  </pic:spPr>
                </pic:pic>
              </a:graphicData>
            </a:graphic>
          </wp:inline>
        </w:drawing>
      </w:r>
    </w:p>
    <w:p w14:paraId="5DFDB109" w14:textId="77777777" w:rsidR="005E7693" w:rsidRDefault="005E7693" w:rsidP="005E7693">
      <w:pPr>
        <w:rPr>
          <w:rFonts w:cs="Times New Roman"/>
        </w:rPr>
      </w:pPr>
      <w:r>
        <w:rPr>
          <w:rFonts w:eastAsia="Times New Roman" w:cs="Times New Roman"/>
          <w:b/>
          <w:bCs/>
        </w:rPr>
        <w:t xml:space="preserve">Figure </w:t>
      </w:r>
      <w:r>
        <w:rPr>
          <w:rFonts w:cs="Times New Roman" w:hint="eastAsia"/>
          <w:b/>
          <w:bCs/>
        </w:rPr>
        <w:t>S5</w:t>
      </w:r>
      <w:r>
        <w:rPr>
          <w:rFonts w:eastAsia="Times New Roman" w:cs="Times New Roman"/>
          <w:b/>
          <w:bCs/>
        </w:rPr>
        <w:t xml:space="preserve">. </w:t>
      </w:r>
      <w:r>
        <w:rPr>
          <w:rFonts w:cs="Times New Roman" w:hint="eastAsia"/>
          <w:b/>
          <w:bCs/>
        </w:rPr>
        <w:t xml:space="preserve">Hemispheric lateralization of vision-, language- and multimodal encoding </w:t>
      </w:r>
      <w:r>
        <w:rPr>
          <w:rFonts w:cs="Times New Roman" w:hint="eastAsia"/>
          <w:b/>
          <w:bCs/>
        </w:rPr>
        <w:lastRenderedPageBreak/>
        <w:t xml:space="preserve">models. </w:t>
      </w:r>
      <w:r>
        <w:rPr>
          <w:rFonts w:cs="Times New Roman" w:hint="eastAsia"/>
        </w:rPr>
        <w:t xml:space="preserve">Language and multimodal models exhibited consistent left-hemishphere lateralization across participants, caption lengths (single sentence vs. five-sentence) and text formats (object-label vectors vs. full-sentence captions), coinciding with the left-hemishphere dominance of langauge processing in the human brain. In contrast, vision-based models displayed a bilateral distribution pattern, suggesting equal engagement of both hemispheres for visual scene processing. </w:t>
      </w:r>
    </w:p>
    <w:p w14:paraId="687D801B" w14:textId="77777777" w:rsidR="005E7693" w:rsidRDefault="005E7693" w:rsidP="005E7693">
      <w:pPr>
        <w:rPr>
          <w:rFonts w:cs="Times New Roman"/>
          <w:b/>
          <w:bCs/>
        </w:rPr>
      </w:pPr>
    </w:p>
    <w:p w14:paraId="31A883D8" w14:textId="77777777" w:rsidR="005E7693" w:rsidRDefault="005E7693" w:rsidP="005E7693">
      <w:pPr>
        <w:rPr>
          <w:rFonts w:cs="Times New Roman"/>
          <w:b/>
          <w:bCs/>
        </w:rPr>
      </w:pPr>
      <w:r>
        <w:rPr>
          <w:rFonts w:cs="Times New Roman"/>
          <w:b/>
          <w:bCs/>
          <w:noProof/>
        </w:rPr>
        <w:drawing>
          <wp:inline distT="0" distB="0" distL="114300" distR="114300" wp14:anchorId="47C9EF7F" wp14:editId="28F5AD2F">
            <wp:extent cx="5272405" cy="3078480"/>
            <wp:effectExtent l="0" t="0" r="0" b="0"/>
            <wp:docPr id="8" name="图片 8"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5"/>
                    <pic:cNvPicPr>
                      <a:picLocks noChangeAspect="1"/>
                    </pic:cNvPicPr>
                  </pic:nvPicPr>
                  <pic:blipFill>
                    <a:blip r:embed="rId9"/>
                    <a:stretch>
                      <a:fillRect/>
                    </a:stretch>
                  </pic:blipFill>
                  <pic:spPr>
                    <a:xfrm>
                      <a:off x="0" y="0"/>
                      <a:ext cx="5272405" cy="3078480"/>
                    </a:xfrm>
                    <a:prstGeom prst="rect">
                      <a:avLst/>
                    </a:prstGeom>
                  </pic:spPr>
                </pic:pic>
              </a:graphicData>
            </a:graphic>
          </wp:inline>
        </w:drawing>
      </w:r>
    </w:p>
    <w:p w14:paraId="28D6CEDC" w14:textId="77777777" w:rsidR="005E7693" w:rsidRDefault="005E7693" w:rsidP="005E7693">
      <w:r>
        <w:rPr>
          <w:rFonts w:eastAsia="Times New Roman" w:cs="Times New Roman"/>
          <w:b/>
          <w:bCs/>
        </w:rPr>
        <w:t xml:space="preserve">Figure </w:t>
      </w:r>
      <w:r>
        <w:rPr>
          <w:rFonts w:cs="Times New Roman" w:hint="eastAsia"/>
          <w:b/>
          <w:bCs/>
        </w:rPr>
        <w:t>S6</w:t>
      </w:r>
      <w:r>
        <w:rPr>
          <w:rFonts w:eastAsia="Times New Roman" w:cs="Times New Roman"/>
          <w:b/>
          <w:bCs/>
        </w:rPr>
        <w:t xml:space="preserve">. </w:t>
      </w:r>
      <w:r>
        <w:rPr>
          <w:rFonts w:cs="Times New Roman" w:hint="eastAsia"/>
          <w:b/>
          <w:bCs/>
        </w:rPr>
        <w:t xml:space="preserve">Hemispheric lateralization of multimodal joint embeddings of image features, object labels and text captions. </w:t>
      </w:r>
      <w:r>
        <w:rPr>
          <w:rFonts w:cs="Times New Roman" w:hint="eastAsia"/>
        </w:rPr>
        <w:t xml:space="preserve">The ViLT-based multimodal models exhibited consistent left-hemishphere lateralization irrespective of caption length (single caption vs. five-sentence) and text format (object-label vectors vs. full-sentence text captions). Among which, the image-text-label embeddings achieved the highest encoding accuracy in both hemispheres, but showed weaker left left-hemishphere lateralization. When only a single caption was available, the image-plus-shortest-caption embedding performed best, yet lower than joint embedding of image-plus-object-labels. Our findings suggest a </w:t>
      </w:r>
      <w:r>
        <w:rPr>
          <w:rFonts w:hint="eastAsia"/>
        </w:rPr>
        <w:t xml:space="preserve">crucial role of semantic embeddings in the reconstruction of linguistic and contextual information for comprehensive natural-scene understanding. </w:t>
      </w:r>
    </w:p>
    <w:p w14:paraId="53CA9C25" w14:textId="77777777" w:rsidR="005E7693" w:rsidRDefault="005E7693" w:rsidP="005E7693">
      <w:r>
        <w:rPr>
          <w:rFonts w:hint="eastAsia"/>
        </w:rPr>
        <w:t xml:space="preserve"> </w:t>
      </w:r>
    </w:p>
    <w:p w14:paraId="1ED5298F" w14:textId="77777777" w:rsidR="005E7693" w:rsidRDefault="005E7693" w:rsidP="005E7693"/>
    <w:p w14:paraId="72A81EEC" w14:textId="77777777" w:rsidR="005E7693" w:rsidRDefault="005E7693" w:rsidP="005E7693">
      <w:pPr>
        <w:rPr>
          <w:rFonts w:eastAsia="Times New Roman" w:cs="Times New Roman"/>
        </w:rPr>
      </w:pPr>
      <w:r>
        <w:rPr>
          <w:rFonts w:eastAsia="Times New Roman" w:cs="Times New Roman"/>
          <w:b/>
          <w:bCs/>
        </w:rPr>
        <w:lastRenderedPageBreak/>
        <w:t xml:space="preserve">Table </w:t>
      </w:r>
      <w:r>
        <w:rPr>
          <w:rFonts w:eastAsia="Times New Roman" w:cs="Times New Roman" w:hint="eastAsia"/>
          <w:b/>
          <w:bCs/>
        </w:rPr>
        <w:t>S</w:t>
      </w:r>
      <w:r>
        <w:rPr>
          <w:rFonts w:eastAsia="Times New Roman" w:cs="Times New Roman"/>
          <w:b/>
          <w:bCs/>
        </w:rPr>
        <w:fldChar w:fldCharType="begin"/>
      </w:r>
      <w:r>
        <w:rPr>
          <w:rFonts w:eastAsia="Times New Roman" w:cs="Times New Roman"/>
          <w:b/>
          <w:bCs/>
        </w:rPr>
        <w:instrText xml:space="preserve"> SEQ Table \* ARABIC </w:instrText>
      </w:r>
      <w:r>
        <w:rPr>
          <w:rFonts w:eastAsia="Times New Roman" w:cs="Times New Roman"/>
          <w:b/>
          <w:bCs/>
        </w:rPr>
        <w:fldChar w:fldCharType="separate"/>
      </w:r>
      <w:r>
        <w:rPr>
          <w:rFonts w:eastAsia="Times New Roman" w:cs="Times New Roman"/>
          <w:b/>
          <w:bCs/>
        </w:rPr>
        <w:t>1</w:t>
      </w:r>
      <w:r>
        <w:rPr>
          <w:rFonts w:eastAsia="Times New Roman" w:cs="Times New Roman"/>
          <w:b/>
          <w:bCs/>
        </w:rPr>
        <w:fldChar w:fldCharType="end"/>
      </w:r>
      <w:r>
        <w:rPr>
          <w:rFonts w:eastAsia="Times New Roman" w:cs="Times New Roman"/>
          <w:b/>
          <w:bCs/>
        </w:rPr>
        <w:t>.</w:t>
      </w:r>
      <w:r>
        <w:rPr>
          <w:rFonts w:eastAsia="Times New Roman" w:cs="Times New Roman"/>
        </w:rPr>
        <w:t xml:space="preserve"> </w:t>
      </w:r>
      <w:r>
        <w:rPr>
          <w:rFonts w:eastAsia="Times New Roman" w:cs="Times New Roman" w:hint="eastAsia"/>
          <w:b/>
          <w:bCs/>
        </w:rPr>
        <w:t>Encoding</w:t>
      </w:r>
      <w:r>
        <w:rPr>
          <w:rFonts w:eastAsia="Times New Roman" w:cs="Times New Roman"/>
          <w:b/>
          <w:bCs/>
        </w:rPr>
        <w:t xml:space="preserve"> </w:t>
      </w:r>
      <w:r>
        <w:rPr>
          <w:rFonts w:eastAsia="Times New Roman" w:cs="Times New Roman" w:hint="eastAsia"/>
          <w:b/>
          <w:bCs/>
        </w:rPr>
        <w:t xml:space="preserve">accuracy </w:t>
      </w:r>
      <w:r>
        <w:rPr>
          <w:rFonts w:eastAsia="Times New Roman" w:cs="Times New Roman"/>
          <w:b/>
          <w:bCs/>
        </w:rPr>
        <w:t xml:space="preserve">of </w:t>
      </w:r>
      <w:r>
        <w:rPr>
          <w:rFonts w:eastAsia="Times New Roman" w:cs="Times New Roman" w:hint="eastAsia"/>
          <w:b/>
          <w:bCs/>
        </w:rPr>
        <w:t xml:space="preserve">unimodal </w:t>
      </w:r>
      <w:r>
        <w:rPr>
          <w:rFonts w:eastAsia="Times New Roman" w:cs="Times New Roman"/>
          <w:b/>
          <w:bCs/>
        </w:rPr>
        <w:t>vision</w:t>
      </w:r>
      <w:r>
        <w:rPr>
          <w:rFonts w:eastAsia="Times New Roman" w:cs="Times New Roman" w:hint="eastAsia"/>
          <w:b/>
          <w:bCs/>
        </w:rPr>
        <w:t>-based</w:t>
      </w:r>
      <w:r>
        <w:rPr>
          <w:rFonts w:eastAsia="Times New Roman" w:cs="Times New Roman"/>
          <w:b/>
          <w:bCs/>
        </w:rPr>
        <w:t>, language</w:t>
      </w:r>
      <w:r>
        <w:rPr>
          <w:rFonts w:eastAsia="Times New Roman" w:cs="Times New Roman" w:hint="eastAsia"/>
          <w:b/>
          <w:bCs/>
        </w:rPr>
        <w:t>-based</w:t>
      </w:r>
      <w:r>
        <w:rPr>
          <w:rFonts w:eastAsia="Times New Roman" w:cs="Times New Roman"/>
          <w:b/>
          <w:bCs/>
        </w:rPr>
        <w:t xml:space="preserve"> and multimodal models</w:t>
      </w:r>
      <w:r>
        <w:rPr>
          <w:rFonts w:eastAsia="Times New Roman" w:cs="Times New Roman" w:hint="eastAsia"/>
          <w:b/>
          <w:bCs/>
        </w:rPr>
        <w:t xml:space="preserve"> for an exemplar subject.</w:t>
      </w:r>
      <w:r>
        <w:rPr>
          <w:rFonts w:eastAsia="Times New Roman" w:cs="Times New Roman" w:hint="eastAsia"/>
        </w:rPr>
        <w:t xml:space="preserve"> </w:t>
      </w:r>
    </w:p>
    <w:p w14:paraId="36B74AFB" w14:textId="77777777" w:rsidR="005E7693" w:rsidRDefault="005E7693" w:rsidP="005E7693">
      <w:pPr>
        <w:rPr>
          <w:rFonts w:eastAsia="Times New Roman" w:cs="Times New Roman"/>
        </w:rPr>
      </w:pPr>
      <w:r>
        <w:rPr>
          <w:rFonts w:eastAsia="Times New Roman" w:cs="Times New Roman" w:hint="eastAsia"/>
        </w:rPr>
        <w:t>For each encoding model, we evaluated the minimum, median and maximum correlations (</w:t>
      </w:r>
      <w:r>
        <w:rPr>
          <w:rFonts w:eastAsia="Times New Roman" w:cs="Times New Roman" w:hint="eastAsia"/>
          <w:i/>
          <w:iCs/>
        </w:rPr>
        <w:t>r</w:t>
      </w:r>
      <w:r>
        <w:rPr>
          <w:rFonts w:eastAsia="Times New Roman" w:cs="Times New Roman" w:hint="eastAsia"/>
        </w:rPr>
        <w:t xml:space="preserve">) of the top 1% best-predicted cortical vertices. Only </w:t>
      </w:r>
      <w:r>
        <w:rPr>
          <w:rFonts w:cs="Times New Roman" w:hint="eastAsia"/>
        </w:rPr>
        <w:t>significant predictions</w:t>
      </w:r>
      <w:r>
        <w:rPr>
          <w:rFonts w:eastAsia="Times New Roman" w:cs="Times New Roman" w:hint="eastAsia"/>
        </w:rPr>
        <w:t xml:space="preserve"> (FDR-corrected p &lt; 0.01) were reported here. We evaluated hemispheric lateralization of encoding models with the LI index, </w:t>
      </w:r>
      <w:r>
        <w:t>rang</w:t>
      </w:r>
      <w:r>
        <w:rPr>
          <w:rFonts w:hint="eastAsia"/>
        </w:rPr>
        <w:t>ing</w:t>
      </w:r>
      <w:r>
        <w:t xml:space="preserve"> from </w:t>
      </w:r>
      <w:r>
        <w:rPr>
          <w:rFonts w:hint="eastAsia"/>
        </w:rPr>
        <w:t>-</w:t>
      </w:r>
      <w:r>
        <w:t xml:space="preserve">1 (right dominant) to </w:t>
      </w:r>
      <w:r>
        <w:rPr>
          <w:rFonts w:hint="eastAsia"/>
        </w:rPr>
        <w:t>+</w:t>
      </w:r>
      <w:r>
        <w:t>1 (left dominant)</w:t>
      </w:r>
      <w:r>
        <w:rPr>
          <w:rFonts w:eastAsia="Times New Roman" w:cs="Times New Roman" w:hint="eastAsia"/>
        </w:rPr>
        <w:t xml:space="preserve">. Language and multimodal encoding models exhibited strong </w:t>
      </w:r>
      <w:r>
        <w:rPr>
          <w:rFonts w:hint="eastAsia"/>
        </w:rPr>
        <w:t>left-hemisphere lateralization</w:t>
      </w:r>
      <w:r>
        <w:rPr>
          <w:rFonts w:eastAsia="Times New Roman" w:cs="Times New Roman" w:hint="eastAsia"/>
        </w:rPr>
        <w:t xml:space="preserve">, whereas visual models were bilateral or right-lateralized. </w:t>
      </w:r>
    </w:p>
    <w:tbl>
      <w:tblPr>
        <w:tblStyle w:val="PlainTable21"/>
        <w:tblW w:w="9733" w:type="dxa"/>
        <w:tblInd w:w="-235" w:type="dxa"/>
        <w:tblBorders>
          <w:top w:val="single" w:sz="12" w:space="0" w:color="auto"/>
          <w:bottom w:val="single" w:sz="12" w:space="0" w:color="auto"/>
        </w:tblBorders>
        <w:tblLayout w:type="fixed"/>
        <w:tblLook w:val="04A0" w:firstRow="1" w:lastRow="0" w:firstColumn="1" w:lastColumn="0" w:noHBand="0" w:noVBand="1"/>
      </w:tblPr>
      <w:tblGrid>
        <w:gridCol w:w="1700"/>
        <w:gridCol w:w="1178"/>
        <w:gridCol w:w="1534"/>
        <w:gridCol w:w="706"/>
        <w:gridCol w:w="950"/>
        <w:gridCol w:w="931"/>
        <w:gridCol w:w="762"/>
        <w:gridCol w:w="960"/>
        <w:gridCol w:w="1012"/>
      </w:tblGrid>
      <w:tr w:rsidR="005E7693" w14:paraId="495BA8FC" w14:textId="77777777" w:rsidTr="007F2443">
        <w:trPr>
          <w:cnfStyle w:val="100000000000" w:firstRow="1" w:lastRow="0" w:firstColumn="0" w:lastColumn="0" w:oddVBand="0" w:evenVBand="0" w:oddHBand="0"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1700" w:type="dxa"/>
            <w:vMerge w:val="restart"/>
            <w:tcBorders>
              <w:top w:val="single" w:sz="12" w:space="0" w:color="auto"/>
              <w:bottom w:val="single" w:sz="4" w:space="0" w:color="auto"/>
            </w:tcBorders>
          </w:tcPr>
          <w:p w14:paraId="30C453C7" w14:textId="77777777" w:rsidR="005E7693" w:rsidRDefault="005E7693" w:rsidP="007F2443">
            <w:pPr>
              <w:rPr>
                <w:b w:val="0"/>
                <w:bCs w:val="0"/>
              </w:rPr>
            </w:pPr>
            <w:r>
              <w:rPr>
                <w:rFonts w:hint="eastAsia"/>
              </w:rPr>
              <w:t>Model</w:t>
            </w:r>
          </w:p>
        </w:tc>
        <w:tc>
          <w:tcPr>
            <w:tcW w:w="1178" w:type="dxa"/>
            <w:vMerge w:val="restart"/>
            <w:tcBorders>
              <w:top w:val="single" w:sz="12" w:space="0" w:color="auto"/>
              <w:bottom w:val="single" w:sz="4" w:space="0" w:color="auto"/>
            </w:tcBorders>
          </w:tcPr>
          <w:p w14:paraId="76CED5E7" w14:textId="77777777" w:rsidR="005E7693" w:rsidRDefault="005E7693" w:rsidP="007F2443">
            <w:pPr>
              <w:jc w:val="center"/>
              <w:cnfStyle w:val="100000000000" w:firstRow="1" w:lastRow="0" w:firstColumn="0" w:lastColumn="0" w:oddVBand="0" w:evenVBand="0" w:oddHBand="0" w:evenHBand="0" w:firstRowFirstColumn="0" w:firstRowLastColumn="0" w:lastRowFirstColumn="0" w:lastRowLastColumn="0"/>
              <w:rPr>
                <w:b w:val="0"/>
                <w:bCs w:val="0"/>
              </w:rPr>
            </w:pPr>
            <w:r>
              <w:rPr>
                <w:b w:val="0"/>
              </w:rPr>
              <w:t>Modality</w:t>
            </w:r>
          </w:p>
        </w:tc>
        <w:tc>
          <w:tcPr>
            <w:tcW w:w="1534" w:type="dxa"/>
            <w:vMerge w:val="restart"/>
            <w:tcBorders>
              <w:top w:val="single" w:sz="12" w:space="0" w:color="auto"/>
              <w:bottom w:val="single" w:sz="4" w:space="0" w:color="auto"/>
            </w:tcBorders>
          </w:tcPr>
          <w:p w14:paraId="77F0EC3C" w14:textId="77777777" w:rsidR="005E7693" w:rsidRDefault="005E7693" w:rsidP="007F2443">
            <w:pPr>
              <w:jc w:val="center"/>
              <w:cnfStyle w:val="100000000000" w:firstRow="1" w:lastRow="0" w:firstColumn="0" w:lastColumn="0" w:oddVBand="0" w:evenVBand="0" w:oddHBand="0" w:evenHBand="0" w:firstRowFirstColumn="0" w:firstRowLastColumn="0" w:lastRowFirstColumn="0" w:lastRowLastColumn="0"/>
              <w:rPr>
                <w:bCs w:val="0"/>
              </w:rPr>
            </w:pPr>
            <w:r>
              <w:rPr>
                <w:rFonts w:hint="eastAsia"/>
                <w:b w:val="0"/>
              </w:rPr>
              <w:t>Features</w:t>
            </w:r>
          </w:p>
        </w:tc>
        <w:tc>
          <w:tcPr>
            <w:tcW w:w="706" w:type="dxa"/>
            <w:vMerge w:val="restart"/>
            <w:tcBorders>
              <w:top w:val="single" w:sz="12" w:space="0" w:color="auto"/>
              <w:bottom w:val="single" w:sz="4" w:space="0" w:color="auto"/>
            </w:tcBorders>
          </w:tcPr>
          <w:p w14:paraId="70A3BA99" w14:textId="77777777" w:rsidR="005E7693" w:rsidRDefault="005E7693" w:rsidP="007F2443">
            <w:pPr>
              <w:jc w:val="center"/>
              <w:cnfStyle w:val="100000000000" w:firstRow="1" w:lastRow="0" w:firstColumn="0" w:lastColumn="0" w:oddVBand="0" w:evenVBand="0" w:oddHBand="0" w:evenHBand="0" w:firstRowFirstColumn="0" w:firstRowLastColumn="0" w:lastRowFirstColumn="0" w:lastRowLastColumn="0"/>
              <w:rPr>
                <w:bCs w:val="0"/>
              </w:rPr>
            </w:pPr>
            <w:r>
              <w:rPr>
                <w:rFonts w:hint="eastAsia"/>
                <w:b w:val="0"/>
              </w:rPr>
              <w:t>Dim.</w:t>
            </w:r>
          </w:p>
        </w:tc>
        <w:tc>
          <w:tcPr>
            <w:tcW w:w="950" w:type="dxa"/>
            <w:vMerge w:val="restart"/>
            <w:tcBorders>
              <w:top w:val="single" w:sz="12" w:space="0" w:color="auto"/>
              <w:bottom w:val="single" w:sz="4" w:space="0" w:color="auto"/>
            </w:tcBorders>
          </w:tcPr>
          <w:p w14:paraId="543A62B6" w14:textId="77777777" w:rsidR="005E7693" w:rsidRDefault="005E7693" w:rsidP="007F2443">
            <w:pPr>
              <w:jc w:val="center"/>
              <w:cnfStyle w:val="100000000000" w:firstRow="1" w:lastRow="0" w:firstColumn="0" w:lastColumn="0" w:oddVBand="0" w:evenVBand="0" w:oddHBand="0" w:evenHBand="0" w:firstRowFirstColumn="0" w:firstRowLastColumn="0" w:lastRowFirstColumn="0" w:lastRowLastColumn="0"/>
              <w:rPr>
                <w:rFonts w:eastAsia="Times New Roman"/>
              </w:rPr>
            </w:pPr>
            <w:r>
              <w:rPr>
                <w:rFonts w:hint="eastAsia"/>
                <w:b w:val="0"/>
              </w:rPr>
              <w:t>%Sig.  Prediction</w:t>
            </w:r>
          </w:p>
        </w:tc>
        <w:tc>
          <w:tcPr>
            <w:tcW w:w="3665" w:type="dxa"/>
            <w:gridSpan w:val="4"/>
            <w:tcBorders>
              <w:top w:val="single" w:sz="12" w:space="0" w:color="auto"/>
              <w:bottom w:val="single" w:sz="4" w:space="0" w:color="auto"/>
            </w:tcBorders>
          </w:tcPr>
          <w:p w14:paraId="5EE9C5F1" w14:textId="77777777" w:rsidR="005E7693" w:rsidRDefault="005E7693" w:rsidP="007F2443">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rPr>
            </w:pPr>
            <w:r>
              <w:rPr>
                <w:rFonts w:eastAsia="Times New Roman" w:hint="eastAsia"/>
              </w:rPr>
              <w:t>P</w:t>
            </w:r>
            <w:r>
              <w:rPr>
                <w:rFonts w:eastAsia="Times New Roman"/>
              </w:rPr>
              <w:t>redict</w:t>
            </w:r>
            <w:r>
              <w:rPr>
                <w:rFonts w:eastAsia="Times New Roman" w:hint="eastAsia"/>
              </w:rPr>
              <w:t>ion accuracy (top 1%)</w:t>
            </w:r>
          </w:p>
        </w:tc>
      </w:tr>
      <w:tr w:rsidR="005E7693" w14:paraId="1C7E2321" w14:textId="77777777" w:rsidTr="007F2443">
        <w:trPr>
          <w:trHeight w:val="430"/>
        </w:trPr>
        <w:tc>
          <w:tcPr>
            <w:cnfStyle w:val="001000000000" w:firstRow="0" w:lastRow="0" w:firstColumn="1" w:lastColumn="0" w:oddVBand="0" w:evenVBand="0" w:oddHBand="0" w:evenHBand="0" w:firstRowFirstColumn="0" w:firstRowLastColumn="0" w:lastRowFirstColumn="0" w:lastRowLastColumn="0"/>
            <w:tcW w:w="1700" w:type="dxa"/>
            <w:vMerge/>
            <w:tcBorders>
              <w:top w:val="single" w:sz="4" w:space="0" w:color="auto"/>
              <w:bottom w:val="single" w:sz="12" w:space="0" w:color="auto"/>
            </w:tcBorders>
          </w:tcPr>
          <w:p w14:paraId="5C6E9DBE" w14:textId="77777777" w:rsidR="005E7693" w:rsidRDefault="005E7693" w:rsidP="007F2443">
            <w:pPr>
              <w:rPr>
                <w:b w:val="0"/>
                <w:bCs w:val="0"/>
              </w:rPr>
            </w:pPr>
          </w:p>
        </w:tc>
        <w:tc>
          <w:tcPr>
            <w:tcW w:w="1178" w:type="dxa"/>
            <w:vMerge/>
            <w:tcBorders>
              <w:top w:val="single" w:sz="4" w:space="0" w:color="auto"/>
              <w:bottom w:val="single" w:sz="12" w:space="0" w:color="auto"/>
            </w:tcBorders>
          </w:tcPr>
          <w:p w14:paraId="1AA665D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p>
        </w:tc>
        <w:tc>
          <w:tcPr>
            <w:tcW w:w="1534" w:type="dxa"/>
            <w:vMerge/>
            <w:tcBorders>
              <w:top w:val="single" w:sz="4" w:space="0" w:color="auto"/>
              <w:bottom w:val="single" w:sz="12" w:space="0" w:color="auto"/>
            </w:tcBorders>
          </w:tcPr>
          <w:p w14:paraId="7C9D4DC1"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p>
        </w:tc>
        <w:tc>
          <w:tcPr>
            <w:tcW w:w="706" w:type="dxa"/>
            <w:vMerge/>
            <w:tcBorders>
              <w:top w:val="single" w:sz="4" w:space="0" w:color="auto"/>
              <w:bottom w:val="single" w:sz="12" w:space="0" w:color="auto"/>
            </w:tcBorders>
          </w:tcPr>
          <w:p w14:paraId="39BCD9DA"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p>
        </w:tc>
        <w:tc>
          <w:tcPr>
            <w:tcW w:w="950" w:type="dxa"/>
            <w:vMerge/>
            <w:tcBorders>
              <w:top w:val="single" w:sz="4" w:space="0" w:color="auto"/>
              <w:bottom w:val="single" w:sz="12" w:space="0" w:color="auto"/>
            </w:tcBorders>
          </w:tcPr>
          <w:p w14:paraId="1CFE5A09"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p>
        </w:tc>
        <w:tc>
          <w:tcPr>
            <w:tcW w:w="931" w:type="dxa"/>
            <w:tcBorders>
              <w:top w:val="single" w:sz="4" w:space="0" w:color="auto"/>
              <w:bottom w:val="single" w:sz="12" w:space="0" w:color="auto"/>
            </w:tcBorders>
          </w:tcPr>
          <w:p w14:paraId="64D0DCF0"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r>
              <w:rPr>
                <w:bCs/>
              </w:rPr>
              <w:t>Minimum</w:t>
            </w:r>
            <w:r>
              <w:rPr>
                <w:rFonts w:hint="eastAsia"/>
                <w:bCs/>
              </w:rPr>
              <w:t xml:space="preserve"> </w:t>
            </w:r>
            <w:r>
              <w:rPr>
                <w:rFonts w:eastAsia="Times New Roman" w:hint="eastAsia"/>
              </w:rPr>
              <w:t>(</w:t>
            </w:r>
            <w:r>
              <w:rPr>
                <w:rFonts w:eastAsia="Times New Roman" w:hint="eastAsia"/>
                <w:i/>
                <w:iCs/>
              </w:rPr>
              <w:t>r</w:t>
            </w:r>
            <w:r>
              <w:rPr>
                <w:rFonts w:eastAsia="Times New Roman" w:hint="eastAsia"/>
              </w:rPr>
              <w:t>)</w:t>
            </w:r>
          </w:p>
        </w:tc>
        <w:tc>
          <w:tcPr>
            <w:tcW w:w="762" w:type="dxa"/>
            <w:tcBorders>
              <w:top w:val="single" w:sz="4" w:space="0" w:color="auto"/>
              <w:bottom w:val="single" w:sz="12" w:space="0" w:color="auto"/>
            </w:tcBorders>
          </w:tcPr>
          <w:p w14:paraId="3BB8E2F1"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r>
              <w:rPr>
                <w:bCs/>
              </w:rPr>
              <w:t>Median</w:t>
            </w:r>
            <w:r>
              <w:rPr>
                <w:rFonts w:hint="eastAsia"/>
                <w:bCs/>
              </w:rPr>
              <w:t xml:space="preserve"> </w:t>
            </w:r>
            <w:r>
              <w:rPr>
                <w:rFonts w:eastAsia="Times New Roman" w:hint="eastAsia"/>
              </w:rPr>
              <w:t>(</w:t>
            </w:r>
            <w:r>
              <w:rPr>
                <w:rFonts w:eastAsia="Times New Roman" w:hint="eastAsia"/>
                <w:i/>
                <w:iCs/>
              </w:rPr>
              <w:t>r</w:t>
            </w:r>
            <w:r>
              <w:rPr>
                <w:rFonts w:eastAsia="Times New Roman" w:hint="eastAsia"/>
              </w:rPr>
              <w:t>)</w:t>
            </w:r>
          </w:p>
        </w:tc>
        <w:tc>
          <w:tcPr>
            <w:tcW w:w="960" w:type="dxa"/>
            <w:tcBorders>
              <w:top w:val="single" w:sz="4" w:space="0" w:color="auto"/>
              <w:bottom w:val="single" w:sz="12" w:space="0" w:color="auto"/>
            </w:tcBorders>
          </w:tcPr>
          <w:p w14:paraId="3EE705C7"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r>
              <w:rPr>
                <w:bCs/>
              </w:rPr>
              <w:t>Maximum</w:t>
            </w:r>
            <w:r>
              <w:rPr>
                <w:rFonts w:hint="eastAsia"/>
                <w:bCs/>
              </w:rPr>
              <w:t xml:space="preserve"> </w:t>
            </w:r>
            <w:r>
              <w:rPr>
                <w:rFonts w:eastAsia="Times New Roman" w:hint="eastAsia"/>
              </w:rPr>
              <w:t>(</w:t>
            </w:r>
            <w:r>
              <w:rPr>
                <w:rFonts w:eastAsia="Times New Roman" w:hint="eastAsia"/>
                <w:i/>
                <w:iCs/>
              </w:rPr>
              <w:t>r</w:t>
            </w:r>
            <w:r>
              <w:rPr>
                <w:rFonts w:eastAsia="Times New Roman" w:hint="eastAsia"/>
              </w:rPr>
              <w:t>)</w:t>
            </w:r>
          </w:p>
        </w:tc>
        <w:tc>
          <w:tcPr>
            <w:tcW w:w="1012" w:type="dxa"/>
            <w:tcBorders>
              <w:top w:val="single" w:sz="4" w:space="0" w:color="auto"/>
              <w:bottom w:val="single" w:sz="12" w:space="0" w:color="auto"/>
            </w:tcBorders>
          </w:tcPr>
          <w:p w14:paraId="3FD56F0C"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LI index</w:t>
            </w:r>
          </w:p>
          <w:p w14:paraId="7A11EB55" w14:textId="77777777" w:rsidR="005E7693" w:rsidRDefault="005E7693" w:rsidP="007F2443">
            <w:pPr>
              <w:spacing w:line="240" w:lineRule="auto"/>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median</w:t>
            </w:r>
          </w:p>
        </w:tc>
      </w:tr>
      <w:tr w:rsidR="005E7693" w14:paraId="79333980" w14:textId="77777777" w:rsidTr="007F2443">
        <w:trPr>
          <w:trHeight w:val="491"/>
        </w:trPr>
        <w:tc>
          <w:tcPr>
            <w:cnfStyle w:val="001000000000" w:firstRow="0" w:lastRow="0" w:firstColumn="1" w:lastColumn="0" w:oddVBand="0" w:evenVBand="0" w:oddHBand="0" w:evenHBand="0" w:firstRowFirstColumn="0" w:firstRowLastColumn="0" w:lastRowFirstColumn="0" w:lastRowLastColumn="0"/>
            <w:tcW w:w="1700" w:type="dxa"/>
            <w:tcBorders>
              <w:top w:val="single" w:sz="12" w:space="0" w:color="auto"/>
              <w:bottom w:val="nil"/>
            </w:tcBorders>
            <w:vAlign w:val="center"/>
          </w:tcPr>
          <w:p w14:paraId="2E165738" w14:textId="77777777" w:rsidR="005E7693" w:rsidRDefault="005E7693" w:rsidP="007F2443">
            <w:pPr>
              <w:rPr>
                <w:bCs w:val="0"/>
              </w:rPr>
            </w:pPr>
            <w:r>
              <w:rPr>
                <w:b w:val="0"/>
              </w:rPr>
              <w:t>ResNet</w:t>
            </w:r>
            <w:r>
              <w:rPr>
                <w:rFonts w:hint="eastAsia"/>
                <w:b w:val="0"/>
              </w:rPr>
              <w:t>50</w:t>
            </w:r>
            <w:r>
              <w:rPr>
                <w:b w:val="0"/>
              </w:rPr>
              <w:t>-</w:t>
            </w:r>
            <w:r>
              <w:rPr>
                <w:rFonts w:hint="eastAsia"/>
                <w:b w:val="0"/>
              </w:rPr>
              <w:t>b</w:t>
            </w:r>
            <w:r>
              <w:rPr>
                <w:b w:val="0"/>
              </w:rPr>
              <w:t>lock3</w:t>
            </w:r>
          </w:p>
        </w:tc>
        <w:tc>
          <w:tcPr>
            <w:tcW w:w="1178" w:type="dxa"/>
            <w:tcBorders>
              <w:top w:val="single" w:sz="12" w:space="0" w:color="auto"/>
              <w:bottom w:val="nil"/>
            </w:tcBorders>
            <w:vAlign w:val="center"/>
          </w:tcPr>
          <w:p w14:paraId="2A1CDBF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Vision</w:t>
            </w:r>
          </w:p>
        </w:tc>
        <w:tc>
          <w:tcPr>
            <w:tcW w:w="1534" w:type="dxa"/>
            <w:tcBorders>
              <w:top w:val="single" w:sz="12" w:space="0" w:color="auto"/>
              <w:bottom w:val="nil"/>
            </w:tcBorders>
            <w:vAlign w:val="center"/>
          </w:tcPr>
          <w:p w14:paraId="302F0CF6"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Image</w:t>
            </w:r>
          </w:p>
        </w:tc>
        <w:tc>
          <w:tcPr>
            <w:tcW w:w="706" w:type="dxa"/>
            <w:tcBorders>
              <w:top w:val="single" w:sz="12" w:space="0" w:color="auto"/>
              <w:bottom w:val="nil"/>
            </w:tcBorders>
            <w:vAlign w:val="center"/>
          </w:tcPr>
          <w:p w14:paraId="181113BC"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100k</w:t>
            </w:r>
          </w:p>
        </w:tc>
        <w:tc>
          <w:tcPr>
            <w:tcW w:w="950" w:type="dxa"/>
            <w:tcBorders>
              <w:top w:val="single" w:sz="12" w:space="0" w:color="auto"/>
              <w:bottom w:val="nil"/>
            </w:tcBorders>
            <w:vAlign w:val="center"/>
          </w:tcPr>
          <w:p w14:paraId="622EC90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12.44%</w:t>
            </w:r>
          </w:p>
        </w:tc>
        <w:tc>
          <w:tcPr>
            <w:tcW w:w="931" w:type="dxa"/>
            <w:tcBorders>
              <w:top w:val="single" w:sz="12" w:space="0" w:color="auto"/>
              <w:bottom w:val="nil"/>
            </w:tcBorders>
            <w:vAlign w:val="center"/>
          </w:tcPr>
          <w:p w14:paraId="37E2A7B9"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0.25</w:t>
            </w:r>
            <w:r>
              <w:t>9</w:t>
            </w:r>
          </w:p>
        </w:tc>
        <w:tc>
          <w:tcPr>
            <w:tcW w:w="762" w:type="dxa"/>
            <w:tcBorders>
              <w:top w:val="single" w:sz="12" w:space="0" w:color="auto"/>
              <w:bottom w:val="nil"/>
            </w:tcBorders>
            <w:vAlign w:val="center"/>
          </w:tcPr>
          <w:p w14:paraId="0D49350F"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0.274</w:t>
            </w:r>
          </w:p>
        </w:tc>
        <w:tc>
          <w:tcPr>
            <w:tcW w:w="960" w:type="dxa"/>
            <w:tcBorders>
              <w:top w:val="single" w:sz="12" w:space="0" w:color="auto"/>
              <w:bottom w:val="nil"/>
            </w:tcBorders>
            <w:vAlign w:val="center"/>
          </w:tcPr>
          <w:p w14:paraId="4C85338D"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0.3678</w:t>
            </w:r>
          </w:p>
        </w:tc>
        <w:tc>
          <w:tcPr>
            <w:tcW w:w="1012" w:type="dxa"/>
            <w:tcBorders>
              <w:top w:val="single" w:sz="12" w:space="0" w:color="auto"/>
              <w:bottom w:val="nil"/>
            </w:tcBorders>
            <w:vAlign w:val="center"/>
          </w:tcPr>
          <w:p w14:paraId="2D177D6B"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−0.0018</w:t>
            </w:r>
          </w:p>
        </w:tc>
      </w:tr>
      <w:tr w:rsidR="005E7693" w14:paraId="343A83CB" w14:textId="77777777" w:rsidTr="007F2443">
        <w:trPr>
          <w:trHeight w:val="636"/>
        </w:trPr>
        <w:tc>
          <w:tcPr>
            <w:cnfStyle w:val="001000000000" w:firstRow="0" w:lastRow="0" w:firstColumn="1" w:lastColumn="0" w:oddVBand="0" w:evenVBand="0" w:oddHBand="0" w:evenHBand="0" w:firstRowFirstColumn="0" w:firstRowLastColumn="0" w:lastRowFirstColumn="0" w:lastRowLastColumn="0"/>
            <w:tcW w:w="1700" w:type="dxa"/>
            <w:tcBorders>
              <w:top w:val="nil"/>
              <w:bottom w:val="nil"/>
            </w:tcBorders>
            <w:vAlign w:val="center"/>
          </w:tcPr>
          <w:p w14:paraId="3D31D637" w14:textId="77777777" w:rsidR="005E7693" w:rsidRDefault="005E7693" w:rsidP="007F2443">
            <w:pPr>
              <w:rPr>
                <w:bCs w:val="0"/>
              </w:rPr>
            </w:pPr>
            <w:r>
              <w:rPr>
                <w:rFonts w:hint="eastAsia"/>
                <w:b w:val="0"/>
              </w:rPr>
              <w:t>ViT-B/16</w:t>
            </w:r>
          </w:p>
        </w:tc>
        <w:tc>
          <w:tcPr>
            <w:tcW w:w="1178" w:type="dxa"/>
            <w:tcBorders>
              <w:top w:val="nil"/>
              <w:bottom w:val="nil"/>
            </w:tcBorders>
            <w:vAlign w:val="center"/>
          </w:tcPr>
          <w:p w14:paraId="3BF3D96B"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Vision</w:t>
            </w:r>
          </w:p>
        </w:tc>
        <w:tc>
          <w:tcPr>
            <w:tcW w:w="1534" w:type="dxa"/>
            <w:tcBorders>
              <w:top w:val="nil"/>
              <w:bottom w:val="nil"/>
            </w:tcBorders>
            <w:vAlign w:val="center"/>
          </w:tcPr>
          <w:p w14:paraId="14E8A4C2"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Image</w:t>
            </w:r>
          </w:p>
        </w:tc>
        <w:tc>
          <w:tcPr>
            <w:tcW w:w="706" w:type="dxa"/>
            <w:tcBorders>
              <w:top w:val="nil"/>
              <w:bottom w:val="nil"/>
            </w:tcBorders>
            <w:vAlign w:val="center"/>
          </w:tcPr>
          <w:p w14:paraId="3C055382"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768</w:t>
            </w:r>
          </w:p>
        </w:tc>
        <w:tc>
          <w:tcPr>
            <w:tcW w:w="950" w:type="dxa"/>
            <w:tcBorders>
              <w:top w:val="nil"/>
              <w:bottom w:val="nil"/>
            </w:tcBorders>
            <w:vAlign w:val="center"/>
          </w:tcPr>
          <w:p w14:paraId="33618270"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23.93%</w:t>
            </w:r>
          </w:p>
        </w:tc>
        <w:tc>
          <w:tcPr>
            <w:tcW w:w="931" w:type="dxa"/>
            <w:tcBorders>
              <w:top w:val="nil"/>
              <w:bottom w:val="nil"/>
            </w:tcBorders>
            <w:vAlign w:val="center"/>
          </w:tcPr>
          <w:p w14:paraId="3ED5BEDB"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0.276</w:t>
            </w:r>
          </w:p>
        </w:tc>
        <w:tc>
          <w:tcPr>
            <w:tcW w:w="762" w:type="dxa"/>
            <w:tcBorders>
              <w:top w:val="nil"/>
              <w:bottom w:val="nil"/>
            </w:tcBorders>
            <w:vAlign w:val="center"/>
          </w:tcPr>
          <w:p w14:paraId="2907ABEE"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0.294</w:t>
            </w:r>
          </w:p>
        </w:tc>
        <w:tc>
          <w:tcPr>
            <w:tcW w:w="960" w:type="dxa"/>
            <w:tcBorders>
              <w:top w:val="nil"/>
              <w:bottom w:val="nil"/>
            </w:tcBorders>
            <w:vAlign w:val="center"/>
          </w:tcPr>
          <w:p w14:paraId="265B912B"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0.44</w:t>
            </w:r>
            <w:r>
              <w:t>2</w:t>
            </w:r>
          </w:p>
        </w:tc>
        <w:tc>
          <w:tcPr>
            <w:tcW w:w="1012" w:type="dxa"/>
            <w:tcBorders>
              <w:top w:val="nil"/>
              <w:bottom w:val="nil"/>
            </w:tcBorders>
            <w:vAlign w:val="center"/>
          </w:tcPr>
          <w:p w14:paraId="21DCF1F2"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−0.0415</w:t>
            </w:r>
          </w:p>
        </w:tc>
      </w:tr>
      <w:tr w:rsidR="005E7693" w14:paraId="3213BBCE" w14:textId="77777777" w:rsidTr="007F2443">
        <w:trPr>
          <w:trHeight w:val="854"/>
        </w:trPr>
        <w:tc>
          <w:tcPr>
            <w:cnfStyle w:val="001000000000" w:firstRow="0" w:lastRow="0" w:firstColumn="1" w:lastColumn="0" w:oddVBand="0" w:evenVBand="0" w:oddHBand="0" w:evenHBand="0" w:firstRowFirstColumn="0" w:firstRowLastColumn="0" w:lastRowFirstColumn="0" w:lastRowLastColumn="0"/>
            <w:tcW w:w="1700" w:type="dxa"/>
            <w:tcBorders>
              <w:top w:val="nil"/>
              <w:bottom w:val="nil"/>
            </w:tcBorders>
            <w:vAlign w:val="center"/>
          </w:tcPr>
          <w:p w14:paraId="43DEC309" w14:textId="77777777" w:rsidR="005E7693" w:rsidRDefault="005E7693" w:rsidP="007F2443">
            <w:pPr>
              <w:rPr>
                <w:bCs w:val="0"/>
              </w:rPr>
            </w:pPr>
            <w:r>
              <w:rPr>
                <w:rFonts w:hint="eastAsia"/>
                <w:b w:val="0"/>
              </w:rPr>
              <w:t>MultiHot (COCO things)</w:t>
            </w:r>
          </w:p>
        </w:tc>
        <w:tc>
          <w:tcPr>
            <w:tcW w:w="1178" w:type="dxa"/>
            <w:tcBorders>
              <w:top w:val="nil"/>
              <w:bottom w:val="nil"/>
            </w:tcBorders>
            <w:vAlign w:val="center"/>
          </w:tcPr>
          <w:p w14:paraId="53ED044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Language</w:t>
            </w:r>
          </w:p>
        </w:tc>
        <w:tc>
          <w:tcPr>
            <w:tcW w:w="1534" w:type="dxa"/>
            <w:tcBorders>
              <w:top w:val="nil"/>
              <w:bottom w:val="nil"/>
            </w:tcBorders>
            <w:vAlign w:val="center"/>
          </w:tcPr>
          <w:p w14:paraId="46C96FEE"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Label</w:t>
            </w:r>
          </w:p>
        </w:tc>
        <w:tc>
          <w:tcPr>
            <w:tcW w:w="706" w:type="dxa"/>
            <w:tcBorders>
              <w:top w:val="nil"/>
              <w:bottom w:val="nil"/>
            </w:tcBorders>
            <w:vAlign w:val="center"/>
          </w:tcPr>
          <w:p w14:paraId="38D7E56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80</w:t>
            </w:r>
          </w:p>
        </w:tc>
        <w:tc>
          <w:tcPr>
            <w:tcW w:w="950" w:type="dxa"/>
            <w:tcBorders>
              <w:top w:val="nil"/>
              <w:bottom w:val="nil"/>
            </w:tcBorders>
            <w:vAlign w:val="center"/>
          </w:tcPr>
          <w:p w14:paraId="4D87DE5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42.59%</w:t>
            </w:r>
          </w:p>
        </w:tc>
        <w:tc>
          <w:tcPr>
            <w:tcW w:w="931" w:type="dxa"/>
            <w:tcBorders>
              <w:top w:val="nil"/>
              <w:bottom w:val="nil"/>
            </w:tcBorders>
            <w:vAlign w:val="center"/>
          </w:tcPr>
          <w:p w14:paraId="706934C6"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0.461</w:t>
            </w:r>
          </w:p>
        </w:tc>
        <w:tc>
          <w:tcPr>
            <w:tcW w:w="762" w:type="dxa"/>
            <w:tcBorders>
              <w:top w:val="nil"/>
              <w:bottom w:val="nil"/>
            </w:tcBorders>
            <w:vAlign w:val="center"/>
          </w:tcPr>
          <w:p w14:paraId="0F1A7E3A"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0.508</w:t>
            </w:r>
          </w:p>
        </w:tc>
        <w:tc>
          <w:tcPr>
            <w:tcW w:w="960" w:type="dxa"/>
            <w:tcBorders>
              <w:top w:val="nil"/>
              <w:bottom w:val="nil"/>
            </w:tcBorders>
            <w:vAlign w:val="center"/>
          </w:tcPr>
          <w:p w14:paraId="066938F0"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0.671</w:t>
            </w:r>
          </w:p>
        </w:tc>
        <w:tc>
          <w:tcPr>
            <w:tcW w:w="1012" w:type="dxa"/>
            <w:tcBorders>
              <w:top w:val="nil"/>
              <w:bottom w:val="nil"/>
            </w:tcBorders>
            <w:vAlign w:val="center"/>
          </w:tcPr>
          <w:p w14:paraId="0DB9F5B4"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0.0609</w:t>
            </w:r>
          </w:p>
        </w:tc>
      </w:tr>
      <w:tr w:rsidR="005E7693" w14:paraId="7DDE0008" w14:textId="77777777" w:rsidTr="007F2443">
        <w:trPr>
          <w:trHeight w:val="662"/>
        </w:trPr>
        <w:tc>
          <w:tcPr>
            <w:cnfStyle w:val="001000000000" w:firstRow="0" w:lastRow="0" w:firstColumn="1" w:lastColumn="0" w:oddVBand="0" w:evenVBand="0" w:oddHBand="0" w:evenHBand="0" w:firstRowFirstColumn="0" w:firstRowLastColumn="0" w:lastRowFirstColumn="0" w:lastRowLastColumn="0"/>
            <w:tcW w:w="1700" w:type="dxa"/>
            <w:tcBorders>
              <w:top w:val="nil"/>
              <w:bottom w:val="nil"/>
            </w:tcBorders>
            <w:vAlign w:val="center"/>
          </w:tcPr>
          <w:p w14:paraId="3A189744" w14:textId="77777777" w:rsidR="005E7693" w:rsidRDefault="005E7693" w:rsidP="007F2443">
            <w:pPr>
              <w:rPr>
                <w:bCs w:val="0"/>
              </w:rPr>
            </w:pPr>
            <w:r>
              <w:rPr>
                <w:rFonts w:hint="eastAsia"/>
                <w:b w:val="0"/>
              </w:rPr>
              <w:t>B</w:t>
            </w:r>
            <w:r>
              <w:rPr>
                <w:b w:val="0"/>
              </w:rPr>
              <w:t>ERT</w:t>
            </w:r>
            <w:r>
              <w:rPr>
                <w:rFonts w:hint="eastAsia"/>
                <w:b w:val="0"/>
              </w:rPr>
              <w:t>-base</w:t>
            </w:r>
          </w:p>
        </w:tc>
        <w:tc>
          <w:tcPr>
            <w:tcW w:w="1178" w:type="dxa"/>
            <w:tcBorders>
              <w:top w:val="nil"/>
              <w:bottom w:val="nil"/>
            </w:tcBorders>
            <w:vAlign w:val="center"/>
          </w:tcPr>
          <w:p w14:paraId="5C6FE5D7"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Cs/>
              </w:rPr>
            </w:pPr>
            <w:r>
              <w:rPr>
                <w:rFonts w:hint="eastAsia"/>
                <w:bCs/>
              </w:rPr>
              <w:t>Language</w:t>
            </w:r>
          </w:p>
        </w:tc>
        <w:tc>
          <w:tcPr>
            <w:tcW w:w="1534" w:type="dxa"/>
            <w:tcBorders>
              <w:top w:val="nil"/>
              <w:bottom w:val="nil"/>
            </w:tcBorders>
            <w:vAlign w:val="center"/>
          </w:tcPr>
          <w:p w14:paraId="4BD156A6"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Text</w:t>
            </w:r>
          </w:p>
        </w:tc>
        <w:tc>
          <w:tcPr>
            <w:tcW w:w="706" w:type="dxa"/>
            <w:tcBorders>
              <w:top w:val="nil"/>
              <w:bottom w:val="nil"/>
            </w:tcBorders>
            <w:vAlign w:val="center"/>
          </w:tcPr>
          <w:p w14:paraId="38F60D9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7</w:t>
            </w:r>
            <w:r>
              <w:t>68</w:t>
            </w:r>
          </w:p>
        </w:tc>
        <w:tc>
          <w:tcPr>
            <w:tcW w:w="950" w:type="dxa"/>
            <w:tcBorders>
              <w:top w:val="nil"/>
              <w:bottom w:val="nil"/>
            </w:tcBorders>
            <w:vAlign w:val="center"/>
          </w:tcPr>
          <w:p w14:paraId="52739020"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44.26%</w:t>
            </w:r>
          </w:p>
        </w:tc>
        <w:tc>
          <w:tcPr>
            <w:tcW w:w="931" w:type="dxa"/>
            <w:tcBorders>
              <w:top w:val="nil"/>
              <w:bottom w:val="nil"/>
            </w:tcBorders>
            <w:vAlign w:val="center"/>
          </w:tcPr>
          <w:p w14:paraId="366CFFA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0.477</w:t>
            </w:r>
          </w:p>
        </w:tc>
        <w:tc>
          <w:tcPr>
            <w:tcW w:w="762" w:type="dxa"/>
            <w:tcBorders>
              <w:top w:val="nil"/>
              <w:bottom w:val="nil"/>
            </w:tcBorders>
            <w:vAlign w:val="center"/>
          </w:tcPr>
          <w:p w14:paraId="0E989651"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0.533</w:t>
            </w:r>
          </w:p>
        </w:tc>
        <w:tc>
          <w:tcPr>
            <w:tcW w:w="960" w:type="dxa"/>
            <w:tcBorders>
              <w:top w:val="nil"/>
              <w:bottom w:val="nil"/>
            </w:tcBorders>
            <w:vAlign w:val="center"/>
          </w:tcPr>
          <w:p w14:paraId="0ECB6371"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0.68</w:t>
            </w:r>
            <w:r>
              <w:t>1</w:t>
            </w:r>
          </w:p>
        </w:tc>
        <w:tc>
          <w:tcPr>
            <w:tcW w:w="1012" w:type="dxa"/>
            <w:tcBorders>
              <w:top w:val="nil"/>
              <w:bottom w:val="nil"/>
            </w:tcBorders>
            <w:vAlign w:val="center"/>
          </w:tcPr>
          <w:p w14:paraId="2BB29A81"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b/>
                <w:bCs/>
              </w:rPr>
              <w:t>0.0737</w:t>
            </w:r>
          </w:p>
        </w:tc>
      </w:tr>
      <w:tr w:rsidR="005E7693" w14:paraId="59EFC595" w14:textId="77777777" w:rsidTr="007F2443">
        <w:trPr>
          <w:trHeight w:val="864"/>
        </w:trPr>
        <w:tc>
          <w:tcPr>
            <w:cnfStyle w:val="001000000000" w:firstRow="0" w:lastRow="0" w:firstColumn="1" w:lastColumn="0" w:oddVBand="0" w:evenVBand="0" w:oddHBand="0" w:evenHBand="0" w:firstRowFirstColumn="0" w:firstRowLastColumn="0" w:lastRowFirstColumn="0" w:lastRowLastColumn="0"/>
            <w:tcW w:w="1700" w:type="dxa"/>
            <w:tcBorders>
              <w:top w:val="nil"/>
              <w:bottom w:val="nil"/>
            </w:tcBorders>
            <w:vAlign w:val="center"/>
          </w:tcPr>
          <w:p w14:paraId="48B42373" w14:textId="77777777" w:rsidR="005E7693" w:rsidRDefault="005E7693" w:rsidP="007F2443">
            <w:pPr>
              <w:rPr>
                <w:b w:val="0"/>
              </w:rPr>
            </w:pPr>
            <w:r>
              <w:rPr>
                <w:rFonts w:hint="eastAsia"/>
                <w:bCs w:val="0"/>
              </w:rPr>
              <w:t>V</w:t>
            </w:r>
            <w:r>
              <w:rPr>
                <w:bCs w:val="0"/>
              </w:rPr>
              <w:t>iLT</w:t>
            </w:r>
          </w:p>
        </w:tc>
        <w:tc>
          <w:tcPr>
            <w:tcW w:w="1178" w:type="dxa"/>
            <w:tcBorders>
              <w:top w:val="nil"/>
              <w:bottom w:val="nil"/>
            </w:tcBorders>
            <w:vAlign w:val="center"/>
          </w:tcPr>
          <w:p w14:paraId="41C0C606"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Multimodal</w:t>
            </w:r>
          </w:p>
        </w:tc>
        <w:tc>
          <w:tcPr>
            <w:tcW w:w="1534" w:type="dxa"/>
            <w:tcBorders>
              <w:top w:val="nil"/>
              <w:bottom w:val="nil"/>
            </w:tcBorders>
            <w:vAlign w:val="center"/>
          </w:tcPr>
          <w:p w14:paraId="1B79A674"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Image +Label</w:t>
            </w:r>
          </w:p>
        </w:tc>
        <w:tc>
          <w:tcPr>
            <w:tcW w:w="706" w:type="dxa"/>
            <w:tcBorders>
              <w:top w:val="nil"/>
              <w:bottom w:val="nil"/>
            </w:tcBorders>
            <w:vAlign w:val="center"/>
          </w:tcPr>
          <w:p w14:paraId="24F3748D"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7</w:t>
            </w:r>
            <w:r>
              <w:t>68</w:t>
            </w:r>
          </w:p>
        </w:tc>
        <w:tc>
          <w:tcPr>
            <w:tcW w:w="950" w:type="dxa"/>
            <w:tcBorders>
              <w:top w:val="nil"/>
              <w:bottom w:val="nil"/>
            </w:tcBorders>
            <w:vAlign w:val="center"/>
          </w:tcPr>
          <w:p w14:paraId="2ACB18D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46.58%</w:t>
            </w:r>
          </w:p>
        </w:tc>
        <w:tc>
          <w:tcPr>
            <w:tcW w:w="931" w:type="dxa"/>
            <w:tcBorders>
              <w:top w:val="nil"/>
              <w:bottom w:val="nil"/>
            </w:tcBorders>
            <w:vAlign w:val="center"/>
          </w:tcPr>
          <w:p w14:paraId="4C84E53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0.503</w:t>
            </w:r>
          </w:p>
        </w:tc>
        <w:tc>
          <w:tcPr>
            <w:tcW w:w="762" w:type="dxa"/>
            <w:tcBorders>
              <w:top w:val="nil"/>
              <w:bottom w:val="nil"/>
            </w:tcBorders>
            <w:vAlign w:val="center"/>
          </w:tcPr>
          <w:p w14:paraId="215A6B8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0.607</w:t>
            </w:r>
          </w:p>
        </w:tc>
        <w:tc>
          <w:tcPr>
            <w:tcW w:w="960" w:type="dxa"/>
            <w:tcBorders>
              <w:top w:val="nil"/>
              <w:bottom w:val="nil"/>
            </w:tcBorders>
            <w:vAlign w:val="center"/>
          </w:tcPr>
          <w:p w14:paraId="24DB5616"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0.728</w:t>
            </w:r>
          </w:p>
        </w:tc>
        <w:tc>
          <w:tcPr>
            <w:tcW w:w="1012" w:type="dxa"/>
            <w:tcBorders>
              <w:top w:val="nil"/>
              <w:bottom w:val="nil"/>
            </w:tcBorders>
            <w:shd w:val="clear" w:color="auto" w:fill="FFFFFF"/>
            <w:vAlign w:val="center"/>
          </w:tcPr>
          <w:p w14:paraId="0D82472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0.063</w:t>
            </w:r>
          </w:p>
        </w:tc>
      </w:tr>
      <w:tr w:rsidR="005E7693" w14:paraId="531F377E" w14:textId="77777777" w:rsidTr="007F2443">
        <w:trPr>
          <w:trHeight w:val="864"/>
        </w:trPr>
        <w:tc>
          <w:tcPr>
            <w:cnfStyle w:val="001000000000" w:firstRow="0" w:lastRow="0" w:firstColumn="1" w:lastColumn="0" w:oddVBand="0" w:evenVBand="0" w:oddHBand="0" w:evenHBand="0" w:firstRowFirstColumn="0" w:firstRowLastColumn="0" w:lastRowFirstColumn="0" w:lastRowLastColumn="0"/>
            <w:tcW w:w="1700" w:type="dxa"/>
            <w:tcBorders>
              <w:top w:val="nil"/>
              <w:bottom w:val="nil"/>
            </w:tcBorders>
            <w:vAlign w:val="center"/>
          </w:tcPr>
          <w:p w14:paraId="5E7BC3FD" w14:textId="77777777" w:rsidR="005E7693" w:rsidRDefault="005E7693" w:rsidP="007F2443">
            <w:pPr>
              <w:rPr>
                <w:b w:val="0"/>
              </w:rPr>
            </w:pPr>
          </w:p>
        </w:tc>
        <w:tc>
          <w:tcPr>
            <w:tcW w:w="1178" w:type="dxa"/>
            <w:tcBorders>
              <w:top w:val="nil"/>
              <w:bottom w:val="nil"/>
            </w:tcBorders>
            <w:vAlign w:val="center"/>
          </w:tcPr>
          <w:p w14:paraId="4D1A991A"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Multimodal</w:t>
            </w:r>
          </w:p>
        </w:tc>
        <w:tc>
          <w:tcPr>
            <w:tcW w:w="1534" w:type="dxa"/>
            <w:tcBorders>
              <w:top w:val="nil"/>
              <w:bottom w:val="nil"/>
            </w:tcBorders>
            <w:vAlign w:val="center"/>
          </w:tcPr>
          <w:p w14:paraId="10704C4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Image +Text</w:t>
            </w:r>
          </w:p>
        </w:tc>
        <w:tc>
          <w:tcPr>
            <w:tcW w:w="706" w:type="dxa"/>
            <w:tcBorders>
              <w:top w:val="nil"/>
              <w:bottom w:val="nil"/>
            </w:tcBorders>
            <w:vAlign w:val="center"/>
          </w:tcPr>
          <w:p w14:paraId="3F2AB40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7</w:t>
            </w:r>
            <w:r>
              <w:t>68</w:t>
            </w:r>
          </w:p>
        </w:tc>
        <w:tc>
          <w:tcPr>
            <w:tcW w:w="950" w:type="dxa"/>
            <w:tcBorders>
              <w:top w:val="nil"/>
              <w:bottom w:val="nil"/>
            </w:tcBorders>
            <w:vAlign w:val="center"/>
          </w:tcPr>
          <w:p w14:paraId="64495CE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51.46%</w:t>
            </w:r>
          </w:p>
        </w:tc>
        <w:tc>
          <w:tcPr>
            <w:tcW w:w="931" w:type="dxa"/>
            <w:tcBorders>
              <w:top w:val="nil"/>
              <w:bottom w:val="nil"/>
            </w:tcBorders>
            <w:vAlign w:val="center"/>
          </w:tcPr>
          <w:p w14:paraId="6D7D6354"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0.507</w:t>
            </w:r>
          </w:p>
        </w:tc>
        <w:tc>
          <w:tcPr>
            <w:tcW w:w="762" w:type="dxa"/>
            <w:tcBorders>
              <w:top w:val="nil"/>
              <w:bottom w:val="nil"/>
            </w:tcBorders>
            <w:vAlign w:val="center"/>
          </w:tcPr>
          <w:p w14:paraId="7E5878CF"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0.621</w:t>
            </w:r>
          </w:p>
        </w:tc>
        <w:tc>
          <w:tcPr>
            <w:tcW w:w="960" w:type="dxa"/>
            <w:tcBorders>
              <w:top w:val="nil"/>
              <w:bottom w:val="nil"/>
            </w:tcBorders>
            <w:vAlign w:val="center"/>
          </w:tcPr>
          <w:p w14:paraId="231FA199"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rPr>
                <w:rFonts w:hint="eastAsia"/>
              </w:rPr>
              <w:t>0.738</w:t>
            </w:r>
          </w:p>
        </w:tc>
        <w:tc>
          <w:tcPr>
            <w:tcW w:w="1012" w:type="dxa"/>
            <w:tcBorders>
              <w:top w:val="nil"/>
              <w:bottom w:val="nil"/>
            </w:tcBorders>
            <w:vAlign w:val="center"/>
          </w:tcPr>
          <w:p w14:paraId="0F8742ED"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pPr>
            <w:r>
              <w:t>0.0643</w:t>
            </w:r>
          </w:p>
        </w:tc>
      </w:tr>
      <w:tr w:rsidR="005E7693" w14:paraId="311018EA" w14:textId="77777777" w:rsidTr="007F2443">
        <w:trPr>
          <w:trHeight w:val="864"/>
        </w:trPr>
        <w:tc>
          <w:tcPr>
            <w:cnfStyle w:val="001000000000" w:firstRow="0" w:lastRow="0" w:firstColumn="1" w:lastColumn="0" w:oddVBand="0" w:evenVBand="0" w:oddHBand="0" w:evenHBand="0" w:firstRowFirstColumn="0" w:firstRowLastColumn="0" w:lastRowFirstColumn="0" w:lastRowLastColumn="0"/>
            <w:tcW w:w="1700" w:type="dxa"/>
            <w:tcBorders>
              <w:top w:val="nil"/>
              <w:bottom w:val="single" w:sz="4" w:space="0" w:color="7F7F7F" w:themeColor="text1" w:themeTint="80"/>
            </w:tcBorders>
            <w:vAlign w:val="center"/>
          </w:tcPr>
          <w:p w14:paraId="6FA0BBDB" w14:textId="77777777" w:rsidR="005E7693" w:rsidRDefault="005E7693" w:rsidP="007F2443">
            <w:pPr>
              <w:rPr>
                <w:b w:val="0"/>
              </w:rPr>
            </w:pPr>
          </w:p>
        </w:tc>
        <w:tc>
          <w:tcPr>
            <w:tcW w:w="1178" w:type="dxa"/>
            <w:tcBorders>
              <w:top w:val="nil"/>
              <w:bottom w:val="single" w:sz="4" w:space="0" w:color="7F7F7F" w:themeColor="text1" w:themeTint="80"/>
            </w:tcBorders>
            <w:vAlign w:val="center"/>
          </w:tcPr>
          <w:p w14:paraId="0453ADA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rPr>
            </w:pPr>
            <w:r>
              <w:rPr>
                <w:rFonts w:hint="eastAsia"/>
                <w:b/>
              </w:rPr>
              <w:t>Multimodal</w:t>
            </w:r>
          </w:p>
        </w:tc>
        <w:tc>
          <w:tcPr>
            <w:tcW w:w="1534" w:type="dxa"/>
            <w:tcBorders>
              <w:top w:val="nil"/>
              <w:bottom w:val="single" w:sz="4" w:space="0" w:color="7F7F7F" w:themeColor="text1" w:themeTint="80"/>
            </w:tcBorders>
            <w:vAlign w:val="center"/>
          </w:tcPr>
          <w:p w14:paraId="1939CB7E"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rPr>
            </w:pPr>
            <w:r>
              <w:rPr>
                <w:rFonts w:hint="eastAsia"/>
                <w:b/>
              </w:rPr>
              <w:t>Image+Label+Text</w:t>
            </w:r>
          </w:p>
        </w:tc>
        <w:tc>
          <w:tcPr>
            <w:tcW w:w="706" w:type="dxa"/>
            <w:tcBorders>
              <w:top w:val="nil"/>
              <w:bottom w:val="single" w:sz="4" w:space="0" w:color="7F7F7F" w:themeColor="text1" w:themeTint="80"/>
            </w:tcBorders>
            <w:vAlign w:val="center"/>
          </w:tcPr>
          <w:p w14:paraId="594062DC"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rPr>
            </w:pPr>
            <w:r>
              <w:rPr>
                <w:rFonts w:hint="eastAsia"/>
                <w:b/>
              </w:rPr>
              <w:t>7</w:t>
            </w:r>
            <w:r>
              <w:rPr>
                <w:b/>
              </w:rPr>
              <w:t>68</w:t>
            </w:r>
          </w:p>
        </w:tc>
        <w:tc>
          <w:tcPr>
            <w:tcW w:w="950" w:type="dxa"/>
            <w:tcBorders>
              <w:top w:val="nil"/>
              <w:bottom w:val="single" w:sz="4" w:space="0" w:color="7F7F7F" w:themeColor="text1" w:themeTint="80"/>
            </w:tcBorders>
            <w:vAlign w:val="center"/>
          </w:tcPr>
          <w:p w14:paraId="161D73B5"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bCs/>
              </w:rPr>
            </w:pPr>
            <w:r>
              <w:rPr>
                <w:rFonts w:hint="eastAsia"/>
                <w:b/>
                <w:bCs/>
              </w:rPr>
              <w:t>51.68%</w:t>
            </w:r>
          </w:p>
        </w:tc>
        <w:tc>
          <w:tcPr>
            <w:tcW w:w="931" w:type="dxa"/>
            <w:tcBorders>
              <w:top w:val="nil"/>
              <w:bottom w:val="single" w:sz="4" w:space="0" w:color="7F7F7F" w:themeColor="text1" w:themeTint="80"/>
            </w:tcBorders>
            <w:vAlign w:val="center"/>
          </w:tcPr>
          <w:p w14:paraId="02EC9BCF"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bCs/>
              </w:rPr>
            </w:pPr>
            <w:r>
              <w:rPr>
                <w:rFonts w:hint="eastAsia"/>
                <w:b/>
                <w:bCs/>
              </w:rPr>
              <w:t>0.509</w:t>
            </w:r>
          </w:p>
        </w:tc>
        <w:tc>
          <w:tcPr>
            <w:tcW w:w="762" w:type="dxa"/>
            <w:tcBorders>
              <w:top w:val="nil"/>
              <w:bottom w:val="single" w:sz="4" w:space="0" w:color="7F7F7F" w:themeColor="text1" w:themeTint="80"/>
            </w:tcBorders>
            <w:vAlign w:val="center"/>
          </w:tcPr>
          <w:p w14:paraId="4A21F864"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bCs/>
              </w:rPr>
            </w:pPr>
            <w:r>
              <w:rPr>
                <w:rFonts w:hint="eastAsia"/>
                <w:b/>
                <w:bCs/>
              </w:rPr>
              <w:t>0.624</w:t>
            </w:r>
          </w:p>
        </w:tc>
        <w:tc>
          <w:tcPr>
            <w:tcW w:w="960" w:type="dxa"/>
            <w:tcBorders>
              <w:top w:val="nil"/>
              <w:bottom w:val="single" w:sz="4" w:space="0" w:color="7F7F7F" w:themeColor="text1" w:themeTint="80"/>
            </w:tcBorders>
            <w:vAlign w:val="center"/>
          </w:tcPr>
          <w:p w14:paraId="1442E3E8"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bCs/>
              </w:rPr>
            </w:pPr>
            <w:r>
              <w:rPr>
                <w:rFonts w:hint="eastAsia"/>
                <w:b/>
                <w:bCs/>
              </w:rPr>
              <w:t>0.739</w:t>
            </w:r>
          </w:p>
        </w:tc>
        <w:tc>
          <w:tcPr>
            <w:tcW w:w="1012" w:type="dxa"/>
            <w:tcBorders>
              <w:top w:val="nil"/>
              <w:bottom w:val="single" w:sz="4" w:space="0" w:color="7F7F7F" w:themeColor="text1" w:themeTint="80"/>
            </w:tcBorders>
            <w:shd w:val="clear" w:color="auto" w:fill="FFFFFF"/>
            <w:vAlign w:val="center"/>
          </w:tcPr>
          <w:p w14:paraId="652E0203" w14:textId="77777777" w:rsidR="005E7693" w:rsidRDefault="005E7693" w:rsidP="007F2443">
            <w:pPr>
              <w:jc w:val="center"/>
              <w:cnfStyle w:val="000000000000" w:firstRow="0" w:lastRow="0" w:firstColumn="0" w:lastColumn="0" w:oddVBand="0" w:evenVBand="0" w:oddHBand="0" w:evenHBand="0" w:firstRowFirstColumn="0" w:firstRowLastColumn="0" w:lastRowFirstColumn="0" w:lastRowLastColumn="0"/>
              <w:rPr>
                <w:b/>
                <w:bCs/>
              </w:rPr>
            </w:pPr>
            <w:r>
              <w:t>0.0639</w:t>
            </w:r>
          </w:p>
        </w:tc>
      </w:tr>
    </w:tbl>
    <w:p w14:paraId="51988B18" w14:textId="77777777" w:rsidR="005E7693" w:rsidRDefault="005E7693" w:rsidP="005E7693"/>
    <w:p w14:paraId="641CF980" w14:textId="77777777" w:rsidR="005E7693" w:rsidRDefault="005E7693" w:rsidP="005E7693"/>
    <w:p w14:paraId="44EC3ABB" w14:textId="77777777" w:rsidR="00F553FF" w:rsidRDefault="00F553FF"/>
    <w:sectPr w:rsidR="00F553FF" w:rsidSect="005E76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693"/>
    <w:rsid w:val="003C2EF4"/>
    <w:rsid w:val="00446799"/>
    <w:rsid w:val="005E7693"/>
    <w:rsid w:val="006A7E07"/>
    <w:rsid w:val="00701021"/>
    <w:rsid w:val="00B74216"/>
    <w:rsid w:val="00D62F8C"/>
    <w:rsid w:val="00D92110"/>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771F"/>
  <w15:chartTrackingRefBased/>
  <w15:docId w15:val="{C1DB149E-B177-48A7-8501-4CD30E743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693"/>
    <w:pPr>
      <w:widowControl w:val="0"/>
      <w:spacing w:after="0" w:line="360" w:lineRule="auto"/>
      <w:jc w:val="both"/>
    </w:pPr>
    <w:rPr>
      <w:rFonts w:ascii="Times New Roman" w:eastAsia="SimSun" w:hAnsi="Times New Roman"/>
      <w:sz w:val="22"/>
      <w:szCs w:val="22"/>
      <w:lang w:eastAsia="zh-CN"/>
      <w14:ligatures w14:val="none"/>
    </w:rPr>
  </w:style>
  <w:style w:type="paragraph" w:styleId="Heading1">
    <w:name w:val="heading 1"/>
    <w:basedOn w:val="Normal"/>
    <w:next w:val="Normal"/>
    <w:link w:val="Heading1Char"/>
    <w:uiPriority w:val="9"/>
    <w:qFormat/>
    <w:rsid w:val="005E7693"/>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E7693"/>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nhideWhenUsed/>
    <w:qFormat/>
    <w:rsid w:val="005E7693"/>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E7693"/>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5E7693"/>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5E7693"/>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5E7693"/>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5E7693"/>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5E7693"/>
    <w:pPr>
      <w:keepNext/>
      <w:keepLines/>
      <w:widowControl/>
      <w:spacing w:line="278" w:lineRule="auto"/>
      <w:jc w:val="left"/>
      <w:outlineLvl w:val="8"/>
    </w:pPr>
    <w:rPr>
      <w:rFonts w:asciiTheme="minorHAnsi" w:eastAsiaTheme="majorEastAsia" w:hAnsiTheme="minorHAnsi"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6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6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6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6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6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6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6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6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693"/>
    <w:rPr>
      <w:rFonts w:eastAsiaTheme="majorEastAsia" w:cstheme="majorBidi"/>
      <w:color w:val="272727" w:themeColor="text1" w:themeTint="D8"/>
    </w:rPr>
  </w:style>
  <w:style w:type="paragraph" w:styleId="Title">
    <w:name w:val="Title"/>
    <w:basedOn w:val="Normal"/>
    <w:next w:val="Normal"/>
    <w:link w:val="TitleChar"/>
    <w:uiPriority w:val="10"/>
    <w:qFormat/>
    <w:rsid w:val="005E7693"/>
    <w:pPr>
      <w:widowControl/>
      <w:spacing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E76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693"/>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5E76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693"/>
    <w:pPr>
      <w:widowControl/>
      <w:spacing w:before="160" w:after="160" w:line="278" w:lineRule="auto"/>
      <w:jc w:val="center"/>
    </w:pPr>
    <w:rPr>
      <w:rFonts w:asciiTheme="minorHAnsi" w:eastAsiaTheme="minorHAnsi" w:hAnsi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5E7693"/>
    <w:rPr>
      <w:i/>
      <w:iCs/>
      <w:color w:val="404040" w:themeColor="text1" w:themeTint="BF"/>
    </w:rPr>
  </w:style>
  <w:style w:type="paragraph" w:styleId="ListParagraph">
    <w:name w:val="List Paragraph"/>
    <w:basedOn w:val="Normal"/>
    <w:uiPriority w:val="34"/>
    <w:qFormat/>
    <w:rsid w:val="005E7693"/>
    <w:pPr>
      <w:widowControl/>
      <w:spacing w:after="160" w:line="278" w:lineRule="auto"/>
      <w:ind w:left="720"/>
      <w:contextualSpacing/>
      <w:jc w:val="left"/>
    </w:pPr>
    <w:rPr>
      <w:rFonts w:asciiTheme="minorHAnsi" w:eastAsiaTheme="minorHAnsi" w:hAnsiTheme="minorHAnsi"/>
      <w:sz w:val="24"/>
      <w:szCs w:val="24"/>
      <w:lang w:eastAsia="en-US"/>
      <w14:ligatures w14:val="standardContextual"/>
    </w:rPr>
  </w:style>
  <w:style w:type="character" w:styleId="IntenseEmphasis">
    <w:name w:val="Intense Emphasis"/>
    <w:basedOn w:val="DefaultParagraphFont"/>
    <w:uiPriority w:val="21"/>
    <w:qFormat/>
    <w:rsid w:val="005E7693"/>
    <w:rPr>
      <w:i/>
      <w:iCs/>
      <w:color w:val="0F4761" w:themeColor="accent1" w:themeShade="BF"/>
    </w:rPr>
  </w:style>
  <w:style w:type="paragraph" w:styleId="IntenseQuote">
    <w:name w:val="Intense Quote"/>
    <w:basedOn w:val="Normal"/>
    <w:next w:val="Normal"/>
    <w:link w:val="IntenseQuoteChar"/>
    <w:uiPriority w:val="30"/>
    <w:qFormat/>
    <w:rsid w:val="005E7693"/>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5E7693"/>
    <w:rPr>
      <w:i/>
      <w:iCs/>
      <w:color w:val="0F4761" w:themeColor="accent1" w:themeShade="BF"/>
    </w:rPr>
  </w:style>
  <w:style w:type="character" w:styleId="IntenseReference">
    <w:name w:val="Intense Reference"/>
    <w:basedOn w:val="DefaultParagraphFont"/>
    <w:uiPriority w:val="32"/>
    <w:qFormat/>
    <w:rsid w:val="005E7693"/>
    <w:rPr>
      <w:b/>
      <w:bCs/>
      <w:smallCaps/>
      <w:color w:val="0F4761" w:themeColor="accent1" w:themeShade="BF"/>
      <w:spacing w:val="5"/>
    </w:rPr>
  </w:style>
  <w:style w:type="table" w:customStyle="1" w:styleId="PlainTable21">
    <w:name w:val="Plain Table 21"/>
    <w:basedOn w:val="TableNormal"/>
    <w:uiPriority w:val="42"/>
    <w:qFormat/>
    <w:rsid w:val="005E7693"/>
    <w:pPr>
      <w:spacing w:after="0" w:line="240" w:lineRule="auto"/>
    </w:pPr>
    <w:rPr>
      <w:rFonts w:ascii="Times New Roman" w:eastAsia="SimSun" w:hAnsi="Times New Roman" w:cs="Times New Roman"/>
      <w:kern w:val="0"/>
      <w:sz w:val="20"/>
      <w:szCs w:val="20"/>
      <w14:ligatures w14:val="none"/>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786</Words>
  <Characters>5085</Characters>
  <Application>Microsoft Office Word</Application>
  <DocSecurity>0</DocSecurity>
  <Lines>83</Lines>
  <Paragraphs>21</Paragraphs>
  <ScaleCrop>false</ScaleCrop>
  <Company>Springer Nature</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2026-01-12T08:20:00Z</dcterms:created>
  <dcterms:modified xsi:type="dcterms:W3CDTF">2026-01-12T08:20:00Z</dcterms:modified>
</cp:coreProperties>
</file>