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B" w:rsidRDefault="006D364B" w:rsidP="006D364B">
      <w:pPr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eastAsia="AdvGulliv-R" w:hAnsi="Times New Roman"/>
          <w:b/>
          <w:sz w:val="24"/>
          <w:szCs w:val="24"/>
        </w:rPr>
      </w:pPr>
      <w:r>
        <w:rPr>
          <w:rFonts w:ascii="Times New Roman" w:eastAsia="AdvGulliv-R" w:hAnsi="Times New Roman"/>
          <w:b/>
          <w:sz w:val="24"/>
          <w:szCs w:val="24"/>
        </w:rPr>
        <w:t>Highlights</w:t>
      </w: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bookmarkStart w:id="0" w:name="_GoBack"/>
      <w:bookmarkEnd w:id="0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This study simultaneously quantified 19 heavy metals (Mg–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Pb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) and magnetic parameters (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χLF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χHF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</w:t>
      </w:r>
      <w:proofErr w:type="spellStart"/>
      <w:proofErr w:type="gram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χFD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%</w:t>
      </w:r>
      <w:proofErr w:type="gram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) across 26 sediment samples collected from the sea, beach, and creek environments of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Ennore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Port on the East Coast of Tamil Nadu.</w:t>
      </w:r>
    </w:p>
    <w:p w:rsidR="006D364B" w:rsidRPr="00FC4841" w:rsidRDefault="006D364B" w:rsidP="006D364B">
      <w:pPr>
        <w:pStyle w:val="ListParagraph"/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High levels of Fe, Ti, V, Cr,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Mn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Ni, Zn, and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Pb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were observed in hotspot sites (S2, S9, B4, B7, C4, C9), closely associated with industrial discharges, port activities, dredging, shipping operations, and urban wastewater inflows.</w:t>
      </w:r>
    </w:p>
    <w:p w:rsidR="006D364B" w:rsidRPr="006D364B" w:rsidRDefault="006D364B" w:rsidP="006D364B">
      <w:pPr>
        <w:pStyle w:val="ListParagraph"/>
        <w:ind w:left="450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Pr="00FC4841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proofErr w:type="spellStart"/>
      <w:proofErr w:type="gram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χLF</w:t>
      </w:r>
      <w:proofErr w:type="spellEnd"/>
      <w:proofErr w:type="gram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and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χHF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values indicated the dominance of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ferrimagnetic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minerals in most sediments, with ~80% of samples showing moderate magnetic susceptibility, revealing the influence of industrial particulates and combustion-derived magnetic grains.</w:t>
      </w:r>
    </w:p>
    <w:p w:rsidR="006D364B" w:rsidRPr="00FC4841" w:rsidRDefault="006D364B" w:rsidP="006D364B">
      <w:pPr>
        <w:pStyle w:val="ListParagraph"/>
        <w:spacing w:before="100" w:beforeAutospacing="1" w:after="100" w:afterAutospacing="1"/>
        <w:ind w:left="450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bidi="hi-IN"/>
        </w:rPr>
      </w:pP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proofErr w:type="spellStart"/>
      <w:proofErr w:type="gram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χFD</w:t>
      </w:r>
      <w:proofErr w:type="spellEnd"/>
      <w:proofErr w:type="gram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% values revealed the coexistence of SP, SD, and MD magnetic grains, demonstrating complex sedimentary processes influenced by natural geological inputs and human-induced magnetic particle deposition.</w:t>
      </w:r>
    </w:p>
    <w:p w:rsidR="006D364B" w:rsidRPr="00FC4841" w:rsidRDefault="006D364B" w:rsidP="006D364B">
      <w:pPr>
        <w:pStyle w:val="ListParagraph"/>
        <w:ind w:left="450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FC4841">
        <w:rPr>
          <w:rFonts w:ascii="Times New Roman" w:eastAsia="Times New Roman" w:hAnsi="Times New Roman"/>
          <w:sz w:val="24"/>
          <w:szCs w:val="24"/>
          <w:lang w:bidi="hi-IN"/>
        </w:rPr>
        <w:t>Although correlations between magnetic susceptibility and heavy metals were significant, r² values did not exceed 0.50, confirming that magnetic enhancement is substantial only in locations highly affecte</w:t>
      </w:r>
      <w:r>
        <w:rPr>
          <w:rFonts w:ascii="Times New Roman" w:eastAsia="Times New Roman" w:hAnsi="Times New Roman"/>
          <w:sz w:val="24"/>
          <w:szCs w:val="24"/>
          <w:lang w:bidi="hi-IN"/>
        </w:rPr>
        <w:t>d by anthropogenic metal inputs</w:t>
      </w:r>
    </w:p>
    <w:p w:rsidR="006D364B" w:rsidRPr="006D364B" w:rsidRDefault="006D364B" w:rsidP="006D364B">
      <w:pPr>
        <w:pStyle w:val="ListParagraph"/>
        <w:ind w:left="450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FC4841">
        <w:rPr>
          <w:rFonts w:ascii="Times New Roman" w:eastAsia="Times New Roman" w:hAnsi="Times New Roman"/>
          <w:sz w:val="24"/>
          <w:szCs w:val="24"/>
          <w:lang w:bidi="hi-IN"/>
        </w:rPr>
        <w:t>Three principal components explained 58.57% of total variance; PC1 strongly represented industrially derived metals (Ti–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Pb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), PC2 captured natural geochemical signals (Si, </w:t>
      </w:r>
      <w:proofErr w:type="gram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As</w:t>
      </w:r>
      <w:proofErr w:type="gram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), and PC3 highlighted magnetically responsive SP/SD minerals.</w:t>
      </w:r>
    </w:p>
    <w:p w:rsidR="006D364B" w:rsidRPr="006D364B" w:rsidRDefault="006D364B" w:rsidP="006D364B">
      <w:pPr>
        <w:pStyle w:val="ListParagraph"/>
        <w:ind w:left="450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Hierarchical clustering divided variables into two major groups: Cluster </w:t>
      </w:r>
      <w:proofErr w:type="gram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I</w:t>
      </w:r>
      <w:proofErr w:type="gram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containing magnetic properties with Fe, Ti, V, Cr,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Mn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Ni, Zn, and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Pb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confirming their common sources, while Cluster II isolated Si, representing natural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lithogenic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 input.</w:t>
      </w:r>
    </w:p>
    <w:p w:rsidR="006D364B" w:rsidRPr="006D364B" w:rsidRDefault="006D364B" w:rsidP="006D364B">
      <w:pPr>
        <w:pStyle w:val="ListParagraph"/>
        <w:ind w:left="450"/>
        <w:rPr>
          <w:rFonts w:ascii="Times New Roman" w:eastAsia="Times New Roman" w:hAnsi="Times New Roman"/>
          <w:sz w:val="24"/>
          <w:szCs w:val="24"/>
          <w:lang w:bidi="hi-IN"/>
        </w:rPr>
      </w:pPr>
    </w:p>
    <w:p w:rsidR="006D364B" w:rsidRPr="00FC4841" w:rsidRDefault="006D364B" w:rsidP="006D364B">
      <w:pPr>
        <w:pStyle w:val="ListParagraph"/>
        <w:numPr>
          <w:ilvl w:val="0"/>
          <w:numId w:val="1"/>
        </w:numPr>
        <w:spacing w:before="100" w:beforeAutospacing="1" w:after="100" w:afterAutospacing="1"/>
        <w:ind w:left="45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Results prove that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χLF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χHF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 xml:space="preserve">, and </w:t>
      </w:r>
      <w:proofErr w:type="spellStart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χFD</w:t>
      </w:r>
      <w:proofErr w:type="spellEnd"/>
      <w:r w:rsidRPr="00FC4841">
        <w:rPr>
          <w:rFonts w:ascii="Times New Roman" w:eastAsia="Times New Roman" w:hAnsi="Times New Roman"/>
          <w:sz w:val="24"/>
          <w:szCs w:val="24"/>
          <w:lang w:bidi="hi-IN"/>
        </w:rPr>
        <w:t>% are rapid, cost-effective, and non-destructive indicators capable of screening heavy-metal-enriched sediments, supporting their application in coastal environmental monitoring programs</w:t>
      </w:r>
    </w:p>
    <w:p w:rsidR="006D364B" w:rsidRPr="00F46877" w:rsidRDefault="006D364B" w:rsidP="006D364B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E5886" w:rsidRDefault="006D364B"/>
    <w:sectPr w:rsidR="006E5886" w:rsidSect="006D36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148E1"/>
    <w:multiLevelType w:val="hybridMultilevel"/>
    <w:tmpl w:val="3DDE01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364B"/>
    <w:rsid w:val="00132EA2"/>
    <w:rsid w:val="00544BFC"/>
    <w:rsid w:val="006D364B"/>
    <w:rsid w:val="009E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4B"/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HARIKRISHNAN N</dc:creator>
  <cp:lastModifiedBy>HARIKRISHNAN N</cp:lastModifiedBy>
  <cp:revision>1</cp:revision>
  <dcterms:created xsi:type="dcterms:W3CDTF">2025-12-02T06:29:00Z</dcterms:created>
  <dcterms:modified xsi:type="dcterms:W3CDTF">2025-12-02T06:30:00Z</dcterms:modified>
</cp:coreProperties>
</file>