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7C8C" w:rsidRDefault="008C7C8C">
      <w:pPr>
        <w:widowControl/>
        <w:wordWrap/>
        <w:autoSpaceDE/>
        <w:autoSpaceDN/>
        <w:rPr>
          <w:rFonts w:ascii="Arial" w:hAnsi="Arial" w:cs="Arial"/>
          <w:sz w:val="16"/>
          <w:szCs w:val="16"/>
        </w:rPr>
      </w:pPr>
      <w:r>
        <w:rPr>
          <w:rFonts w:ascii="Arial" w:hAnsi="Arial" w:cs="Arial"/>
          <w:noProof/>
          <w:sz w:val="16"/>
          <w:szCs w:val="16"/>
        </w:rPr>
        <w:drawing>
          <wp:inline distT="0" distB="0" distL="0" distR="0">
            <wp:extent cx="5731510" cy="5099050"/>
            <wp:effectExtent l="0" t="0" r="0" b="0"/>
            <wp:docPr id="14509381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38181" name="그림 1450938181"/>
                    <pic:cNvPicPr/>
                  </pic:nvPicPr>
                  <pic:blipFill>
                    <a:blip r:embed="rId4">
                      <a:extLst>
                        <a:ext uri="{28A0092B-C50C-407E-A947-70E740481C1C}">
                          <a14:useLocalDpi xmlns:a14="http://schemas.microsoft.com/office/drawing/2010/main" val="0"/>
                        </a:ext>
                      </a:extLst>
                    </a:blip>
                    <a:stretch>
                      <a:fillRect/>
                    </a:stretch>
                  </pic:blipFill>
                  <pic:spPr>
                    <a:xfrm>
                      <a:off x="0" y="0"/>
                      <a:ext cx="5731510" cy="5099050"/>
                    </a:xfrm>
                    <a:prstGeom prst="rect">
                      <a:avLst/>
                    </a:prstGeom>
                  </pic:spPr>
                </pic:pic>
              </a:graphicData>
            </a:graphic>
          </wp:inline>
        </w:drawing>
      </w:r>
    </w:p>
    <w:p w:rsidR="00A9540A" w:rsidRPr="006C5A87" w:rsidRDefault="00E251A1" w:rsidP="00E251A1">
      <w:pPr>
        <w:widowControl/>
        <w:wordWrap/>
        <w:autoSpaceDE/>
        <w:autoSpaceDN/>
        <w:rPr>
          <w:rFonts w:ascii="Times New Roman" w:hAnsi="Times New Roman" w:cs="Times New Roman"/>
          <w:szCs w:val="22"/>
        </w:rPr>
        <w:sectPr w:rsidR="00A9540A" w:rsidRPr="006C5A87">
          <w:pgSz w:w="11906" w:h="16838"/>
          <w:pgMar w:top="1701" w:right="1440" w:bottom="1440" w:left="1440" w:header="851" w:footer="992" w:gutter="0"/>
          <w:cols w:space="425"/>
          <w:docGrid w:linePitch="360"/>
        </w:sectPr>
      </w:pPr>
      <w:r w:rsidRPr="006C5A87">
        <w:rPr>
          <w:rFonts w:ascii="Times New Roman" w:hAnsi="Times New Roman" w:cs="Times New Roman"/>
          <w:szCs w:val="22"/>
        </w:rPr>
        <w:t>Supplementary Figure S1. Relationship between total isoflavone and total soyasaponin content across 376 soybean accessions.</w:t>
      </w:r>
      <w:r w:rsidRPr="006C5A87">
        <w:rPr>
          <w:rFonts w:ascii="Times New Roman" w:hAnsi="Times New Roman" w:cs="Times New Roman"/>
          <w:szCs w:val="22"/>
        </w:rPr>
        <w:t xml:space="preserve"> </w:t>
      </w:r>
      <w:r w:rsidRPr="006C5A87">
        <w:rPr>
          <w:rFonts w:ascii="Times New Roman" w:hAnsi="Times New Roman" w:cs="Times New Roman"/>
          <w:szCs w:val="22"/>
        </w:rPr>
        <w:t>Each point represents one accession from the Korean soybean core collection. Total isoflavone content (sum of 12 profiled compounds) is plotted on the x-axis, and total soyasaponin content (sum of five profiled saponins) is plotted on the y-axis. The red line indicates the fitted linear regression describing the positive association between the two metabolite classes. Together, the plot illustrates that despite distinct biosynthetic pathways, total isoflavone and soyasaponin accumulation exhibit coordinated variation at the population level.</w:t>
      </w:r>
    </w:p>
    <w:p w:rsidR="004E0C57" w:rsidRDefault="004E0C57">
      <w:pPr>
        <w:widowControl/>
        <w:wordWrap/>
        <w:autoSpaceDE/>
        <w:autoSpaceDN/>
        <w:rPr>
          <w:rFonts w:ascii="Arial" w:hAnsi="Arial" w:cs="Arial"/>
          <w:sz w:val="21"/>
          <w:szCs w:val="21"/>
        </w:rPr>
      </w:pPr>
      <w:r>
        <w:rPr>
          <w:rFonts w:ascii="Arial" w:hAnsi="Arial" w:cs="Arial"/>
          <w:noProof/>
          <w:sz w:val="21"/>
          <w:szCs w:val="21"/>
        </w:rPr>
        <w:lastRenderedPageBreak/>
        <w:drawing>
          <wp:inline distT="0" distB="0" distL="0" distR="0" wp14:anchorId="1E6BD302" wp14:editId="298AAD59">
            <wp:extent cx="5638165" cy="5731510"/>
            <wp:effectExtent l="0" t="0" r="635" b="0"/>
            <wp:docPr id="22278145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00185" name="그림 1726900185"/>
                    <pic:cNvPicPr/>
                  </pic:nvPicPr>
                  <pic:blipFill>
                    <a:blip r:embed="rId5">
                      <a:extLst>
                        <a:ext uri="{28A0092B-C50C-407E-A947-70E740481C1C}">
                          <a14:useLocalDpi xmlns:a14="http://schemas.microsoft.com/office/drawing/2010/main" val="0"/>
                        </a:ext>
                      </a:extLst>
                    </a:blip>
                    <a:stretch>
                      <a:fillRect/>
                    </a:stretch>
                  </pic:blipFill>
                  <pic:spPr>
                    <a:xfrm>
                      <a:off x="0" y="0"/>
                      <a:ext cx="5638165" cy="5731510"/>
                    </a:xfrm>
                    <a:prstGeom prst="rect">
                      <a:avLst/>
                    </a:prstGeom>
                  </pic:spPr>
                </pic:pic>
              </a:graphicData>
            </a:graphic>
          </wp:inline>
        </w:drawing>
      </w:r>
    </w:p>
    <w:p w:rsidR="006C5A87" w:rsidRPr="006C5A87" w:rsidRDefault="006C5A87" w:rsidP="006C5A87">
      <w:pPr>
        <w:widowControl/>
        <w:wordWrap/>
        <w:autoSpaceDE/>
        <w:autoSpaceDN/>
        <w:rPr>
          <w:rFonts w:ascii="Times New Roman" w:hAnsi="Times New Roman" w:cs="Times New Roman"/>
          <w:szCs w:val="22"/>
        </w:rPr>
      </w:pPr>
      <w:r w:rsidRPr="006C5A87">
        <w:rPr>
          <w:rFonts w:ascii="Times New Roman" w:hAnsi="Times New Roman" w:cs="Times New Roman"/>
          <w:szCs w:val="22"/>
        </w:rPr>
        <w:t>Supplementary Figure S2. Multi-step candidate gene identification for a representative GWAS locus.</w:t>
      </w:r>
      <w:r w:rsidRPr="006C5A87">
        <w:rPr>
          <w:rFonts w:ascii="Times New Roman" w:hAnsi="Times New Roman" w:cs="Times New Roman"/>
          <w:szCs w:val="22"/>
        </w:rPr>
        <w:t xml:space="preserve"> </w:t>
      </w:r>
      <w:r w:rsidRPr="006C5A87">
        <w:rPr>
          <w:rFonts w:ascii="Times New Roman" w:hAnsi="Times New Roman" w:cs="Times New Roman"/>
          <w:szCs w:val="22"/>
        </w:rPr>
        <w:t>(a) Regional Manhattan plot and LD heatmap surrounding the lead SNP, showing the extent of the associated LD block.</w:t>
      </w:r>
      <w:r w:rsidRPr="006C5A87">
        <w:rPr>
          <w:rFonts w:ascii="Times New Roman" w:hAnsi="Times New Roman" w:cs="Times New Roman"/>
          <w:szCs w:val="22"/>
        </w:rPr>
        <w:t xml:space="preserve"> </w:t>
      </w:r>
      <w:r w:rsidRPr="006C5A87">
        <w:rPr>
          <w:rFonts w:ascii="Times New Roman" w:hAnsi="Times New Roman" w:cs="Times New Roman"/>
          <w:szCs w:val="22"/>
        </w:rPr>
        <w:t>(b) Boxplots showing phenotype distributions across haplotypes defined by SNP variation within the locus.</w:t>
      </w:r>
      <w:r w:rsidRPr="006C5A87">
        <w:rPr>
          <w:rFonts w:ascii="Times New Roman" w:hAnsi="Times New Roman" w:cs="Times New Roman"/>
          <w:szCs w:val="22"/>
        </w:rPr>
        <w:t xml:space="preserve"> </w:t>
      </w:r>
      <w:r w:rsidRPr="006C5A87">
        <w:rPr>
          <w:rFonts w:ascii="Times New Roman" w:hAnsi="Times New Roman" w:cs="Times New Roman"/>
          <w:szCs w:val="22"/>
        </w:rPr>
        <w:t>(c) Haplotype structure and SNP positions mapped onto the focal gene models; colors indicate allelic states for each accession.</w:t>
      </w:r>
      <w:r w:rsidRPr="006C5A87">
        <w:rPr>
          <w:rFonts w:ascii="Times New Roman" w:hAnsi="Times New Roman" w:cs="Times New Roman"/>
          <w:szCs w:val="22"/>
        </w:rPr>
        <w:t xml:space="preserve"> </w:t>
      </w:r>
      <w:r w:rsidRPr="006C5A87">
        <w:rPr>
          <w:rFonts w:ascii="Times New Roman" w:hAnsi="Times New Roman" w:cs="Times New Roman"/>
          <w:szCs w:val="22"/>
        </w:rPr>
        <w:t>(d) Gene co-expression network derived from public soybean transcriptome datasets</w:t>
      </w:r>
      <w:r w:rsidRPr="006C5A87">
        <w:rPr>
          <w:rFonts w:ascii="Times New Roman" w:hAnsi="Times New Roman" w:cs="Times New Roman"/>
          <w:szCs w:val="22"/>
        </w:rPr>
        <w:t xml:space="preserve"> (ATTED-II)</w:t>
      </w:r>
      <w:r w:rsidRPr="006C5A87">
        <w:rPr>
          <w:rFonts w:ascii="Times New Roman" w:hAnsi="Times New Roman" w:cs="Times New Roman"/>
          <w:szCs w:val="22"/>
        </w:rPr>
        <w:t>. The green node represents the candidate gene, and red nodes indicate co-expressed genes previously implicated in flavonoid biosynthesis. Node labels correspond to Entrez Gene IDs.</w:t>
      </w:r>
      <w:r w:rsidRPr="006C5A87">
        <w:rPr>
          <w:rFonts w:ascii="Times New Roman" w:hAnsi="Times New Roman" w:cs="Times New Roman"/>
          <w:szCs w:val="22"/>
        </w:rPr>
        <w:t xml:space="preserve"> </w:t>
      </w:r>
      <w:r w:rsidRPr="006C5A87">
        <w:rPr>
          <w:rFonts w:ascii="Times New Roman" w:hAnsi="Times New Roman" w:cs="Times New Roman"/>
          <w:szCs w:val="22"/>
        </w:rPr>
        <w:t>(e) Functional enrichment analysis of the co-expression network, displaying significantly enriched biological processes and pathways (–log10 P value).</w:t>
      </w:r>
    </w:p>
    <w:p w:rsidR="004E0C57" w:rsidRDefault="004E0C57">
      <w:pPr>
        <w:widowControl/>
        <w:wordWrap/>
        <w:autoSpaceDE/>
        <w:autoSpaceDN/>
        <w:rPr>
          <w:rFonts w:ascii="Arial" w:hAnsi="Arial" w:cs="Arial"/>
          <w:sz w:val="21"/>
          <w:szCs w:val="21"/>
        </w:rPr>
      </w:pPr>
    </w:p>
    <w:p w:rsidR="004E0C57" w:rsidRDefault="004E0C57">
      <w:pPr>
        <w:widowControl/>
        <w:wordWrap/>
        <w:autoSpaceDE/>
        <w:autoSpaceDN/>
        <w:rPr>
          <w:rFonts w:ascii="Arial" w:hAnsi="Arial" w:cs="Arial"/>
          <w:sz w:val="21"/>
          <w:szCs w:val="21"/>
        </w:rPr>
      </w:pPr>
    </w:p>
    <w:p w:rsidR="004E0C57" w:rsidRDefault="004E0C57">
      <w:pPr>
        <w:widowControl/>
        <w:wordWrap/>
        <w:autoSpaceDE/>
        <w:autoSpaceDN/>
        <w:rPr>
          <w:rFonts w:ascii="Arial" w:hAnsi="Arial" w:cs="Arial"/>
          <w:sz w:val="21"/>
          <w:szCs w:val="21"/>
        </w:rPr>
      </w:pPr>
    </w:p>
    <w:p w:rsidR="004E0C57" w:rsidRDefault="004E0C57">
      <w:pPr>
        <w:widowControl/>
        <w:wordWrap/>
        <w:autoSpaceDE/>
        <w:autoSpaceDN/>
        <w:rPr>
          <w:rFonts w:ascii="Arial" w:hAnsi="Arial" w:cs="Arial"/>
          <w:sz w:val="21"/>
          <w:szCs w:val="21"/>
        </w:rPr>
      </w:pPr>
    </w:p>
    <w:p w:rsidR="00B85CC0" w:rsidRPr="00F21A2D" w:rsidRDefault="006C5A87" w:rsidP="006C5A87">
      <w:pPr>
        <w:widowControl/>
        <w:wordWrap/>
        <w:autoSpaceDE/>
        <w:autoSpaceDN/>
        <w:rPr>
          <w:rFonts w:ascii="Arial" w:hAnsi="Arial" w:cs="Arial"/>
          <w:sz w:val="16"/>
          <w:szCs w:val="16"/>
        </w:rPr>
      </w:pPr>
      <w:r w:rsidRPr="00F21A2D">
        <w:rPr>
          <w:rFonts w:ascii="Arial" w:hAnsi="Arial" w:cs="Arial"/>
          <w:sz w:val="16"/>
          <w:szCs w:val="16"/>
        </w:rPr>
        <w:t xml:space="preserve"> </w:t>
      </w:r>
    </w:p>
    <w:sectPr w:rsidR="00B85CC0" w:rsidRPr="00F21A2D" w:rsidSect="004E0C57">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D3"/>
    <w:rsid w:val="00027362"/>
    <w:rsid w:val="000371E0"/>
    <w:rsid w:val="00060BDC"/>
    <w:rsid w:val="000933AC"/>
    <w:rsid w:val="000954FD"/>
    <w:rsid w:val="001032B4"/>
    <w:rsid w:val="00136173"/>
    <w:rsid w:val="00223EBA"/>
    <w:rsid w:val="002263A3"/>
    <w:rsid w:val="0028677C"/>
    <w:rsid w:val="002F3AB4"/>
    <w:rsid w:val="00347295"/>
    <w:rsid w:val="00347963"/>
    <w:rsid w:val="003674EA"/>
    <w:rsid w:val="003A5574"/>
    <w:rsid w:val="004211C9"/>
    <w:rsid w:val="0042679A"/>
    <w:rsid w:val="004B61DB"/>
    <w:rsid w:val="004E0C57"/>
    <w:rsid w:val="00527496"/>
    <w:rsid w:val="005817BF"/>
    <w:rsid w:val="0058231C"/>
    <w:rsid w:val="005C2C44"/>
    <w:rsid w:val="005E1919"/>
    <w:rsid w:val="00621B85"/>
    <w:rsid w:val="00660DC4"/>
    <w:rsid w:val="006954E6"/>
    <w:rsid w:val="006C5A87"/>
    <w:rsid w:val="0076624E"/>
    <w:rsid w:val="007B5942"/>
    <w:rsid w:val="007D28C5"/>
    <w:rsid w:val="007E735D"/>
    <w:rsid w:val="00801A97"/>
    <w:rsid w:val="00810B95"/>
    <w:rsid w:val="008344F3"/>
    <w:rsid w:val="00847C36"/>
    <w:rsid w:val="00897579"/>
    <w:rsid w:val="008C02AF"/>
    <w:rsid w:val="008C7C8C"/>
    <w:rsid w:val="00900B21"/>
    <w:rsid w:val="00902307"/>
    <w:rsid w:val="00910776"/>
    <w:rsid w:val="00953B58"/>
    <w:rsid w:val="00971312"/>
    <w:rsid w:val="00995AB0"/>
    <w:rsid w:val="009A7EE7"/>
    <w:rsid w:val="009E032B"/>
    <w:rsid w:val="009E13CE"/>
    <w:rsid w:val="00A37855"/>
    <w:rsid w:val="00A9540A"/>
    <w:rsid w:val="00B85AE5"/>
    <w:rsid w:val="00B85B5C"/>
    <w:rsid w:val="00B85CC0"/>
    <w:rsid w:val="00B87BFA"/>
    <w:rsid w:val="00BC6AD0"/>
    <w:rsid w:val="00C321EB"/>
    <w:rsid w:val="00C33FBE"/>
    <w:rsid w:val="00C62A97"/>
    <w:rsid w:val="00C66711"/>
    <w:rsid w:val="00C934D5"/>
    <w:rsid w:val="00D56BD3"/>
    <w:rsid w:val="00DB5599"/>
    <w:rsid w:val="00DB7FD6"/>
    <w:rsid w:val="00DC3C1A"/>
    <w:rsid w:val="00E14C0D"/>
    <w:rsid w:val="00E16466"/>
    <w:rsid w:val="00E251A1"/>
    <w:rsid w:val="00E43A17"/>
    <w:rsid w:val="00F21A2D"/>
    <w:rsid w:val="00F43E84"/>
    <w:rsid w:val="00FB523D"/>
    <w:rsid w:val="00FC70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224F0A79"/>
  <w15:chartTrackingRefBased/>
  <w15:docId w15:val="{4C746727-7407-A547-A18E-B9B8392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D56BD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D56BD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D56BD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D56BD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D56BD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D56BD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D56BD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D56BD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D56BD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D56BD3"/>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D56BD3"/>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D56BD3"/>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D56BD3"/>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D56BD3"/>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D56BD3"/>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D56BD3"/>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D56BD3"/>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D56BD3"/>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D56BD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D56BD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56BD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D56BD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D56BD3"/>
    <w:pPr>
      <w:spacing w:before="160"/>
      <w:jc w:val="center"/>
    </w:pPr>
    <w:rPr>
      <w:i/>
      <w:iCs/>
      <w:color w:val="404040" w:themeColor="text1" w:themeTint="BF"/>
    </w:rPr>
  </w:style>
  <w:style w:type="character" w:customStyle="1" w:styleId="Char1">
    <w:name w:val="인용 Char"/>
    <w:basedOn w:val="a0"/>
    <w:link w:val="a5"/>
    <w:uiPriority w:val="29"/>
    <w:rsid w:val="00D56BD3"/>
    <w:rPr>
      <w:i/>
      <w:iCs/>
      <w:color w:val="404040" w:themeColor="text1" w:themeTint="BF"/>
    </w:rPr>
  </w:style>
  <w:style w:type="paragraph" w:styleId="a6">
    <w:name w:val="List Paragraph"/>
    <w:basedOn w:val="a"/>
    <w:uiPriority w:val="34"/>
    <w:qFormat/>
    <w:rsid w:val="00D56BD3"/>
    <w:pPr>
      <w:ind w:left="720"/>
      <w:contextualSpacing/>
    </w:pPr>
  </w:style>
  <w:style w:type="character" w:styleId="a7">
    <w:name w:val="Intense Emphasis"/>
    <w:basedOn w:val="a0"/>
    <w:uiPriority w:val="21"/>
    <w:qFormat/>
    <w:rsid w:val="00D56BD3"/>
    <w:rPr>
      <w:i/>
      <w:iCs/>
      <w:color w:val="0F4761" w:themeColor="accent1" w:themeShade="BF"/>
    </w:rPr>
  </w:style>
  <w:style w:type="paragraph" w:styleId="a8">
    <w:name w:val="Intense Quote"/>
    <w:basedOn w:val="a"/>
    <w:next w:val="a"/>
    <w:link w:val="Char2"/>
    <w:uiPriority w:val="30"/>
    <w:qFormat/>
    <w:rsid w:val="00D56B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D56BD3"/>
    <w:rPr>
      <w:i/>
      <w:iCs/>
      <w:color w:val="0F4761" w:themeColor="accent1" w:themeShade="BF"/>
    </w:rPr>
  </w:style>
  <w:style w:type="character" w:styleId="a9">
    <w:name w:val="Intense Reference"/>
    <w:basedOn w:val="a0"/>
    <w:uiPriority w:val="32"/>
    <w:qFormat/>
    <w:rsid w:val="00D56BD3"/>
    <w:rPr>
      <w:b/>
      <w:bCs/>
      <w:smallCaps/>
      <w:color w:val="0F4761" w:themeColor="accent1" w:themeShade="BF"/>
      <w:spacing w:val="5"/>
    </w:rPr>
  </w:style>
  <w:style w:type="paragraph" w:styleId="aa">
    <w:name w:val="Normal (Web)"/>
    <w:basedOn w:val="a"/>
    <w:uiPriority w:val="99"/>
    <w:semiHidden/>
    <w:unhideWhenUsed/>
    <w:rsid w:val="00D56BD3"/>
    <w:pPr>
      <w:widowControl/>
      <w:wordWrap/>
      <w:autoSpaceDE/>
      <w:autoSpaceDN/>
      <w:spacing w:before="100" w:beforeAutospacing="1" w:after="100" w:afterAutospacing="1"/>
    </w:pPr>
    <w:rPr>
      <w:rFonts w:ascii="굴림" w:eastAsia="굴림" w:hAnsi="굴림" w:cs="굴림"/>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8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1324</Characters>
  <Application>Microsoft Office Word</Application>
  <DocSecurity>0</DocSecurity>
  <Lines>11</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2025-12-01T05:37:00Z</dcterms:created>
  <dcterms:modified xsi:type="dcterms:W3CDTF">2025-12-01T05:37:00Z</dcterms:modified>
</cp:coreProperties>
</file>