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887" w:rsidRPr="00D63BFA" w:rsidRDefault="00E57887" w:rsidP="00E57887">
      <w:pPr>
        <w:spacing w:line="480" w:lineRule="auto"/>
        <w:jc w:val="center"/>
        <w:rPr>
          <w:rFonts w:ascii="Times New Roman" w:hAnsi="Times New Roman" w:cs="Times New Roman"/>
          <w:b/>
          <w:sz w:val="22"/>
        </w:rPr>
      </w:pPr>
      <w:r w:rsidRPr="00D63BFA">
        <w:rPr>
          <w:rFonts w:ascii="Times New Roman" w:hAnsi="Times New Roman" w:cs="Times New Roman"/>
          <w:b/>
          <w:sz w:val="22"/>
        </w:rPr>
        <w:t>Association between long working hours and all-cause and cardiovascular disease mortality: A cohort study of Korean workers</w:t>
      </w:r>
    </w:p>
    <w:p w:rsidR="00906BB0" w:rsidRPr="00E57887" w:rsidRDefault="00906BB0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</w:p>
    <w:p w:rsidR="00906BB0" w:rsidRDefault="00906BB0" w:rsidP="00906BB0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t>Supplementary materials</w:t>
      </w:r>
    </w:p>
    <w:p w:rsidR="00906BB0" w:rsidRDefault="00906BB0" w:rsidP="00313DA8">
      <w:pPr>
        <w:widowControl/>
        <w:wordWrap/>
        <w:autoSpaceDE/>
        <w:autoSpaceDN/>
        <w:spacing w:before="240"/>
        <w:rPr>
          <w:rFonts w:ascii="Times New Roman" w:hAnsi="Times New Roman" w:cs="Times New Roman"/>
          <w:b/>
          <w:sz w:val="22"/>
        </w:rPr>
      </w:pPr>
    </w:p>
    <w:p w:rsidR="00D77A3E" w:rsidRDefault="00D77A3E" w:rsidP="00313DA8">
      <w:pPr>
        <w:widowControl/>
        <w:wordWrap/>
        <w:autoSpaceDE/>
        <w:autoSpaceDN/>
        <w:spacing w:before="240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L</w:t>
      </w:r>
      <w:r>
        <w:rPr>
          <w:rFonts w:ascii="Times New Roman" w:hAnsi="Times New Roman" w:cs="Times New Roman"/>
          <w:b/>
          <w:sz w:val="22"/>
        </w:rPr>
        <w:t>ist of supplementary information</w:t>
      </w:r>
    </w:p>
    <w:p w:rsidR="00107838" w:rsidRPr="00662FC1" w:rsidRDefault="00107838" w:rsidP="00CF13E2">
      <w:pPr>
        <w:pStyle w:val="a6"/>
        <w:widowControl/>
        <w:numPr>
          <w:ilvl w:val="0"/>
          <w:numId w:val="1"/>
        </w:numPr>
        <w:wordWrap/>
        <w:autoSpaceDE/>
        <w:autoSpaceDN/>
        <w:spacing w:before="240"/>
        <w:ind w:leftChars="0"/>
        <w:rPr>
          <w:rFonts w:ascii="Times New Roman" w:hAnsi="Times New Roman" w:cs="Times New Roman" w:hint="eastAsia"/>
          <w:sz w:val="22"/>
        </w:rPr>
      </w:pPr>
      <w:r w:rsidRPr="003721C6">
        <w:rPr>
          <w:rFonts w:ascii="Times New Roman" w:hAnsi="Times New Roman" w:cs="Times New Roman" w:hint="eastAsia"/>
          <w:b/>
          <w:sz w:val="22"/>
        </w:rPr>
        <w:t>S</w:t>
      </w:r>
      <w:r w:rsidRPr="003721C6">
        <w:rPr>
          <w:rFonts w:ascii="Times New Roman" w:hAnsi="Times New Roman" w:cs="Times New Roman"/>
          <w:b/>
          <w:sz w:val="22"/>
        </w:rPr>
        <w:t>upplementary details</w:t>
      </w:r>
      <w:r w:rsidRPr="003721C6">
        <w:rPr>
          <w:rFonts w:ascii="Times New Roman" w:hAnsi="Times New Roman" w:cs="Times New Roman"/>
          <w:sz w:val="22"/>
        </w:rPr>
        <w:t>: Details on the mediation analysis</w:t>
      </w:r>
      <w:r w:rsidR="00662FC1" w:rsidRPr="00662FC1">
        <w:rPr>
          <w:rFonts w:ascii="Times New Roman" w:hAnsi="Times New Roman" w:cs="Times New Roman"/>
          <w:sz w:val="22"/>
        </w:rPr>
        <w:t xml:space="preserve"> </w:t>
      </w:r>
      <w:bookmarkStart w:id="0" w:name="_GoBack"/>
      <w:bookmarkEnd w:id="0"/>
    </w:p>
    <w:p w:rsidR="0019273D" w:rsidRPr="003721C6" w:rsidRDefault="00906BB0" w:rsidP="003721C6">
      <w:pPr>
        <w:pStyle w:val="a6"/>
        <w:widowControl/>
        <w:numPr>
          <w:ilvl w:val="0"/>
          <w:numId w:val="1"/>
        </w:numPr>
        <w:wordWrap/>
        <w:autoSpaceDE/>
        <w:autoSpaceDN/>
        <w:spacing w:before="240"/>
        <w:ind w:leftChars="0"/>
        <w:rPr>
          <w:rFonts w:ascii="Times New Roman" w:hAnsi="Times New Roman" w:cs="Times New Roman"/>
          <w:sz w:val="22"/>
        </w:rPr>
      </w:pPr>
      <w:r w:rsidRPr="003721C6">
        <w:rPr>
          <w:rFonts w:ascii="Times New Roman" w:hAnsi="Times New Roman" w:cs="Times New Roman"/>
          <w:b/>
          <w:sz w:val="22"/>
        </w:rPr>
        <w:t>Table S1</w:t>
      </w:r>
      <w:r w:rsidR="000C70E3" w:rsidRPr="003721C6">
        <w:rPr>
          <w:rFonts w:ascii="Times New Roman" w:hAnsi="Times New Roman" w:cs="Times New Roman"/>
          <w:b/>
          <w:sz w:val="22"/>
        </w:rPr>
        <w:t>:</w:t>
      </w:r>
      <w:r w:rsidRPr="003721C6">
        <w:rPr>
          <w:rFonts w:ascii="Times New Roman" w:hAnsi="Times New Roman" w:cs="Times New Roman"/>
          <w:b/>
          <w:sz w:val="22"/>
        </w:rPr>
        <w:t xml:space="preserve"> </w:t>
      </w:r>
      <w:r w:rsidRPr="003721C6">
        <w:rPr>
          <w:rFonts w:ascii="Times New Roman" w:hAnsi="Times New Roman" w:cs="Times New Roman"/>
          <w:sz w:val="22"/>
        </w:rPr>
        <w:t>Operationalization of Life’s Essential 8 score in the KNHANES datasets, 2007–2018</w:t>
      </w:r>
    </w:p>
    <w:p w:rsidR="0019273D" w:rsidRPr="003721C6" w:rsidRDefault="0019273D" w:rsidP="003721C6">
      <w:pPr>
        <w:pStyle w:val="a6"/>
        <w:widowControl/>
        <w:numPr>
          <w:ilvl w:val="0"/>
          <w:numId w:val="1"/>
        </w:numPr>
        <w:wordWrap/>
        <w:autoSpaceDE/>
        <w:autoSpaceDN/>
        <w:spacing w:before="240" w:after="0" w:line="360" w:lineRule="auto"/>
        <w:ind w:leftChars="0"/>
        <w:jc w:val="left"/>
        <w:rPr>
          <w:rFonts w:ascii="Times New Roman" w:hAnsi="Times New Roman" w:cs="Times New Roman"/>
          <w:sz w:val="22"/>
        </w:rPr>
      </w:pPr>
      <w:r w:rsidRPr="003721C6">
        <w:rPr>
          <w:rFonts w:ascii="Times New Roman" w:hAnsi="Times New Roman" w:cs="Times New Roman"/>
          <w:b/>
          <w:sz w:val="22"/>
        </w:rPr>
        <w:t>Table S2</w:t>
      </w:r>
      <w:r w:rsidRPr="003721C6">
        <w:rPr>
          <w:rFonts w:ascii="Times New Roman" w:hAnsi="Times New Roman" w:cs="Times New Roman"/>
          <w:sz w:val="22"/>
        </w:rPr>
        <w:t xml:space="preserve"> Association between long working hours and all-cause and CVD mortality alternative working hour category on the fully-adjusted Cox regression models</w:t>
      </w:r>
    </w:p>
    <w:p w:rsidR="00D7596D" w:rsidRPr="003721C6" w:rsidRDefault="00116952" w:rsidP="003721C6">
      <w:pPr>
        <w:pStyle w:val="a6"/>
        <w:widowControl/>
        <w:numPr>
          <w:ilvl w:val="0"/>
          <w:numId w:val="1"/>
        </w:numPr>
        <w:wordWrap/>
        <w:autoSpaceDE/>
        <w:autoSpaceDN/>
        <w:spacing w:before="240" w:after="0" w:line="360" w:lineRule="auto"/>
        <w:ind w:leftChars="0"/>
        <w:jc w:val="left"/>
        <w:rPr>
          <w:rFonts w:ascii="Times New Roman" w:hAnsi="Times New Roman" w:cs="Times New Roman"/>
          <w:sz w:val="22"/>
        </w:rPr>
      </w:pPr>
      <w:r w:rsidRPr="003721C6">
        <w:rPr>
          <w:rFonts w:ascii="Times New Roman" w:hAnsi="Times New Roman" w:cs="Times New Roman"/>
          <w:b/>
          <w:sz w:val="22"/>
        </w:rPr>
        <w:t>Table S3</w:t>
      </w:r>
      <w:r w:rsidRPr="003721C6">
        <w:rPr>
          <w:rFonts w:ascii="Times New Roman" w:hAnsi="Times New Roman" w:cs="Times New Roman"/>
          <w:sz w:val="22"/>
        </w:rPr>
        <w:t xml:space="preserve"> Association between long working hours and all-cause and CVD mortality excluding death cases within the first three years of follow-up on the fully-adjusted Cox regression models</w:t>
      </w:r>
      <w:r w:rsidR="00D7596D" w:rsidRPr="003721C6">
        <w:rPr>
          <w:rFonts w:ascii="Times New Roman" w:hAnsi="Times New Roman" w:cs="Times New Roman"/>
          <w:b/>
          <w:sz w:val="22"/>
        </w:rPr>
        <w:br w:type="page"/>
      </w:r>
    </w:p>
    <w:p w:rsidR="00E10F91" w:rsidRDefault="00E10F91" w:rsidP="00E10F91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 xml:space="preserve">Table S1 </w:t>
      </w:r>
      <w:r w:rsidRPr="00D00F4F">
        <w:rPr>
          <w:rFonts w:ascii="Times New Roman" w:hAnsi="Times New Roman" w:cs="Times New Roman"/>
          <w:sz w:val="22"/>
        </w:rPr>
        <w:t>Operationalization of Life’s Essential 8 score in the KNHANES datasets, 2007–2018</w:t>
      </w:r>
    </w:p>
    <w:tbl>
      <w:tblPr>
        <w:tblStyle w:val="a5"/>
        <w:tblW w:w="9923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5"/>
        <w:gridCol w:w="2715"/>
        <w:gridCol w:w="5103"/>
      </w:tblGrid>
      <w:tr w:rsidR="00E10F91" w:rsidRPr="002B74A6" w:rsidTr="00314C18">
        <w:trPr>
          <w:trHeight w:val="768"/>
          <w:jc w:val="center"/>
        </w:trPr>
        <w:tc>
          <w:tcPr>
            <w:tcW w:w="2105" w:type="dxa"/>
            <w:vAlign w:val="center"/>
          </w:tcPr>
          <w:p w:rsidR="00E10F91" w:rsidRPr="003347CA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47CA">
              <w:rPr>
                <w:rFonts w:ascii="Times New Roman" w:hAnsi="Times New Roman" w:cs="Times New Roman" w:hint="eastAsia"/>
                <w:b/>
              </w:rPr>
              <w:t>H</w:t>
            </w:r>
            <w:r w:rsidRPr="003347CA">
              <w:rPr>
                <w:rFonts w:ascii="Times New Roman" w:hAnsi="Times New Roman" w:cs="Times New Roman"/>
                <w:b/>
              </w:rPr>
              <w:t>ealth factors</w:t>
            </w:r>
          </w:p>
        </w:tc>
        <w:tc>
          <w:tcPr>
            <w:tcW w:w="2715" w:type="dxa"/>
            <w:vAlign w:val="center"/>
          </w:tcPr>
          <w:p w:rsidR="00E10F91" w:rsidRPr="003347CA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47CA">
              <w:rPr>
                <w:rFonts w:ascii="Times New Roman" w:hAnsi="Times New Roman" w:cs="Times New Roman" w:hint="eastAsia"/>
                <w:b/>
              </w:rPr>
              <w:t>M</w:t>
            </w:r>
            <w:r w:rsidRPr="003347CA">
              <w:rPr>
                <w:rFonts w:ascii="Times New Roman" w:hAnsi="Times New Roman" w:cs="Times New Roman"/>
                <w:b/>
              </w:rPr>
              <w:t>easurement</w:t>
            </w:r>
          </w:p>
        </w:tc>
        <w:tc>
          <w:tcPr>
            <w:tcW w:w="5103" w:type="dxa"/>
            <w:vAlign w:val="center"/>
          </w:tcPr>
          <w:p w:rsidR="00E10F91" w:rsidRPr="003347CA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47CA">
              <w:rPr>
                <w:rFonts w:ascii="Times New Roman" w:hAnsi="Times New Roman" w:cs="Times New Roman"/>
                <w:b/>
              </w:rPr>
              <w:t>Scoring</w:t>
            </w:r>
            <w:r>
              <w:rPr>
                <w:rFonts w:ascii="Times New Roman" w:hAnsi="Times New Roman" w:cs="Times New Roman"/>
                <w:b/>
              </w:rPr>
              <w:t xml:space="preserve"> system</w:t>
            </w:r>
            <w:r w:rsidRPr="003347CA">
              <w:rPr>
                <w:rFonts w:ascii="Times New Roman" w:hAnsi="Times New Roman" w:cs="Times New Roman"/>
                <w:b/>
              </w:rPr>
              <w:t xml:space="preserve"> (categorization)</w:t>
            </w:r>
          </w:p>
        </w:tc>
      </w:tr>
      <w:tr w:rsidR="00E10F91" w:rsidRPr="002B74A6" w:rsidTr="00314C18">
        <w:trPr>
          <w:trHeight w:val="768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 w:hint="eastAsia"/>
                <w:b/>
              </w:rPr>
              <w:t>1</w:t>
            </w:r>
            <w:r w:rsidRPr="00337991">
              <w:rPr>
                <w:rFonts w:ascii="Times New Roman" w:hAnsi="Times New Roman" w:cs="Times New Roman"/>
                <w:b/>
              </w:rPr>
              <w:t>. Diet</w:t>
            </w:r>
          </w:p>
        </w:tc>
        <w:tc>
          <w:tcPr>
            <w:tcW w:w="2715" w:type="dxa"/>
            <w:vAlign w:val="center"/>
          </w:tcPr>
          <w:p w:rsidR="00E10F91" w:rsidRPr="00376970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Dietary Inflammation Index</w:t>
            </w:r>
          </w:p>
        </w:tc>
        <w:tc>
          <w:tcPr>
            <w:tcW w:w="5103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100: &lt;5</w:t>
            </w:r>
            <w:r w:rsidRPr="00453978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percentile</w:t>
            </w:r>
            <w:r>
              <w:rPr>
                <w:rFonts w:ascii="Times New Roman" w:hAnsi="Times New Roman" w:cs="Times New Roman"/>
              </w:rPr>
              <w:br/>
              <w:t>80: 5–24</w:t>
            </w:r>
            <w:r w:rsidRPr="00453978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percentile</w:t>
            </w:r>
            <w:r>
              <w:rPr>
                <w:rFonts w:ascii="Times New Roman" w:hAnsi="Times New Roman" w:cs="Times New Roman"/>
              </w:rPr>
              <w:br/>
              <w:t>50: 25–49</w:t>
            </w:r>
            <w:r w:rsidRPr="00453978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percentile</w:t>
            </w:r>
            <w:r>
              <w:rPr>
                <w:rFonts w:ascii="Times New Roman" w:hAnsi="Times New Roman" w:cs="Times New Roman"/>
              </w:rPr>
              <w:br/>
              <w:t>25: 50–74</w:t>
            </w:r>
            <w:r w:rsidRPr="00453978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percentile</w:t>
            </w:r>
            <w:r>
              <w:rPr>
                <w:rFonts w:ascii="Times New Roman" w:hAnsi="Times New Roman" w:cs="Times New Roman"/>
              </w:rPr>
              <w:br/>
              <w:t>0: ≥75</w:t>
            </w:r>
            <w:r w:rsidRPr="00453978">
              <w:rPr>
                <w:rFonts w:ascii="Times New Roman" w:hAnsi="Times New Roman" w:cs="Times New Roman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</w:rPr>
              <w:t xml:space="preserve"> percentile</w:t>
            </w:r>
          </w:p>
        </w:tc>
      </w:tr>
      <w:tr w:rsidR="00E10F91" w:rsidRPr="002B74A6" w:rsidTr="00314C18">
        <w:trPr>
          <w:trHeight w:val="768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 w:hint="eastAsia"/>
                <w:b/>
              </w:rPr>
              <w:t>2</w:t>
            </w:r>
            <w:r w:rsidRPr="00337991">
              <w:rPr>
                <w:rFonts w:ascii="Times New Roman" w:hAnsi="Times New Roman" w:cs="Times New Roman"/>
                <w:b/>
              </w:rPr>
              <w:t>. Physical activity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A8723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 w:rsidRPr="00881A6C">
              <w:rPr>
                <w:rFonts w:ascii="Times New Roman" w:hAnsi="Times New Roman" w:cs="Times New Roman"/>
              </w:rPr>
              <w:t>International Physical Activity Questionnaire</w:t>
            </w:r>
            <w:r w:rsidRPr="00E3140F">
              <w:rPr>
                <w:rFonts w:ascii="Times New Roman" w:hAnsi="Times New Roman" w:cs="Times New Roman"/>
              </w:rPr>
              <w:t xml:space="preserve">, Global Physical Activity Questionnaire (unit: </w:t>
            </w:r>
            <w:r w:rsidR="00A87238">
              <w:rPr>
                <w:rFonts w:ascii="Times New Roman" w:hAnsi="Times New Roman" w:cs="Times New Roman"/>
              </w:rPr>
              <w:t>moderate-to-vigorous physical activity [MVPA]</w:t>
            </w:r>
            <w:r w:rsidRPr="00E3140F">
              <w:rPr>
                <w:rFonts w:ascii="Times New Roman" w:hAnsi="Times New Roman" w:cs="Times New Roman"/>
              </w:rPr>
              <w:t xml:space="preserve"> per week</w:t>
            </w:r>
            <w:r w:rsidRPr="00A317C7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103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00: ≥150 MVPA/week</w:t>
            </w:r>
            <w:r>
              <w:rPr>
                <w:rFonts w:ascii="Times New Roman" w:hAnsi="Times New Roman" w:cs="Times New Roman"/>
              </w:rPr>
              <w:br/>
              <w:t>90: 120–149 MVPA/week</w:t>
            </w:r>
            <w:r>
              <w:rPr>
                <w:rFonts w:ascii="Times New Roman" w:hAnsi="Times New Roman" w:cs="Times New Roman"/>
              </w:rPr>
              <w:br/>
              <w:t>80: 90–119 MVPA/week</w:t>
            </w:r>
            <w:r>
              <w:rPr>
                <w:rFonts w:ascii="Times New Roman" w:hAnsi="Times New Roman" w:cs="Times New Roman"/>
              </w:rPr>
              <w:br/>
              <w:t>60: 60–89 MVPA/week</w:t>
            </w:r>
            <w:r>
              <w:rPr>
                <w:rFonts w:ascii="Times New Roman" w:hAnsi="Times New Roman" w:cs="Times New Roman"/>
              </w:rPr>
              <w:br/>
              <w:t>40: 30–59 MVPA/week</w:t>
            </w:r>
            <w:r>
              <w:rPr>
                <w:rFonts w:ascii="Times New Roman" w:hAnsi="Times New Roman" w:cs="Times New Roman"/>
              </w:rPr>
              <w:br/>
              <w:t>20: 1–29 MVPA/week</w:t>
            </w:r>
            <w:r>
              <w:rPr>
                <w:rFonts w:ascii="Times New Roman" w:hAnsi="Times New Roman" w:cs="Times New Roman"/>
              </w:rPr>
              <w:br/>
              <w:t>0: 0 MVPA/week</w:t>
            </w:r>
          </w:p>
        </w:tc>
      </w:tr>
      <w:tr w:rsidR="00E10F91" w:rsidRPr="002B74A6" w:rsidTr="00314C18">
        <w:trPr>
          <w:trHeight w:val="775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 w:hint="eastAsia"/>
                <w:b/>
              </w:rPr>
              <w:t>3</w:t>
            </w:r>
            <w:r w:rsidRPr="00337991">
              <w:rPr>
                <w:rFonts w:ascii="Times New Roman" w:hAnsi="Times New Roman" w:cs="Times New Roman"/>
                <w:b/>
              </w:rPr>
              <w:t>. Nicotine exposure</w:t>
            </w:r>
            <w:r w:rsidRPr="002978E6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Self-reported questionnaire: current smoking status, past smoking history, use of e-cigarettes, exposure to household indoor smoking</w:t>
            </w:r>
          </w:p>
        </w:tc>
        <w:tc>
          <w:tcPr>
            <w:tcW w:w="5103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00: never smoker</w:t>
            </w:r>
            <w:r>
              <w:rPr>
                <w:rFonts w:ascii="Times New Roman" w:hAnsi="Times New Roman" w:cs="Times New Roman"/>
              </w:rPr>
              <w:br/>
              <w:t>75: f</w:t>
            </w:r>
            <w:r w:rsidRPr="00CF5D68">
              <w:rPr>
                <w:rFonts w:ascii="Times New Roman" w:hAnsi="Times New Roman" w:cs="Times New Roman"/>
              </w:rPr>
              <w:t>ormer smoker, quit ≥5 y</w:t>
            </w:r>
            <w:r>
              <w:rPr>
                <w:rFonts w:ascii="Times New Roman" w:hAnsi="Times New Roman" w:cs="Times New Roman"/>
              </w:rPr>
              <w:t>ear</w:t>
            </w:r>
            <w:r>
              <w:rPr>
                <w:rFonts w:ascii="Times New Roman" w:hAnsi="Times New Roman" w:cs="Times New Roman"/>
              </w:rPr>
              <w:br/>
              <w:t>50: f</w:t>
            </w:r>
            <w:r w:rsidRPr="007C49EF">
              <w:rPr>
                <w:rFonts w:ascii="Times New Roman" w:hAnsi="Times New Roman" w:cs="Times New Roman"/>
              </w:rPr>
              <w:t>ormer smoker, quit 1–&lt;</w:t>
            </w:r>
            <w:r>
              <w:rPr>
                <w:rFonts w:ascii="Times New Roman" w:hAnsi="Times New Roman" w:cs="Times New Roman"/>
              </w:rPr>
              <w:t>5 year</w:t>
            </w:r>
            <w:r>
              <w:rPr>
                <w:rFonts w:ascii="Times New Roman" w:hAnsi="Times New Roman" w:cs="Times New Roman"/>
              </w:rPr>
              <w:br/>
              <w:t>25: former smoker, quit &lt;1 y</w:t>
            </w:r>
            <w:r>
              <w:rPr>
                <w:rFonts w:ascii="Times New Roman" w:hAnsi="Times New Roman" w:cs="Times New Roman"/>
              </w:rPr>
              <w:br/>
              <w:t xml:space="preserve">25: current use of e-cigarettes </w:t>
            </w:r>
            <w:r>
              <w:rPr>
                <w:rFonts w:ascii="Times New Roman" w:hAnsi="Times New Roman" w:cs="Times New Roman"/>
              </w:rPr>
              <w:br/>
              <w:t xml:space="preserve">0: current smoker </w:t>
            </w:r>
          </w:p>
        </w:tc>
      </w:tr>
      <w:tr w:rsidR="00E10F91" w:rsidRPr="002B74A6" w:rsidTr="00314C18">
        <w:trPr>
          <w:trHeight w:val="768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 w:hint="eastAsia"/>
                <w:b/>
              </w:rPr>
              <w:t>4</w:t>
            </w:r>
            <w:r w:rsidRPr="00337991">
              <w:rPr>
                <w:rFonts w:ascii="Times New Roman" w:hAnsi="Times New Roman" w:cs="Times New Roman"/>
                <w:b/>
              </w:rPr>
              <w:t>. Sleep health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Self-reported questionnaire: average hours of sleep per night</w:t>
            </w:r>
          </w:p>
        </w:tc>
        <w:tc>
          <w:tcPr>
            <w:tcW w:w="5103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00: 7–&lt;9 h</w:t>
            </w:r>
            <w:r>
              <w:rPr>
                <w:rFonts w:ascii="Times New Roman" w:hAnsi="Times New Roman" w:cs="Times New Roman"/>
              </w:rPr>
              <w:br/>
              <w:t xml:space="preserve">75: </w:t>
            </w:r>
            <w:r w:rsidRPr="00A70CAF">
              <w:rPr>
                <w:rFonts w:ascii="Times New Roman" w:hAnsi="Times New Roman" w:cs="Times New Roman"/>
              </w:rPr>
              <w:t>9–&lt;10</w:t>
            </w:r>
            <w:r>
              <w:rPr>
                <w:rFonts w:ascii="Times New Roman" w:hAnsi="Times New Roman" w:cs="Times New Roman"/>
              </w:rPr>
              <w:t xml:space="preserve"> h</w:t>
            </w:r>
            <w:r>
              <w:rPr>
                <w:rFonts w:ascii="Times New Roman" w:hAnsi="Times New Roman" w:cs="Times New Roman"/>
              </w:rPr>
              <w:br/>
              <w:t xml:space="preserve">50: </w:t>
            </w:r>
            <w:r w:rsidRPr="00A70CAF">
              <w:rPr>
                <w:rFonts w:ascii="Times New Roman" w:hAnsi="Times New Roman" w:cs="Times New Roman"/>
              </w:rPr>
              <w:t>6–&lt;7</w:t>
            </w:r>
            <w:r>
              <w:rPr>
                <w:rFonts w:ascii="Times New Roman" w:hAnsi="Times New Roman" w:cs="Times New Roman"/>
              </w:rPr>
              <w:t xml:space="preserve"> h</w:t>
            </w:r>
            <w:r>
              <w:rPr>
                <w:rFonts w:ascii="Times New Roman" w:hAnsi="Times New Roman" w:cs="Times New Roman"/>
              </w:rPr>
              <w:br/>
              <w:t xml:space="preserve">40: </w:t>
            </w:r>
            <w:r w:rsidRPr="007D091A">
              <w:rPr>
                <w:rFonts w:ascii="Times New Roman" w:hAnsi="Times New Roman" w:cs="Times New Roman"/>
              </w:rPr>
              <w:t>5–&lt;6</w:t>
            </w:r>
            <w:r>
              <w:rPr>
                <w:rFonts w:ascii="Times New Roman" w:hAnsi="Times New Roman" w:cs="Times New Roman"/>
              </w:rPr>
              <w:t xml:space="preserve"> h</w:t>
            </w:r>
            <w:r>
              <w:rPr>
                <w:rFonts w:ascii="Times New Roman" w:hAnsi="Times New Roman" w:cs="Times New Roman"/>
              </w:rPr>
              <w:br/>
              <w:t>40: ≥10 h</w:t>
            </w:r>
            <w:r>
              <w:rPr>
                <w:rFonts w:ascii="Times New Roman" w:hAnsi="Times New Roman" w:cs="Times New Roman"/>
              </w:rPr>
              <w:br/>
              <w:t xml:space="preserve">20: 4–&lt;5 h </w:t>
            </w:r>
            <w:r>
              <w:rPr>
                <w:rFonts w:ascii="Times New Roman" w:hAnsi="Times New Roman" w:cs="Times New Roman"/>
              </w:rPr>
              <w:br/>
              <w:t>0: &lt;4 h</w:t>
            </w:r>
          </w:p>
        </w:tc>
      </w:tr>
      <w:tr w:rsidR="00E10F91" w:rsidRPr="002B74A6" w:rsidTr="00314C18">
        <w:trPr>
          <w:trHeight w:val="768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/>
                <w:b/>
              </w:rPr>
              <w:t>5. BMI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bjective measurement of body weight and heights</w:t>
            </w:r>
          </w:p>
        </w:tc>
        <w:tc>
          <w:tcPr>
            <w:tcW w:w="5103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BMI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00: &lt;23 kg/m</w:t>
            </w:r>
            <w:r w:rsidRPr="00A45B3D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br/>
              <w:t>75: 23.0–24.9 kg/m</w:t>
            </w:r>
            <w:r w:rsidRPr="00A45B3D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br/>
              <w:t>30: 25.0–29.9 kg/m</w:t>
            </w:r>
            <w:r w:rsidRPr="00A45B3D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br/>
              <w:t>15: 30.0–34.9 kg/m</w:t>
            </w:r>
            <w:r w:rsidRPr="00A45B3D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br/>
              <w:t>0: ≥35 kg/m</w:t>
            </w:r>
            <w:r w:rsidRPr="00A45B3D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</w:tr>
      <w:tr w:rsidR="00E10F91" w:rsidRPr="002B74A6" w:rsidTr="00314C18">
        <w:trPr>
          <w:trHeight w:val="411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/>
                <w:b/>
              </w:rPr>
              <w:t>6. Blood lipids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cholesterol, HDL</w:t>
            </w:r>
            <w:r w:rsidRPr="00FA728A">
              <w:rPr>
                <w:rFonts w:ascii="Times New Roman" w:hAnsi="Times New Roman" w:cs="Times New Roman"/>
              </w:rPr>
              <w:t xml:space="preserve"> cholesterol</w:t>
            </w:r>
            <w:r>
              <w:rPr>
                <w:rFonts w:ascii="Times New Roman" w:hAnsi="Times New Roman" w:cs="Times New Roman"/>
              </w:rPr>
              <w:t>, current use of lipid-lowering agents</w:t>
            </w:r>
          </w:p>
        </w:tc>
        <w:tc>
          <w:tcPr>
            <w:tcW w:w="5103" w:type="dxa"/>
            <w:vAlign w:val="center"/>
          </w:tcPr>
          <w:p w:rsidR="00E10F91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on-HDL cholesterol</w:t>
            </w:r>
          </w:p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00: &lt;130 </w:t>
            </w:r>
            <w:r w:rsidRPr="001647AC">
              <w:rPr>
                <w:rFonts w:ascii="Times New Roman" w:hAnsi="Times New Roman" w:cs="Times New Roman"/>
              </w:rPr>
              <w:t>mg/dL</w:t>
            </w:r>
            <w:r>
              <w:rPr>
                <w:rFonts w:ascii="Times New Roman" w:hAnsi="Times New Roman" w:cs="Times New Roman"/>
              </w:rPr>
              <w:br/>
              <w:t xml:space="preserve">60: 130–159 </w:t>
            </w:r>
            <w:r w:rsidRPr="001647AC">
              <w:rPr>
                <w:rFonts w:ascii="Times New Roman" w:hAnsi="Times New Roman" w:cs="Times New Roman"/>
              </w:rPr>
              <w:t>mg/dL</w:t>
            </w:r>
            <w:r>
              <w:rPr>
                <w:rFonts w:ascii="Times New Roman" w:hAnsi="Times New Roman" w:cs="Times New Roman"/>
              </w:rPr>
              <w:br/>
              <w:t xml:space="preserve">40: 160–189 </w:t>
            </w:r>
            <w:r w:rsidRPr="001647AC">
              <w:rPr>
                <w:rFonts w:ascii="Times New Roman" w:hAnsi="Times New Roman" w:cs="Times New Roman"/>
              </w:rPr>
              <w:t>mg/dL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br/>
              <w:t xml:space="preserve">20: 190–219 </w:t>
            </w:r>
            <w:r w:rsidRPr="001647AC">
              <w:rPr>
                <w:rFonts w:ascii="Times New Roman" w:hAnsi="Times New Roman" w:cs="Times New Roman"/>
              </w:rPr>
              <w:t>mg/dL</w:t>
            </w:r>
            <w:r>
              <w:rPr>
                <w:rFonts w:ascii="Times New Roman" w:hAnsi="Times New Roman" w:cs="Times New Roman"/>
              </w:rPr>
              <w:br/>
              <w:t xml:space="preserve">0: ≥220 </w:t>
            </w:r>
            <w:r w:rsidRPr="001647AC">
              <w:rPr>
                <w:rFonts w:ascii="Times New Roman" w:hAnsi="Times New Roman" w:cs="Times New Roman"/>
              </w:rPr>
              <w:t>mg/dL</w:t>
            </w:r>
          </w:p>
        </w:tc>
      </w:tr>
      <w:tr w:rsidR="00E10F91" w:rsidRPr="002B74A6" w:rsidTr="00314C18">
        <w:trPr>
          <w:trHeight w:val="768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/>
                <w:b/>
              </w:rPr>
              <w:t>7. Blood glucose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Fasting glucose levels, current use of </w:t>
            </w:r>
            <w:r w:rsidRPr="00137EB2">
              <w:rPr>
                <w:rFonts w:ascii="Times New Roman" w:hAnsi="Times New Roman" w:cs="Times New Roman"/>
              </w:rPr>
              <w:t>oral anti-diabetic medications or insulin</w:t>
            </w:r>
          </w:p>
        </w:tc>
        <w:tc>
          <w:tcPr>
            <w:tcW w:w="5103" w:type="dxa"/>
            <w:vAlign w:val="center"/>
          </w:tcPr>
          <w:p w:rsidR="00E10F91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00: No diabetes history and fasting glucose &lt;117 mg/dL</w:t>
            </w:r>
          </w:p>
          <w:p w:rsidR="00E10F91" w:rsidRPr="005E1DAC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60: No diabetes history and fasting glucose 117–140 mg/dL</w:t>
            </w:r>
            <w:r>
              <w:rPr>
                <w:rFonts w:ascii="Times New Roman" w:hAnsi="Times New Roman" w:cs="Times New Roman"/>
              </w:rPr>
              <w:br/>
              <w:t>40: Diabetes with fasting glucose &lt;154 mg/dL</w:t>
            </w:r>
            <w:r>
              <w:rPr>
                <w:rFonts w:ascii="Times New Roman" w:hAnsi="Times New Roman" w:cs="Times New Roman"/>
              </w:rPr>
              <w:br/>
              <w:t>30: Diabetes with fasting glucose 154–182 mg/dL</w:t>
            </w:r>
            <w:r>
              <w:rPr>
                <w:rFonts w:ascii="Times New Roman" w:hAnsi="Times New Roman" w:cs="Times New Roman"/>
              </w:rPr>
              <w:br/>
              <w:t>20: Diabetes with fasting glucose 183–</w:t>
            </w:r>
            <w:r w:rsidRPr="001A41F5">
              <w:rPr>
                <w:rFonts w:ascii="Times New Roman" w:hAnsi="Times New Roman" w:cs="Times New Roman"/>
              </w:rPr>
              <w:t>21</w:t>
            </w:r>
            <w:r>
              <w:rPr>
                <w:rFonts w:ascii="Times New Roman" w:hAnsi="Times New Roman" w:cs="Times New Roman"/>
              </w:rPr>
              <w:t>1 mg/dL</w:t>
            </w:r>
            <w:r>
              <w:rPr>
                <w:rFonts w:ascii="Times New Roman" w:hAnsi="Times New Roman" w:cs="Times New Roman"/>
              </w:rPr>
              <w:br/>
              <w:t>10: Diabetes with fasting glucose</w:t>
            </w:r>
            <w:r w:rsidRPr="001A41F5">
              <w:rPr>
                <w:rFonts w:ascii="Times New Roman" w:hAnsi="Times New Roman" w:cs="Times New Roman"/>
              </w:rPr>
              <w:t xml:space="preserve"> 212</w:t>
            </w:r>
            <w:r>
              <w:rPr>
                <w:rFonts w:ascii="Times New Roman" w:hAnsi="Times New Roman" w:cs="Times New Roman"/>
              </w:rPr>
              <w:t>–240 mg/dL</w:t>
            </w:r>
            <w:r>
              <w:rPr>
                <w:rFonts w:ascii="Times New Roman" w:hAnsi="Times New Roman" w:cs="Times New Roman"/>
              </w:rPr>
              <w:br/>
              <w:t>0: Diabetes with fasting glucose 241 mg/dL</w:t>
            </w:r>
          </w:p>
        </w:tc>
      </w:tr>
      <w:tr w:rsidR="00E10F91" w:rsidRPr="002B74A6" w:rsidTr="00314C18">
        <w:trPr>
          <w:trHeight w:val="43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/>
                <w:b/>
              </w:rPr>
              <w:t>8. BP</w:t>
            </w:r>
            <w:r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</w:p>
        </w:tc>
        <w:tc>
          <w:tcPr>
            <w:tcW w:w="2715" w:type="dxa"/>
            <w:vAlign w:val="center"/>
          </w:tcPr>
          <w:p w:rsidR="00E10F91" w:rsidRPr="002B74A6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Resting BP, current use of </w:t>
            </w:r>
            <w:r w:rsidRPr="00B30688">
              <w:rPr>
                <w:rFonts w:ascii="Times New Roman" w:hAnsi="Times New Roman" w:cs="Times New Roman"/>
              </w:rPr>
              <w:t>anti</w:t>
            </w:r>
            <w:r>
              <w:rPr>
                <w:rFonts w:ascii="Times New Roman" w:hAnsi="Times New Roman" w:cs="Times New Roman"/>
              </w:rPr>
              <w:t>-</w:t>
            </w:r>
            <w:r w:rsidRPr="00B30688">
              <w:rPr>
                <w:rFonts w:ascii="Times New Roman" w:hAnsi="Times New Roman" w:cs="Times New Roman"/>
              </w:rPr>
              <w:t>hypertensive drug</w:t>
            </w:r>
          </w:p>
        </w:tc>
        <w:tc>
          <w:tcPr>
            <w:tcW w:w="5103" w:type="dxa"/>
            <w:vAlign w:val="center"/>
          </w:tcPr>
          <w:p w:rsidR="00E10F91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Systolic BP and diastolic BP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00: &lt;120/&lt;80 mmHg</w:t>
            </w:r>
          </w:p>
          <w:p w:rsidR="00E10F91" w:rsidRPr="002B74A6" w:rsidRDefault="00E10F91" w:rsidP="00314C18">
            <w:pPr>
              <w:widowControl/>
              <w:wordWrap/>
              <w:autoSpaceDE/>
              <w:autoSpaceDN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75: 120–129/&lt;80 mmHg </w:t>
            </w:r>
            <w:r>
              <w:rPr>
                <w:rFonts w:ascii="Times New Roman" w:hAnsi="Times New Roman" w:cs="Times New Roman"/>
              </w:rPr>
              <w:br/>
              <w:t>50: 130–139 or 80–89 mmHg</w:t>
            </w:r>
            <w:r>
              <w:rPr>
                <w:rFonts w:ascii="Times New Roman" w:hAnsi="Times New Roman" w:cs="Times New Roman"/>
              </w:rPr>
              <w:br/>
              <w:t>25: 140–159 or 90–99 mmHg</w:t>
            </w:r>
            <w:r>
              <w:rPr>
                <w:rFonts w:ascii="Times New Roman" w:hAnsi="Times New Roman" w:cs="Times New Roman"/>
              </w:rPr>
              <w:br/>
              <w:t>0: ≥160 or ≥100 mmHg</w:t>
            </w:r>
          </w:p>
        </w:tc>
      </w:tr>
      <w:tr w:rsidR="00E10F91" w:rsidRPr="002B74A6" w:rsidTr="004F4056">
        <w:trPr>
          <w:trHeight w:val="431"/>
          <w:jc w:val="center"/>
        </w:trPr>
        <w:tc>
          <w:tcPr>
            <w:tcW w:w="2105" w:type="dxa"/>
            <w:vAlign w:val="center"/>
          </w:tcPr>
          <w:p w:rsidR="00E10F91" w:rsidRPr="00337991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</w:rPr>
            </w:pPr>
            <w:r w:rsidRPr="00337991">
              <w:rPr>
                <w:rFonts w:ascii="Times New Roman" w:hAnsi="Times New Roman" w:cs="Times New Roman" w:hint="eastAsia"/>
                <w:b/>
              </w:rPr>
              <w:t>T</w:t>
            </w:r>
            <w:r w:rsidRPr="00337991">
              <w:rPr>
                <w:rFonts w:ascii="Times New Roman" w:hAnsi="Times New Roman" w:cs="Times New Roman"/>
                <w:b/>
              </w:rPr>
              <w:t>otal LE8 score</w:t>
            </w:r>
          </w:p>
        </w:tc>
        <w:tc>
          <w:tcPr>
            <w:tcW w:w="7818" w:type="dxa"/>
            <w:gridSpan w:val="2"/>
            <w:vAlign w:val="center"/>
          </w:tcPr>
          <w:p w:rsidR="00E10F91" w:rsidRPr="001A0653" w:rsidRDefault="00E10F91" w:rsidP="00314C18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Range: 0–100</w:t>
            </w:r>
          </w:p>
        </w:tc>
      </w:tr>
    </w:tbl>
    <w:p w:rsidR="00E10F91" w:rsidRPr="003C42C3" w:rsidRDefault="00D036B1" w:rsidP="00D036B1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</w:rPr>
      </w:pPr>
      <w:r w:rsidRPr="00EA4DE5">
        <w:rPr>
          <w:rFonts w:ascii="Times New Roman" w:hAnsi="Times New Roman" w:cs="Times New Roman"/>
          <w:vertAlign w:val="superscript"/>
        </w:rPr>
        <w:t>a</w:t>
      </w:r>
      <w:r w:rsidRPr="007C278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Subtract 20 points if exposed to indoor smoking in households</w:t>
      </w:r>
      <w:r>
        <w:rPr>
          <w:rFonts w:ascii="Times New Roman" w:hAnsi="Times New Roman" w:cs="Times New Roman"/>
        </w:rPr>
        <w:br/>
      </w:r>
      <w:r w:rsidRPr="000837EE"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Subtract 20 points if drug-treated level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="00E10F91">
        <w:rPr>
          <w:rFonts w:ascii="Times New Roman" w:hAnsi="Times New Roman" w:cs="Times New Roman"/>
          <w:b/>
          <w:sz w:val="22"/>
        </w:rPr>
        <w:br w:type="page"/>
      </w:r>
    </w:p>
    <w:p w:rsidR="00EA3EE8" w:rsidRPr="00E20233" w:rsidRDefault="00EA3EE8" w:rsidP="00EA3EE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2"/>
        </w:rPr>
      </w:pPr>
      <w:r w:rsidRPr="007C4100">
        <w:rPr>
          <w:rFonts w:ascii="Times New Roman" w:hAnsi="Times New Roman" w:cs="Times New Roman" w:hint="eastAsia"/>
          <w:b/>
          <w:sz w:val="22"/>
        </w:rPr>
        <w:lastRenderedPageBreak/>
        <w:t>S</w:t>
      </w:r>
      <w:r w:rsidRPr="007C4100">
        <w:rPr>
          <w:rFonts w:ascii="Times New Roman" w:hAnsi="Times New Roman" w:cs="Times New Roman"/>
          <w:b/>
          <w:sz w:val="22"/>
        </w:rPr>
        <w:t>upplementary details</w:t>
      </w:r>
      <w:r>
        <w:rPr>
          <w:rFonts w:ascii="Times New Roman" w:hAnsi="Times New Roman" w:cs="Times New Roman"/>
          <w:sz w:val="22"/>
        </w:rPr>
        <w:t xml:space="preserve">: Details </w:t>
      </w:r>
      <w:r w:rsidRPr="00E20233">
        <w:rPr>
          <w:rFonts w:ascii="Times New Roman" w:hAnsi="Times New Roman" w:cs="Times New Roman"/>
          <w:sz w:val="22"/>
        </w:rPr>
        <w:t>on the mediation analysis</w:t>
      </w:r>
    </w:p>
    <w:p w:rsidR="00E10F91" w:rsidRPr="0054396A" w:rsidRDefault="00E10F91" w:rsidP="00E10F91">
      <w:pPr>
        <w:widowControl/>
        <w:wordWrap/>
        <w:autoSpaceDE/>
        <w:autoSpaceDN/>
        <w:spacing w:line="480" w:lineRule="auto"/>
        <w:jc w:val="left"/>
        <w:rPr>
          <w:rFonts w:ascii="Times New Roman" w:hAnsi="Times New Roman" w:cs="Times New Roman"/>
          <w:sz w:val="22"/>
        </w:rPr>
      </w:pPr>
      <w:r w:rsidRPr="0054396A">
        <w:rPr>
          <w:rFonts w:ascii="Times New Roman" w:hAnsi="Times New Roman" w:cs="Times New Roman"/>
          <w:sz w:val="22"/>
        </w:rPr>
        <w:t>The mediating role of lifestyle factors, as measured using the American Heart Association’s evidence-based Life’s Essential 8 (LE8)</w:t>
      </w:r>
      <w:r>
        <w:rPr>
          <w:rFonts w:ascii="Times New Roman" w:hAnsi="Times New Roman" w:cs="Times New Roman"/>
          <w:sz w:val="22"/>
        </w:rPr>
        <w:t xml:space="preserve"> framework</w:t>
      </w:r>
      <w:r w:rsidRPr="0054396A">
        <w:rPr>
          <w:rFonts w:ascii="Times New Roman" w:hAnsi="Times New Roman" w:cs="Times New Roman"/>
          <w:sz w:val="22"/>
        </w:rPr>
        <w:t xml:space="preserve">, in the association between LWH and all-cause or CVD mortality was estimated using the regression-based causal mediation analysis as elaborated in the work by VanderWeele (2011) </w:t>
      </w:r>
      <w:r w:rsidRPr="0054396A">
        <w:rPr>
          <w:rFonts w:ascii="Times New Roman" w:hAnsi="Times New Roman" w:cs="Times New Roman"/>
          <w:sz w:val="22"/>
        </w:rPr>
        <w:fldChar w:fldCharType="begin"/>
      </w:r>
      <w:r w:rsidRPr="0054396A">
        <w:rPr>
          <w:rFonts w:ascii="Times New Roman" w:hAnsi="Times New Roman" w:cs="Times New Roman"/>
          <w:sz w:val="22"/>
        </w:rPr>
        <w:instrText xml:space="preserve"> ADDIN EN.CITE &lt;EndNote&gt;&lt;Cite&gt;&lt;Author&gt;VanderWeele&lt;/Author&gt;&lt;Year&gt;2011&lt;/Year&gt;&lt;RecNum&gt;2079&lt;/RecNum&gt;&lt;DisplayText&gt;[31]&lt;/DisplayText&gt;&lt;record&gt;&lt;rec-number&gt;2079&lt;/rec-number&gt;&lt;foreign-keys&gt;&lt;key app="EN" db-id="ss5sfd0w7era5yea2t7psxr9f2rtx20xezw9" timestamp="1763801992"&gt;2079&lt;/key&gt;&lt;/foreign-keys&gt;&lt;ref-type name="Journal Article"&gt;17&lt;/ref-type&gt;&lt;contributors&gt;&lt;authors&gt;&lt;author&gt;VanderWeele, T. J.&lt;/author&gt;&lt;/authors&gt;&lt;/contributors&gt;&lt;auth-address&gt;Department of Epidemiology and Biostatistics, Harvard School of Public Health, Boston, MA 02115, USA. tvanderw@hsph.harvard.edu&lt;/auth-address&gt;&lt;titles&gt;&lt;title&gt;Causal mediation analysis with survival data&lt;/title&gt;&lt;secondary-title&gt;Epidemiology&lt;/secondary-title&gt;&lt;/titles&gt;&lt;periodical&gt;&lt;full-title&gt;Epidemiology&lt;/full-title&gt;&lt;/periodical&gt;&lt;pages&gt;582-5&lt;/pages&gt;&lt;volume&gt;22&lt;/volume&gt;&lt;number&gt;4&lt;/number&gt;&lt;keywords&gt;&lt;keyword&gt;*Causality&lt;/keyword&gt;&lt;keyword&gt;Female&lt;/keyword&gt;&lt;keyword&gt;Humans&lt;/keyword&gt;&lt;keyword&gt;Male&lt;/keyword&gt;&lt;keyword&gt;*Models, Statistical&lt;/keyword&gt;&lt;keyword&gt;*Survival Analysis&lt;/keyword&gt;&lt;/keywords&gt;&lt;dates&gt;&lt;year&gt;2011&lt;/year&gt;&lt;pub-dates&gt;&lt;date&gt;Jul&lt;/date&gt;&lt;/pub-dates&gt;&lt;/dates&gt;&lt;isbn&gt;1531-5487 (Electronic)&amp;#xD;1044-3983 (Print)&amp;#xD;1044-3983 (Linking)&lt;/isbn&gt;&lt;accession-num&gt;21642779&lt;/accession-num&gt;&lt;urls&gt;&lt;related-urls&gt;&lt;url&gt;https://www.ncbi.nlm.nih.gov/pubmed/21642779&lt;/url&gt;&lt;/related-urls&gt;&lt;/urls&gt;&lt;custom2&gt;PMC3109321&lt;/custom2&gt;&lt;electronic-resource-num&gt;10.1097/EDE.0b013e31821db37e&lt;/electronic-resource-num&gt;&lt;remote-database-name&gt;Medline&lt;/remote-database-name&gt;&lt;remote-database-provider&gt;NLM&lt;/remote-database-provider&gt;&lt;/record&gt;&lt;/Cite&gt;&lt;/EndNote&gt;</w:instrText>
      </w:r>
      <w:r w:rsidRPr="0054396A">
        <w:rPr>
          <w:rFonts w:ascii="Times New Roman" w:hAnsi="Times New Roman" w:cs="Times New Roman"/>
          <w:sz w:val="22"/>
        </w:rPr>
        <w:fldChar w:fldCharType="separate"/>
      </w:r>
      <w:r w:rsidRPr="0054396A">
        <w:rPr>
          <w:rFonts w:ascii="Times New Roman" w:hAnsi="Times New Roman" w:cs="Times New Roman"/>
          <w:noProof/>
          <w:sz w:val="22"/>
        </w:rPr>
        <w:t>[31]</w:t>
      </w:r>
      <w:r w:rsidRPr="0054396A">
        <w:rPr>
          <w:rFonts w:ascii="Times New Roman" w:hAnsi="Times New Roman" w:cs="Times New Roman"/>
          <w:sz w:val="22"/>
        </w:rPr>
        <w:fldChar w:fldCharType="end"/>
      </w:r>
      <w:r w:rsidRPr="0054396A">
        <w:rPr>
          <w:rFonts w:ascii="Times New Roman" w:hAnsi="Times New Roman" w:cs="Times New Roman"/>
          <w:sz w:val="22"/>
        </w:rPr>
        <w:t>. VanderWeele (2011) demonstrated that when the exposure (a), mediator (m), and covariates (c) are specified within linear regression and proportional hazard models as follows:</w:t>
      </w:r>
      <w:r w:rsidRPr="0054396A">
        <w:rPr>
          <w:rFonts w:ascii="Times New Roman" w:hAnsi="Times New Roman" w:cs="Times New Roman"/>
          <w:sz w:val="22"/>
        </w:rPr>
        <w:br/>
        <w:t xml:space="preserve">(1)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 xml:space="preserve">E[M|a, c] = </m:t>
        </m:r>
        <m:sSub>
          <m:sSubPr>
            <m:ctrlPr>
              <w:rPr>
                <w:rFonts w:ascii="Cambria Math" w:eastAsia="맑은 고딕" w:hAnsi="Cambria Math" w:cs="Times New Roman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</w:rPr>
              <m:t>β</m:t>
            </m:r>
          </m:e>
          <m:sub>
            <m:r>
              <w:rPr>
                <w:rFonts w:ascii="Cambria Math" w:eastAsia="맑은 고딕" w:hAnsi="Cambria Math" w:cs="Times New Roman"/>
                <w:sz w:val="22"/>
              </w:rPr>
              <m:t>0</m:t>
            </m:r>
          </m:sub>
        </m:sSub>
        <m:r>
          <m:rPr>
            <m:sty m:val="p"/>
          </m:rPr>
          <w:rPr>
            <w:rFonts w:ascii="Cambria Math" w:eastAsia="맑은 고딕" w:hAnsi="Cambria Math" w:cs="Times New Roman"/>
            <w:sz w:val="22"/>
          </w:rPr>
          <m:t>+</m:t>
        </m:r>
        <m:sSub>
          <m:sSubPr>
            <m:ctrlPr>
              <w:rPr>
                <w:rFonts w:ascii="Cambria Math" w:eastAsia="맑은 고딕" w:hAnsi="Cambria Math" w:cs="Times New Roman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</w:rPr>
              <m:t>β</m:t>
            </m:r>
          </m:e>
          <m:sub>
            <m:r>
              <w:rPr>
                <w:rFonts w:ascii="Cambria Math" w:eastAsia="맑은 고딕" w:hAnsi="Cambria Math" w:cs="Times New Roman"/>
                <w:sz w:val="22"/>
              </w:rPr>
              <m:t>1</m:t>
            </m:r>
          </m:sub>
        </m:sSub>
        <m:r>
          <m:rPr>
            <m:sty m:val="p"/>
          </m:rPr>
          <w:rPr>
            <w:rFonts w:ascii="Cambria Math" w:eastAsia="맑은 고딕" w:hAnsi="Cambria Math" w:cs="Times New Roman"/>
            <w:sz w:val="22"/>
          </w:rPr>
          <m:t xml:space="preserve">a+ </m:t>
        </m:r>
        <m:sSub>
          <m:sSubPr>
            <m:ctrlPr>
              <w:rPr>
                <w:rFonts w:ascii="Cambria Math" w:eastAsia="맑은 고딕" w:hAnsi="Cambria Math" w:cs="Times New Roman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</w:rPr>
              <m:t>β'</m:t>
            </m:r>
          </m:e>
          <m:sub>
            <m:r>
              <w:rPr>
                <w:rFonts w:ascii="Cambria Math" w:eastAsia="맑은 고딕" w:hAnsi="Cambria Math" w:cs="Times New Roman"/>
                <w:sz w:val="22"/>
              </w:rPr>
              <m:t>2</m:t>
            </m:r>
          </m:sub>
        </m:sSub>
        <m:r>
          <m:rPr>
            <m:sty m:val="p"/>
          </m:rPr>
          <w:rPr>
            <w:rFonts w:ascii="Cambria Math" w:eastAsia="맑은 고딕" w:hAnsi="Cambria Math" w:cs="Times New Roman"/>
            <w:sz w:val="22"/>
          </w:rPr>
          <m:t xml:space="preserve">c </m:t>
        </m:r>
      </m:oMath>
      <w:r w:rsidRPr="0054396A">
        <w:rPr>
          <w:rFonts w:ascii="Times New Roman" w:eastAsia="맑은 고딕" w:hAnsi="Times New Roman" w:cs="Times New Roman"/>
          <w:sz w:val="22"/>
        </w:rPr>
        <w:br/>
        <w:t xml:space="preserve">(2) </w:t>
      </w:r>
      <m:oMath>
        <m:sSub>
          <m:sSubPr>
            <m:ctrlPr>
              <w:rPr>
                <w:rFonts w:ascii="Cambria Math" w:eastAsia="맑은 고딕" w:hAnsi="Cambria Math" w:cs="Times New Roman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bscript"/>
              </w:rPr>
              <m:t>T</m:t>
            </m:r>
          </m:sub>
        </m:sSub>
        <m:r>
          <m:rPr>
            <m:sty m:val="p"/>
          </m:rPr>
          <w:rPr>
            <w:rFonts w:ascii="Cambria Math" w:eastAsia="맑은 고딕" w:hAnsi="Cambria Math" w:cs="Times New Roman"/>
            <w:sz w:val="22"/>
          </w:rPr>
          <m:t xml:space="preserve">(t|a, m, c) = </m:t>
        </m:r>
        <m:sSub>
          <m:sSubPr>
            <m:ctrlPr>
              <w:rPr>
                <w:rFonts w:ascii="Cambria Math" w:eastAsia="맑은 고딕" w:hAnsi="Cambria Math" w:cs="Times New Roman"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</w:rPr>
              <m:t>λ</m:t>
            </m:r>
          </m:e>
          <m:sub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bscript"/>
              </w:rPr>
              <m:t>T</m:t>
            </m:r>
          </m:sub>
        </m:sSub>
        <m:r>
          <m:rPr>
            <m:sty m:val="p"/>
          </m:rPr>
          <w:rPr>
            <w:rFonts w:ascii="Cambria Math" w:eastAsia="맑은 고딕" w:hAnsi="Cambria Math" w:cs="Times New Roman"/>
            <w:sz w:val="22"/>
          </w:rPr>
          <m:t>(t|0, 0, 0)</m:t>
        </m:r>
        <m:sSup>
          <m:sSupPr>
            <m:ctrlPr>
              <w:rPr>
                <w:rFonts w:ascii="Cambria Math" w:eastAsia="맑은 고딕" w:hAnsi="Cambria Math" w:cs="Times New Roman"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</w:rPr>
              <m:t>е</m:t>
            </m:r>
          </m:e>
          <m:sup>
            <m:sSub>
              <m:sSubPr>
                <m:ctrl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γ</m:t>
                </m:r>
              </m:e>
              <m:sub>
                <m: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1</m:t>
                </m:r>
              </m:sub>
            </m:sSub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perscript"/>
              </w:rPr>
              <m:t>a+</m:t>
            </m:r>
            <m:sSub>
              <m:sSubPr>
                <m:ctrl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γ</m:t>
                </m:r>
              </m:e>
              <m:sub>
                <m: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2</m:t>
                </m:r>
              </m:sub>
            </m:sSub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perscript"/>
              </w:rPr>
              <m:t>m+</m:t>
            </m:r>
            <m:sSub>
              <m:sSubPr>
                <m:ctrl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γ</m:t>
                </m:r>
              </m:e>
              <m:sub>
                <m: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3</m:t>
                </m:r>
              </m:sub>
            </m:sSub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perscript"/>
              </w:rPr>
              <m:t>am+</m:t>
            </m:r>
            <m:sSub>
              <m:sSubPr>
                <m:ctrl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γ'</m:t>
                </m:r>
              </m:e>
              <m:sub>
                <m:r>
                  <w:rPr>
                    <w:rFonts w:ascii="Cambria Math" w:eastAsia="맑은 고딕" w:hAnsi="Cambria Math" w:cs="Times New Roman"/>
                    <w:sz w:val="22"/>
                    <w:vertAlign w:val="superscript"/>
                  </w:rPr>
                  <m:t>4</m:t>
                </m:r>
              </m:sub>
            </m:sSub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perscript"/>
              </w:rPr>
              <m:t>c</m:t>
            </m:r>
          </m:sup>
        </m:sSup>
        <m:r>
          <m:rPr>
            <m:sty m:val="p"/>
          </m:rPr>
          <w:rPr>
            <w:rFonts w:ascii="Cambria Math" w:eastAsia="맑은 고딕" w:hAnsi="Cambria Math" w:cs="Times New Roman"/>
            <w:sz w:val="22"/>
            <w:vertAlign w:val="superscript"/>
          </w:rPr>
          <m:t xml:space="preserve">   </m:t>
        </m:r>
      </m:oMath>
    </w:p>
    <w:p w:rsidR="00E10F91" w:rsidRPr="0054396A" w:rsidRDefault="00E10F91" w:rsidP="00E10F91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sz w:val="22"/>
        </w:rPr>
      </w:pPr>
      <w:r w:rsidRPr="0054396A">
        <w:rPr>
          <w:rFonts w:ascii="Times New Roman" w:hAnsi="Times New Roman" w:cs="Times New Roman" w:hint="eastAsia"/>
          <w:sz w:val="22"/>
        </w:rPr>
        <w:t>T</w:t>
      </w:r>
      <w:r w:rsidRPr="0054396A">
        <w:rPr>
          <w:rFonts w:ascii="Times New Roman" w:hAnsi="Times New Roman" w:cs="Times New Roman"/>
          <w:sz w:val="22"/>
        </w:rPr>
        <w:t>he natural indirect effect (NIE) and natural direct effect (NDE) on the log hazard difference are given by the following equation, if the outcome is rare:</w:t>
      </w:r>
      <w:r w:rsidRPr="0054396A">
        <w:rPr>
          <w:rFonts w:ascii="Times New Roman" w:hAnsi="Times New Roman" w:cs="Times New Roman"/>
          <w:sz w:val="22"/>
        </w:rPr>
        <w:br/>
        <w:t xml:space="preserve">1. </w:t>
      </w:r>
      <m:oMath>
        <m:func>
          <m:funcPr>
            <m:ctrlPr>
              <w:rPr>
                <w:rFonts w:ascii="Cambria Math" w:hAnsi="Cambria Math" w:cs="Times New Roman"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log</m:t>
            </m:r>
          </m:fName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sz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맑은 고딕" w:hAnsi="Cambria Math" w:cs="Times New Roman"/>
                        <w:sz w:val="22"/>
                      </w:rPr>
                      <m:t>λ</m:t>
                    </m:r>
                  </m:e>
                  <m:sub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Ta</m:t>
                    </m:r>
                    <m:sSub>
                      <m:sSubPr>
                        <m:ctrlPr>
                          <w:rPr>
                            <w:rFonts w:ascii="Cambria Math" w:eastAsia="맑은 고딕" w:hAnsi="Cambria Math" w:cs="Times New Roman"/>
                            <w:i/>
                            <w:sz w:val="22"/>
                            <w:vertAlign w:val="sub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a</m:t>
                        </m:r>
                      </m:sub>
                    </m:sSub>
                  </m:sub>
                </m:sSub>
                <m:d>
                  <m:d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  <w:vertAlign w:val="subscript"/>
                      </w:rPr>
                    </m:ctrlPr>
                  </m:d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</m:t>
                    </m:r>
                  </m:e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c</m:t>
                    </m:r>
                  </m:e>
                </m:d>
                <m:ctrlPr>
                  <w:rPr>
                    <w:rFonts w:ascii="Cambria Math" w:eastAsia="맑은 고딕" w:hAnsi="Cambria Math" w:cs="Times New Roman"/>
                    <w:i/>
                    <w:sz w:val="22"/>
                    <w:vertAlign w:val="subscript"/>
                  </w:rPr>
                </m:ctrlPr>
              </m:e>
            </m:d>
          </m:e>
        </m:func>
        <m:r>
          <w:rPr>
            <w:rFonts w:ascii="Cambria Math" w:eastAsia="맑은 고딕" w:hAnsi="Cambria Math" w:cs="Times New Roman"/>
            <w:sz w:val="22"/>
            <w:vertAlign w:val="subscript"/>
          </w:rPr>
          <m:t>-</m:t>
        </m:r>
        <m:func>
          <m:func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funcPr>
          <m:fNam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bscript"/>
              </w:rPr>
              <m:t>log</m:t>
            </m:r>
          </m:fName>
          <m:e>
            <m:d>
              <m:dPr>
                <m:begChr m:val="{"/>
                <m:endChr m:val="}"/>
                <m:ctrlPr>
                  <w:rPr>
                    <w:rFonts w:ascii="Cambria Math" w:eastAsia="맑은 고딕" w:hAnsi="Cambria Math" w:cs="Times New Roman"/>
                    <w:i/>
                    <w:sz w:val="22"/>
                    <w:vertAlign w:val="subscript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</w:rPr>
                      <m:t>λ</m:t>
                    </m:r>
                  </m:e>
                  <m:sub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Ta</m:t>
                    </m:r>
                    <m:sSub>
                      <m:sSubPr>
                        <m:ctrlPr>
                          <w:rPr>
                            <w:rFonts w:ascii="Cambria Math" w:eastAsia="맑은 고딕" w:hAnsi="Cambria Math" w:cs="Times New Roman"/>
                            <w:i/>
                            <w:sz w:val="22"/>
                            <w:vertAlign w:val="sub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a*</m:t>
                        </m:r>
                      </m:sub>
                    </m:sSub>
                  </m:sub>
                </m:sSub>
                <m:d>
                  <m:d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  <w:vertAlign w:val="subscript"/>
                      </w:rPr>
                    </m:ctrlPr>
                  </m:d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</m:t>
                    </m:r>
                  </m:e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c</m:t>
                    </m:r>
                  </m:e>
                </m:d>
              </m:e>
            </m:d>
          </m:e>
        </m:func>
        <m:r>
          <w:rPr>
            <w:rFonts w:ascii="Cambria Math" w:eastAsia="맑은 고딕" w:hAnsi="Cambria Math" w:cs="Times New Roman"/>
            <w:sz w:val="22"/>
            <w:vertAlign w:val="subscript"/>
          </w:rPr>
          <m:t>=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(γ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b>
        </m:sSub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β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1</m:t>
            </m:r>
          </m:sub>
        </m:sSub>
        <m:r>
          <w:rPr>
            <w:rFonts w:ascii="Cambria Math" w:eastAsia="맑은 고딕" w:hAnsi="Cambria Math" w:cs="Times New Roman"/>
            <w:sz w:val="22"/>
            <w:vertAlign w:val="subscript"/>
          </w:rPr>
          <m:t>+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γ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3</m:t>
            </m:r>
          </m:sub>
        </m:sSub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β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1</m:t>
            </m:r>
          </m:sub>
        </m:sSub>
        <m:r>
          <w:rPr>
            <w:rFonts w:ascii="Cambria Math" w:eastAsia="맑은 고딕" w:hAnsi="Cambria Math" w:cs="Times New Roman"/>
            <w:sz w:val="22"/>
            <w:vertAlign w:val="subscript"/>
          </w:rPr>
          <m:t>a)(a-a*)</m:t>
        </m:r>
      </m:oMath>
      <w:r w:rsidRPr="0054396A">
        <w:rPr>
          <w:rFonts w:ascii="Times New Roman" w:eastAsia="맑은 고딕" w:hAnsi="Times New Roman" w:cs="Times New Roman"/>
          <w:sz w:val="22"/>
        </w:rPr>
        <w:br/>
        <w:t xml:space="preserve">2. </w:t>
      </w:r>
      <m:oMath>
        <m:func>
          <m:funcPr>
            <m:ctrlPr>
              <w:rPr>
                <w:rFonts w:ascii="Cambria Math" w:hAnsi="Cambria Math" w:cs="Times New Roman"/>
                <w:sz w:val="22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log</m:t>
            </m:r>
          </m:fName>
          <m:e>
            <m:d>
              <m:dPr>
                <m:begChr m:val="{"/>
                <m:endChr m:val="}"/>
                <m:ctrlPr>
                  <w:rPr>
                    <w:rFonts w:ascii="Cambria Math" w:hAnsi="Cambria Math" w:cs="Times New Roman"/>
                    <w:sz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맑은 고딕" w:hAnsi="Cambria Math" w:cs="Times New Roman"/>
                        <w:sz w:val="22"/>
                      </w:rPr>
                      <m:t>λ</m:t>
                    </m:r>
                  </m:e>
                  <m:sub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Ta</m:t>
                    </m:r>
                    <m:sSub>
                      <m:sSubPr>
                        <m:ctrlPr>
                          <w:rPr>
                            <w:rFonts w:ascii="Cambria Math" w:eastAsia="맑은 고딕" w:hAnsi="Cambria Math" w:cs="Times New Roman"/>
                            <w:i/>
                            <w:sz w:val="22"/>
                            <w:vertAlign w:val="sub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a*</m:t>
                        </m:r>
                      </m:sub>
                    </m:sSub>
                  </m:sub>
                </m:sSub>
                <m:d>
                  <m:d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  <w:vertAlign w:val="subscript"/>
                      </w:rPr>
                    </m:ctrlPr>
                  </m:d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</m:t>
                    </m:r>
                  </m:e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c</m:t>
                    </m:r>
                  </m:e>
                </m:d>
                <m:ctrlPr>
                  <w:rPr>
                    <w:rFonts w:ascii="Cambria Math" w:eastAsia="맑은 고딕" w:hAnsi="Cambria Math" w:cs="Times New Roman"/>
                    <w:i/>
                    <w:sz w:val="22"/>
                    <w:vertAlign w:val="subscript"/>
                  </w:rPr>
                </m:ctrlPr>
              </m:e>
            </m:d>
          </m:e>
        </m:func>
        <m:r>
          <w:rPr>
            <w:rFonts w:ascii="Cambria Math" w:eastAsia="맑은 고딕" w:hAnsi="Cambria Math" w:cs="Times New Roman"/>
            <w:sz w:val="22"/>
            <w:vertAlign w:val="subscript"/>
          </w:rPr>
          <m:t>-</m:t>
        </m:r>
        <m:func>
          <m:func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funcPr>
          <m:fName>
            <m:r>
              <m:rPr>
                <m:sty m:val="p"/>
              </m:rPr>
              <w:rPr>
                <w:rFonts w:ascii="Cambria Math" w:eastAsia="맑은 고딕" w:hAnsi="Cambria Math" w:cs="Times New Roman"/>
                <w:sz w:val="22"/>
                <w:vertAlign w:val="subscript"/>
              </w:rPr>
              <m:t>log</m:t>
            </m:r>
          </m:fName>
          <m:e>
            <m:d>
              <m:dPr>
                <m:begChr m:val="{"/>
                <m:endChr m:val="}"/>
                <m:ctrlPr>
                  <w:rPr>
                    <w:rFonts w:ascii="Cambria Math" w:eastAsia="맑은 고딕" w:hAnsi="Cambria Math" w:cs="Times New Roman"/>
                    <w:i/>
                    <w:sz w:val="22"/>
                    <w:vertAlign w:val="subscript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  <w:vertAlign w:val="subscript"/>
                      </w:rPr>
                    </m:ctrlPr>
                  </m:sSub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</w:rPr>
                      <m:t>λ</m:t>
                    </m:r>
                  </m:e>
                  <m:sub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Ta*</m:t>
                    </m:r>
                    <m:sSub>
                      <m:sSubPr>
                        <m:ctrlPr>
                          <w:rPr>
                            <w:rFonts w:ascii="Cambria Math" w:eastAsia="맑은 고딕" w:hAnsi="Cambria Math" w:cs="Times New Roman"/>
                            <w:i/>
                            <w:sz w:val="22"/>
                            <w:vertAlign w:val="subscript"/>
                          </w:rPr>
                        </m:ctrlPr>
                      </m:sSubPr>
                      <m:e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eastAsia="맑은 고딕" w:hAnsi="Cambria Math" w:cs="Times New Roman"/>
                            <w:sz w:val="22"/>
                            <w:vertAlign w:val="subscript"/>
                          </w:rPr>
                          <m:t>a*</m:t>
                        </m:r>
                      </m:sub>
                    </m:sSub>
                  </m:sub>
                </m:sSub>
                <m:d>
                  <m:dPr>
                    <m:ctrlPr>
                      <w:rPr>
                        <w:rFonts w:ascii="Cambria Math" w:eastAsia="맑은 고딕" w:hAnsi="Cambria Math" w:cs="Times New Roman"/>
                        <w:i/>
                        <w:sz w:val="22"/>
                        <w:vertAlign w:val="subscript"/>
                      </w:rPr>
                    </m:ctrlPr>
                  </m:dPr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t</m:t>
                    </m:r>
                  </m:e>
                  <m:e>
                    <m:r>
                      <w:rPr>
                        <w:rFonts w:ascii="Cambria Math" w:eastAsia="맑은 고딕" w:hAnsi="Cambria Math" w:cs="Times New Roman"/>
                        <w:sz w:val="22"/>
                        <w:vertAlign w:val="subscript"/>
                      </w:rPr>
                      <m:t>c</m:t>
                    </m:r>
                  </m:e>
                </m:d>
              </m:e>
            </m:d>
          </m:e>
        </m:func>
        <m:r>
          <w:rPr>
            <w:rFonts w:ascii="Cambria Math" w:eastAsia="맑은 고딕" w:hAnsi="Cambria Math" w:cs="Times New Roman"/>
            <w:sz w:val="22"/>
            <w:vertAlign w:val="subscript"/>
          </w:rPr>
          <m:t>=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{</m:t>
            </m:r>
            <m:sSub>
              <m:sSubPr>
                <m:ctrlPr>
                  <w:rPr>
                    <w:rFonts w:ascii="Cambria Math" w:eastAsia="맑은 고딕" w:hAnsi="Cambria Math" w:cs="Times New Roman"/>
                    <w:i/>
                    <w:sz w:val="22"/>
                    <w:vertAlign w:val="subscript"/>
                  </w:rPr>
                </m:ctrlPr>
              </m:sSubPr>
              <m:e>
                <m:r>
                  <w:rPr>
                    <w:rFonts w:ascii="Cambria Math" w:eastAsia="맑은 고딕" w:hAnsi="Cambria Math" w:cs="Times New Roman"/>
                    <w:sz w:val="22"/>
                    <w:vertAlign w:val="subscript"/>
                  </w:rPr>
                  <m:t>γ</m:t>
                </m:r>
              </m:e>
              <m:sub>
                <m:r>
                  <w:rPr>
                    <w:rFonts w:ascii="Cambria Math" w:eastAsia="맑은 고딕" w:hAnsi="Cambria Math" w:cs="Times New Roman"/>
                    <w:sz w:val="22"/>
                    <w:vertAlign w:val="subscript"/>
                  </w:rPr>
                  <m:t>1</m:t>
                </m:r>
              </m:sub>
            </m:s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+γ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3</m:t>
            </m:r>
          </m:sub>
        </m:sSub>
        <m:r>
          <w:rPr>
            <w:rFonts w:ascii="Cambria Math" w:eastAsia="맑은 고딕" w:hAnsi="Cambria Math" w:cs="Times New Roman"/>
            <w:sz w:val="22"/>
            <w:vertAlign w:val="subscript"/>
          </w:rPr>
          <m:t>(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β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0</m:t>
            </m:r>
          </m:sub>
        </m:sSub>
        <m:r>
          <w:rPr>
            <w:rFonts w:ascii="Cambria Math" w:eastAsia="맑은 고딕" w:hAnsi="Cambria Math" w:cs="Times New Roman"/>
            <w:sz w:val="22"/>
            <w:vertAlign w:val="subscript"/>
          </w:rPr>
          <m:t>+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β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1</m:t>
            </m:r>
          </m:sub>
        </m:sSub>
        <m:r>
          <w:rPr>
            <w:rFonts w:ascii="Cambria Math" w:eastAsia="맑은 고딕" w:hAnsi="Cambria Math" w:cs="Times New Roman"/>
            <w:sz w:val="22"/>
            <w:vertAlign w:val="subscript"/>
          </w:rPr>
          <m:t>a*+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sSup>
              <m:sSupPr>
                <m:ctrlPr>
                  <w:rPr>
                    <w:rFonts w:ascii="Cambria Math" w:eastAsia="맑은 고딕" w:hAnsi="Cambria Math" w:cs="Times New Roman"/>
                    <w:sz w:val="22"/>
                  </w:rPr>
                </m:ctrlPr>
              </m:sSupPr>
              <m:e>
                <m:r>
                  <w:rPr>
                    <w:rFonts w:ascii="Cambria Math" w:eastAsia="맑은 고딕" w:hAnsi="Cambria Math" w:cs="Times New Roman"/>
                    <w:sz w:val="22"/>
                    <w:vertAlign w:val="subscript"/>
                  </w:rPr>
                  <m:t>β</m:t>
                </m:r>
                <m:ctrlPr>
                  <w:rPr>
                    <w:rFonts w:ascii="Cambria Math" w:eastAsia="맑은 고딕" w:hAnsi="Cambria Math" w:cs="Times New Roman"/>
                    <w:i/>
                    <w:sz w:val="22"/>
                    <w:vertAlign w:val="subscript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 w:eastAsia="맑은 고딕" w:hAnsi="Cambria Math" w:cs="Times New Roman"/>
                    <w:sz w:val="22"/>
                  </w:rPr>
                  <m:t>'</m:t>
                </m:r>
              </m:sup>
            </m:sSup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b>
        </m:sSub>
        <m:r>
          <w:rPr>
            <w:rFonts w:ascii="Cambria Math" w:eastAsia="맑은 고딕" w:hAnsi="Cambria Math" w:cs="Times New Roman"/>
            <w:sz w:val="22"/>
            <w:vertAlign w:val="subscript"/>
          </w:rPr>
          <m:t>c+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γ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b>
        </m:sSub>
        <m:sSup>
          <m:sSup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p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σ</m:t>
            </m:r>
          </m:e>
          <m:sup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p>
        </m:sSup>
        <m:r>
          <w:rPr>
            <w:rFonts w:ascii="Cambria Math" w:eastAsia="맑은 고딕" w:hAnsi="Cambria Math" w:cs="Times New Roman"/>
            <w:sz w:val="22"/>
            <w:vertAlign w:val="subscript"/>
          </w:rPr>
          <m:t>)}(a-a*)+0.5</m:t>
        </m:r>
        <m:sSub>
          <m:sSub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b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γ</m:t>
            </m:r>
          </m:e>
          <m:sub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3</m:t>
            </m:r>
          </m:sub>
        </m:sSub>
        <m:sSup>
          <m:sSup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p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σ</m:t>
            </m:r>
          </m:e>
          <m:sup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p>
        </m:sSup>
        <m:r>
          <w:rPr>
            <w:rFonts w:ascii="Cambria Math" w:eastAsia="맑은 고딕" w:hAnsi="Cambria Math" w:cs="Times New Roman"/>
            <w:sz w:val="22"/>
            <w:vertAlign w:val="subscript"/>
          </w:rPr>
          <m:t>(</m:t>
        </m:r>
        <m:sSup>
          <m:sSup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p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a</m:t>
            </m:r>
          </m:e>
          <m:sup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p>
        </m:sSup>
        <m:r>
          <w:rPr>
            <w:rFonts w:ascii="Cambria Math" w:eastAsia="맑은 고딕" w:hAnsi="Cambria Math" w:cs="Times New Roman"/>
            <w:sz w:val="22"/>
            <w:vertAlign w:val="subscript"/>
          </w:rPr>
          <m:t>-</m:t>
        </m:r>
        <m:sSup>
          <m:sSupPr>
            <m:ctrlPr>
              <w:rPr>
                <w:rFonts w:ascii="Cambria Math" w:eastAsia="맑은 고딕" w:hAnsi="Cambria Math" w:cs="Times New Roman"/>
                <w:i/>
                <w:sz w:val="22"/>
                <w:vertAlign w:val="subscript"/>
              </w:rPr>
            </m:ctrlPr>
          </m:sSupPr>
          <m:e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a*</m:t>
            </m:r>
          </m:e>
          <m:sup>
            <m:r>
              <w:rPr>
                <w:rFonts w:ascii="Cambria Math" w:eastAsia="맑은 고딕" w:hAnsi="Cambria Math" w:cs="Times New Roman"/>
                <w:sz w:val="22"/>
                <w:vertAlign w:val="subscript"/>
              </w:rPr>
              <m:t>2</m:t>
            </m:r>
          </m:sup>
        </m:sSup>
        <m:r>
          <w:rPr>
            <w:rFonts w:ascii="Cambria Math" w:eastAsia="맑은 고딕" w:hAnsi="Cambria Math" w:cs="Times New Roman"/>
            <w:sz w:val="22"/>
            <w:vertAlign w:val="subscript"/>
          </w:rPr>
          <m:t>)</m:t>
        </m:r>
      </m:oMath>
      <w:r w:rsidRPr="0054396A">
        <w:rPr>
          <w:rFonts w:ascii="Times New Roman" w:eastAsia="맑은 고딕" w:hAnsi="Times New Roman" w:cs="Times New Roman"/>
          <w:sz w:val="22"/>
        </w:rPr>
        <w:t xml:space="preserve"> </w:t>
      </w:r>
    </w:p>
    <w:p w:rsidR="00647415" w:rsidRDefault="00647415" w:rsidP="00647415">
      <w:pPr>
        <w:widowControl/>
        <w:wordWrap/>
        <w:autoSpaceDE/>
        <w:autoSpaceDN/>
        <w:spacing w:line="480" w:lineRule="auto"/>
        <w:jc w:val="left"/>
        <w:rPr>
          <w:rFonts w:ascii="Times New Roman" w:eastAsia="맑은 고딕" w:hAnsi="Times New Roman" w:cs="Times New Roman"/>
          <w:sz w:val="22"/>
        </w:rPr>
      </w:pPr>
      <w:r w:rsidRPr="006F32AD">
        <w:rPr>
          <w:rFonts w:ascii="Times New Roman" w:eastAsia="맑은 고딕" w:hAnsi="Times New Roman" w:cs="Times New Roman"/>
          <w:sz w:val="22"/>
        </w:rPr>
        <w:t>In this study, the NIE and NDE were estimated using the HR scale; therefore, the total effect (TE) was calculated as the product of the NIE and NDE (TE = NIE×</w:t>
      </w:r>
      <w:r w:rsidRPr="006F32AD">
        <w:rPr>
          <w:rFonts w:ascii="Times New Roman" w:hAnsi="Times New Roman" w:cs="Times New Roman"/>
          <w:sz w:val="22"/>
        </w:rPr>
        <w:t xml:space="preserve">NDE). Analyses were conducted using models that allowed for exposure–mediator interaction. </w:t>
      </w:r>
      <w:r w:rsidRPr="006F32AD">
        <w:rPr>
          <w:rFonts w:ascii="Times New Roman" w:eastAsia="맑은 고딕" w:hAnsi="Times New Roman" w:cs="Times New Roman"/>
          <w:sz w:val="22"/>
        </w:rPr>
        <w:t>A total of 5,000 bootstrap re</w:t>
      </w:r>
      <w:r w:rsidRPr="006F32AD">
        <w:rPr>
          <w:rFonts w:ascii="Times New Roman" w:hAnsi="Times New Roman" w:cs="Times New Roman"/>
          <w:sz w:val="22"/>
        </w:rPr>
        <w:t>sampling</w:t>
      </w:r>
      <w:r w:rsidRPr="006F32AD">
        <w:rPr>
          <w:rFonts w:ascii="Times New Roman" w:eastAsia="맑은 고딕" w:hAnsi="Times New Roman" w:cs="Times New Roman"/>
          <w:sz w:val="22"/>
        </w:rPr>
        <w:t xml:space="preserve">s </w:t>
      </w:r>
      <w:r w:rsidRPr="006F32AD">
        <w:rPr>
          <w:rFonts w:ascii="Times New Roman" w:hAnsi="Times New Roman" w:cs="Times New Roman"/>
          <w:sz w:val="22"/>
        </w:rPr>
        <w:t xml:space="preserve">were used to estimate </w:t>
      </w:r>
      <w:r w:rsidRPr="006F32AD">
        <w:rPr>
          <w:rFonts w:ascii="Times New Roman" w:eastAsia="맑은 고딕" w:hAnsi="Times New Roman" w:cs="Times New Roman"/>
          <w:sz w:val="22"/>
        </w:rPr>
        <w:t>the confidence intervals.</w:t>
      </w:r>
    </w:p>
    <w:p w:rsidR="00803561" w:rsidRDefault="00803561" w:rsidP="00803561">
      <w:pPr>
        <w:widowControl/>
        <w:wordWrap/>
        <w:autoSpaceDE/>
        <w:autoSpaceDN/>
        <w:rPr>
          <w:rFonts w:ascii="Times New Roman" w:eastAsia="맑은 고딕" w:hAnsi="Times New Roman" w:cs="Times New Roman"/>
          <w:sz w:val="22"/>
        </w:rPr>
      </w:pPr>
      <w:r>
        <w:rPr>
          <w:rFonts w:ascii="Times New Roman" w:eastAsia="맑은 고딕" w:hAnsi="Times New Roman" w:cs="Times New Roman"/>
          <w:sz w:val="22"/>
        </w:rPr>
        <w:br w:type="page"/>
      </w:r>
    </w:p>
    <w:p w:rsidR="00B750E2" w:rsidRPr="00B82FBD" w:rsidRDefault="00B750E2" w:rsidP="00D23EF4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sz w:val="22"/>
        </w:rPr>
      </w:pPr>
      <w:r w:rsidRPr="00B82FBD"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2"/>
        </w:rPr>
        <w:t>S2</w:t>
      </w:r>
      <w:r w:rsidRPr="00B82FBD">
        <w:rPr>
          <w:rFonts w:ascii="Times New Roman" w:hAnsi="Times New Roman" w:cs="Times New Roman"/>
          <w:sz w:val="22"/>
        </w:rPr>
        <w:t xml:space="preserve"> Association between </w:t>
      </w:r>
      <w:r>
        <w:rPr>
          <w:rFonts w:ascii="Times New Roman" w:hAnsi="Times New Roman" w:cs="Times New Roman"/>
          <w:sz w:val="22"/>
        </w:rPr>
        <w:t>long working hours and all-cause and CVD mortality alternative working hour category</w:t>
      </w:r>
      <w:r w:rsidR="00D23EF4">
        <w:rPr>
          <w:rFonts w:ascii="Times New Roman" w:hAnsi="Times New Roman" w:cs="Times New Roman"/>
          <w:sz w:val="22"/>
        </w:rPr>
        <w:t xml:space="preserve"> on the fully-adjusted Cox regression models</w:t>
      </w:r>
    </w:p>
    <w:tbl>
      <w:tblPr>
        <w:tblStyle w:val="a5"/>
        <w:tblW w:w="68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7"/>
        <w:gridCol w:w="2348"/>
        <w:gridCol w:w="2385"/>
      </w:tblGrid>
      <w:tr w:rsidR="00B750E2" w:rsidRPr="00CF76A3" w:rsidTr="00D62BA2">
        <w:trPr>
          <w:trHeight w:val="224"/>
        </w:trPr>
        <w:tc>
          <w:tcPr>
            <w:tcW w:w="2137" w:type="dxa"/>
            <w:tcBorders>
              <w:top w:val="single" w:sz="4" w:space="0" w:color="auto"/>
            </w:tcBorders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All-cause</w:t>
            </w:r>
            <w:r w:rsidR="006E5105">
              <w:rPr>
                <w:rFonts w:ascii="Times New Roman" w:eastAsia="Times New Roman Uni" w:hAnsi="Times New Roman" w:cs="Times New Roman"/>
                <w:b/>
                <w:szCs w:val="20"/>
              </w:rPr>
              <w:t xml:space="preserve"> mortality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CVD</w:t>
            </w:r>
            <w:r w:rsidR="006E5105">
              <w:rPr>
                <w:rFonts w:ascii="Times New Roman" w:eastAsia="Times New Roman Uni" w:hAnsi="Times New Roman" w:cs="Times New Roman"/>
                <w:b/>
                <w:szCs w:val="20"/>
              </w:rPr>
              <w:t xml:space="preserve"> mortality</w:t>
            </w:r>
          </w:p>
        </w:tc>
      </w:tr>
      <w:tr w:rsidR="00B750E2" w:rsidRPr="00CF76A3" w:rsidTr="00D62BA2">
        <w:trPr>
          <w:trHeight w:val="240"/>
        </w:trPr>
        <w:tc>
          <w:tcPr>
            <w:tcW w:w="2137" w:type="dxa"/>
            <w:tcBorders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HR (95% CI)</w:t>
            </w: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HR (95% CI)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tcBorders>
              <w:top w:val="single" w:sz="4" w:space="0" w:color="auto"/>
            </w:tcBorders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Overall</w:t>
            </w:r>
          </w:p>
        </w:tc>
        <w:tc>
          <w:tcPr>
            <w:tcW w:w="2348" w:type="dxa"/>
            <w:tcBorders>
              <w:top w:val="single" w:sz="4" w:space="0" w:color="auto"/>
            </w:tcBorders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auto"/>
            </w:tcBorders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 xml:space="preserve"> Overall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 xml:space="preserve">  &lt; 35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 (1.09-1.99)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2.19 (0.99-4.84)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>35–40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szCs w:val="20"/>
              </w:rPr>
              <w:t>41–52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1.35 (0.99-1.83)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2.38 (1.10-5.14)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szCs w:val="20"/>
              </w:rPr>
              <w:t xml:space="preserve">  53+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 (0.93-1.68)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2.06 (0.97-4.38)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Men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48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hAnsi="Times New Roman" w:cs="Times New Roman"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 xml:space="preserve"> Overall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48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hAnsi="Times New Roman" w:cs="Times New Roman"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 xml:space="preserve">  &lt; 35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1.57 (1.06-2.32)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2.33 (0.72-7.50)</w:t>
            </w:r>
          </w:p>
        </w:tc>
      </w:tr>
      <w:tr w:rsidR="00B750E2" w:rsidRPr="00CF76A3" w:rsidTr="00D62BA2">
        <w:trPr>
          <w:trHeight w:val="348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ind w:firstLineChars="100" w:firstLine="200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>35–40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ind w:firstLineChars="100" w:firstLine="194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szCs w:val="20"/>
              </w:rPr>
              <w:t>41–52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1.52 (1.04-2.21)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2.57 (1.01-6.55)</w:t>
            </w:r>
          </w:p>
        </w:tc>
      </w:tr>
      <w:tr w:rsidR="00B750E2" w:rsidRPr="00CF76A3" w:rsidTr="00D62BA2">
        <w:trPr>
          <w:trHeight w:val="348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szCs w:val="20"/>
              </w:rPr>
              <w:t xml:space="preserve">  53+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 (1.04-2.11)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2.50 (1.00-6.26)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b/>
                <w:szCs w:val="20"/>
              </w:rPr>
              <w:t>Wen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hAnsi="Times New Roman" w:cs="Times New Roman"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 xml:space="preserve"> Overall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rPr>
                <w:rFonts w:ascii="Times New Roman" w:hAnsi="Times New Roman" w:cs="Times New Roman"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 xml:space="preserve">  &lt; 35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1.23 (0.79-1.91)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1.85 (0.65-5.26)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ind w:firstLineChars="100" w:firstLine="200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hAnsi="Times New Roman" w:cs="Times New Roman"/>
                <w:szCs w:val="20"/>
              </w:rPr>
              <w:t>35–40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B750E2" w:rsidRPr="00CF76A3" w:rsidTr="00D62BA2">
        <w:trPr>
          <w:trHeight w:val="348"/>
        </w:trPr>
        <w:tc>
          <w:tcPr>
            <w:tcW w:w="2137" w:type="dxa"/>
            <w:vAlign w:val="center"/>
          </w:tcPr>
          <w:p w:rsidR="00B750E2" w:rsidRPr="00CF76A3" w:rsidRDefault="00B750E2" w:rsidP="00314C18">
            <w:pPr>
              <w:ind w:firstLineChars="100" w:firstLine="194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szCs w:val="20"/>
              </w:rPr>
              <w:t>41–52 h</w:t>
            </w:r>
          </w:p>
        </w:tc>
        <w:tc>
          <w:tcPr>
            <w:tcW w:w="2348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 (0.61-1.75)</w:t>
            </w:r>
          </w:p>
        </w:tc>
        <w:tc>
          <w:tcPr>
            <w:tcW w:w="2385" w:type="dxa"/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1.97 (0.54-7.21)</w:t>
            </w:r>
          </w:p>
        </w:tc>
      </w:tr>
      <w:tr w:rsidR="00B750E2" w:rsidRPr="00CF76A3" w:rsidTr="00D62BA2">
        <w:trPr>
          <w:trHeight w:val="354"/>
        </w:trPr>
        <w:tc>
          <w:tcPr>
            <w:tcW w:w="2137" w:type="dxa"/>
            <w:tcBorders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Times New Roman Uni" w:hAnsi="Times New Roman" w:cs="Times New Roman"/>
                <w:szCs w:val="20"/>
              </w:rPr>
              <w:t xml:space="preserve">  53+ h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0.71 (0.40-1.25)</w:t>
            </w:r>
          </w:p>
        </w:tc>
        <w:tc>
          <w:tcPr>
            <w:tcW w:w="2385" w:type="dxa"/>
            <w:tcBorders>
              <w:bottom w:val="single" w:sz="4" w:space="0" w:color="auto"/>
            </w:tcBorders>
            <w:vAlign w:val="center"/>
          </w:tcPr>
          <w:p w:rsidR="00B750E2" w:rsidRPr="00CF76A3" w:rsidRDefault="00B750E2" w:rsidP="00314C18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CF76A3">
              <w:rPr>
                <w:rFonts w:ascii="Times New Roman" w:eastAsia="맑은 고딕" w:hAnsi="Times New Roman" w:cs="Times New Roman"/>
                <w:color w:val="000000"/>
                <w:szCs w:val="20"/>
              </w:rPr>
              <w:t>1.15 (0.32-4.06)</w:t>
            </w:r>
          </w:p>
        </w:tc>
      </w:tr>
    </w:tbl>
    <w:p w:rsidR="00B750E2" w:rsidRDefault="00B750E2">
      <w:pPr>
        <w:widowControl/>
        <w:wordWrap/>
        <w:autoSpaceDE/>
        <w:autoSpaceDN/>
        <w:rPr>
          <w:rFonts w:ascii="Times New Roman" w:hAnsi="Times New Roman" w:cs="Times New Roman"/>
          <w:b/>
          <w:sz w:val="22"/>
        </w:rPr>
      </w:pPr>
      <w:r w:rsidRPr="00B82FBD">
        <w:rPr>
          <w:rFonts w:ascii="Times New Roman" w:hAnsi="Times New Roman" w:cs="Times New Roman"/>
          <w:szCs w:val="20"/>
        </w:rPr>
        <w:t>CVD, cardiovascular disease, HR, Hazard ratio, CI, confidence interval</w:t>
      </w:r>
      <w:r>
        <w:rPr>
          <w:rFonts w:ascii="Times New Roman" w:hAnsi="Times New Roman" w:cs="Times New Roman"/>
          <w:b/>
          <w:sz w:val="22"/>
        </w:rPr>
        <w:br w:type="page"/>
      </w:r>
    </w:p>
    <w:p w:rsidR="00AB0CA7" w:rsidRPr="00B82FBD" w:rsidRDefault="00AB0CA7" w:rsidP="00AB0CA7">
      <w:pPr>
        <w:widowControl/>
        <w:wordWrap/>
        <w:autoSpaceDE/>
        <w:autoSpaceDN/>
        <w:spacing w:after="0" w:line="360" w:lineRule="auto"/>
        <w:jc w:val="left"/>
        <w:rPr>
          <w:rFonts w:ascii="Times New Roman" w:hAnsi="Times New Roman" w:cs="Times New Roman"/>
          <w:sz w:val="22"/>
        </w:rPr>
      </w:pPr>
      <w:r w:rsidRPr="00B82FBD"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 w:rsidR="00E80FCC">
        <w:rPr>
          <w:rFonts w:ascii="Times New Roman" w:hAnsi="Times New Roman" w:cs="Times New Roman"/>
          <w:b/>
          <w:sz w:val="22"/>
        </w:rPr>
        <w:t>S3</w:t>
      </w:r>
      <w:r w:rsidRPr="00B82FBD">
        <w:rPr>
          <w:rFonts w:ascii="Times New Roman" w:hAnsi="Times New Roman" w:cs="Times New Roman"/>
          <w:sz w:val="22"/>
        </w:rPr>
        <w:t xml:space="preserve"> Association between </w:t>
      </w:r>
      <w:r>
        <w:rPr>
          <w:rFonts w:ascii="Times New Roman" w:hAnsi="Times New Roman" w:cs="Times New Roman"/>
          <w:sz w:val="22"/>
        </w:rPr>
        <w:t xml:space="preserve">long working hours and all-cause and CVD mortality </w:t>
      </w:r>
      <w:r w:rsidR="00277133">
        <w:rPr>
          <w:rFonts w:ascii="Times New Roman" w:hAnsi="Times New Roman" w:cs="Times New Roman"/>
          <w:sz w:val="22"/>
        </w:rPr>
        <w:t xml:space="preserve">excluding </w:t>
      </w:r>
      <w:r w:rsidR="00277133" w:rsidRPr="00277133">
        <w:rPr>
          <w:rFonts w:ascii="Times New Roman" w:hAnsi="Times New Roman" w:cs="Times New Roman"/>
          <w:sz w:val="22"/>
        </w:rPr>
        <w:t>death cases within the first three years of follow-</w:t>
      </w:r>
      <w:r w:rsidR="00E14BFF">
        <w:rPr>
          <w:rFonts w:ascii="Times New Roman" w:hAnsi="Times New Roman" w:cs="Times New Roman"/>
          <w:sz w:val="22"/>
        </w:rPr>
        <w:t>up</w:t>
      </w:r>
      <w:r w:rsidR="00E80FCC">
        <w:rPr>
          <w:rFonts w:ascii="Times New Roman" w:hAnsi="Times New Roman" w:cs="Times New Roman"/>
          <w:sz w:val="22"/>
        </w:rPr>
        <w:t xml:space="preserve"> on the fully-adjusted Cox regression models</w:t>
      </w:r>
    </w:p>
    <w:tbl>
      <w:tblPr>
        <w:tblStyle w:val="a5"/>
        <w:tblW w:w="68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9"/>
        <w:gridCol w:w="2385"/>
        <w:gridCol w:w="2416"/>
      </w:tblGrid>
      <w:tr w:rsidR="006B7A66" w:rsidRPr="009A6AB5" w:rsidTr="00430C64">
        <w:trPr>
          <w:trHeight w:val="224"/>
        </w:trPr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All-cause mortality</w:t>
            </w:r>
          </w:p>
        </w:tc>
        <w:tc>
          <w:tcPr>
            <w:tcW w:w="2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CVD mortality</w:t>
            </w:r>
          </w:p>
        </w:tc>
      </w:tr>
      <w:tr w:rsidR="006B7A66" w:rsidRPr="009A6AB5" w:rsidTr="00430C64">
        <w:trPr>
          <w:trHeight w:val="240"/>
        </w:trPr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HR (95% CI)</w:t>
            </w:r>
          </w:p>
        </w:tc>
        <w:tc>
          <w:tcPr>
            <w:tcW w:w="2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HR (95% CI)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tcBorders>
              <w:top w:val="single" w:sz="4" w:space="0" w:color="auto"/>
            </w:tcBorders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Overall</w:t>
            </w:r>
          </w:p>
        </w:tc>
        <w:tc>
          <w:tcPr>
            <w:tcW w:w="2385" w:type="dxa"/>
            <w:tcBorders>
              <w:top w:val="single" w:sz="4" w:space="0" w:color="auto"/>
            </w:tcBorders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tcBorders>
              <w:top w:val="single" w:sz="4" w:space="0" w:color="auto"/>
            </w:tcBorders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 xml:space="preserve"> Overall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 xml:space="preserve">  &lt; 35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 (1.09-1.99)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2.19 (0.99-4.84)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>35–40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szCs w:val="20"/>
              </w:rPr>
              <w:t>41–48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1.35 (0.99-1.83)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2.38 (1.10-5.14)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szCs w:val="20"/>
              </w:rPr>
              <w:t xml:space="preserve">  55+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1.25 (0.93-1.68)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2.06 (0.97-4.38)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Men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48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hAnsi="Times New Roman" w:cs="Times New Roman"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 xml:space="preserve"> Overall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48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hAnsi="Times New Roman" w:cs="Times New Roman"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 xml:space="preserve">  &lt; 35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1.57 (1.06-2.32)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2.33 (0.72-7.50)</w:t>
            </w:r>
          </w:p>
        </w:tc>
      </w:tr>
      <w:tr w:rsidR="006B7A66" w:rsidRPr="009A6AB5" w:rsidTr="00430C64">
        <w:trPr>
          <w:trHeight w:val="348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ind w:firstLineChars="100" w:firstLine="200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>35–40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ind w:firstLineChars="100" w:firstLine="194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szCs w:val="20"/>
              </w:rPr>
              <w:t>41–54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1.52 (1.04-2.21)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2.57 (1.01-6.55)</w:t>
            </w:r>
          </w:p>
        </w:tc>
      </w:tr>
      <w:tr w:rsidR="006B7A66" w:rsidRPr="009A6AB5" w:rsidTr="00430C64">
        <w:trPr>
          <w:trHeight w:val="348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szCs w:val="20"/>
              </w:rPr>
              <w:t xml:space="preserve">  55+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1.48 (1.04-2.11)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2.50 (1.00-6.26)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b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b/>
                <w:szCs w:val="20"/>
              </w:rPr>
              <w:t>Wen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hAnsi="Times New Roman" w:cs="Times New Roman"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 xml:space="preserve"> Overall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rPr>
                <w:rFonts w:ascii="Times New Roman" w:hAnsi="Times New Roman" w:cs="Times New Roman"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 xml:space="preserve">  &lt; 35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1.23 (0.79-1.91)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1.85 (0.65-5.26)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ind w:firstLineChars="100" w:firstLine="200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hAnsi="Times New Roman" w:cs="Times New Roman"/>
                <w:szCs w:val="20"/>
              </w:rPr>
              <w:t>35–40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</w:p>
        </w:tc>
      </w:tr>
      <w:tr w:rsidR="006B7A66" w:rsidRPr="009A6AB5" w:rsidTr="00430C64">
        <w:trPr>
          <w:trHeight w:val="348"/>
        </w:trPr>
        <w:tc>
          <w:tcPr>
            <w:tcW w:w="2069" w:type="dxa"/>
            <w:vAlign w:val="center"/>
          </w:tcPr>
          <w:p w:rsidR="006B7A66" w:rsidRPr="009A6AB5" w:rsidRDefault="006B7A66" w:rsidP="006B7A66">
            <w:pPr>
              <w:ind w:firstLineChars="100" w:firstLine="194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szCs w:val="20"/>
              </w:rPr>
              <w:t>41–54 h</w:t>
            </w:r>
          </w:p>
        </w:tc>
        <w:tc>
          <w:tcPr>
            <w:tcW w:w="2385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1.03 (0.61-1.75)</w:t>
            </w:r>
          </w:p>
        </w:tc>
        <w:tc>
          <w:tcPr>
            <w:tcW w:w="2416" w:type="dxa"/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1.97 (0.54-7.21)</w:t>
            </w:r>
          </w:p>
        </w:tc>
      </w:tr>
      <w:tr w:rsidR="006B7A66" w:rsidRPr="009A6AB5" w:rsidTr="00430C64">
        <w:trPr>
          <w:trHeight w:val="354"/>
        </w:trPr>
        <w:tc>
          <w:tcPr>
            <w:tcW w:w="2069" w:type="dxa"/>
            <w:tcBorders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Times New Roman Uni" w:hAnsi="Times New Roman" w:cs="Times New Roman"/>
                <w:szCs w:val="20"/>
              </w:rPr>
              <w:t xml:space="preserve">  55+ h</w:t>
            </w:r>
          </w:p>
        </w:tc>
        <w:tc>
          <w:tcPr>
            <w:tcW w:w="2385" w:type="dxa"/>
            <w:tcBorders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0.71 (0.40-1.25)</w:t>
            </w:r>
          </w:p>
        </w:tc>
        <w:tc>
          <w:tcPr>
            <w:tcW w:w="2416" w:type="dxa"/>
            <w:tcBorders>
              <w:bottom w:val="single" w:sz="4" w:space="0" w:color="auto"/>
            </w:tcBorders>
            <w:vAlign w:val="center"/>
          </w:tcPr>
          <w:p w:rsidR="006B7A66" w:rsidRPr="009A6AB5" w:rsidRDefault="006B7A66" w:rsidP="006B7A66">
            <w:pPr>
              <w:ind w:left="1600" w:hanging="1600"/>
              <w:jc w:val="center"/>
              <w:rPr>
                <w:rFonts w:ascii="Times New Roman" w:eastAsia="Times New Roman Uni" w:hAnsi="Times New Roman" w:cs="Times New Roman"/>
                <w:szCs w:val="20"/>
              </w:rPr>
            </w:pPr>
            <w:r w:rsidRPr="009A6AB5">
              <w:rPr>
                <w:rFonts w:ascii="Times New Roman" w:eastAsia="맑은 고딕" w:hAnsi="Times New Roman" w:cs="Times New Roman"/>
                <w:color w:val="000000"/>
                <w:szCs w:val="20"/>
              </w:rPr>
              <w:t>1.15 (0.32-4.06)</w:t>
            </w:r>
          </w:p>
        </w:tc>
      </w:tr>
    </w:tbl>
    <w:p w:rsidR="00E10F91" w:rsidRPr="008468D6" w:rsidRDefault="00701CAE" w:rsidP="005868D7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b/>
          <w:sz w:val="22"/>
        </w:rPr>
      </w:pPr>
      <w:r w:rsidRPr="00B82FBD">
        <w:rPr>
          <w:rFonts w:ascii="Times New Roman" w:hAnsi="Times New Roman" w:cs="Times New Roman"/>
          <w:szCs w:val="20"/>
        </w:rPr>
        <w:t>CVD, cardiovascular disease, HR, Hazard ratio, CI, confidence interval</w:t>
      </w:r>
    </w:p>
    <w:sectPr w:rsidR="00E10F91" w:rsidRPr="008468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78F8" w:rsidRDefault="001F78F8" w:rsidP="00E10F91">
      <w:pPr>
        <w:spacing w:after="0" w:line="240" w:lineRule="auto"/>
      </w:pPr>
      <w:r>
        <w:separator/>
      </w:r>
    </w:p>
  </w:endnote>
  <w:endnote w:type="continuationSeparator" w:id="0">
    <w:p w:rsidR="001F78F8" w:rsidRDefault="001F78F8" w:rsidP="00E10F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Uni">
    <w:altName w:val="함초롬바탕"/>
    <w:charset w:val="81"/>
    <w:family w:val="roman"/>
    <w:pitch w:val="variable"/>
    <w:sig w:usb0="B334AAFF" w:usb1="F9DFFFFF" w:usb2="0000003E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78F8" w:rsidRDefault="001F78F8" w:rsidP="00E10F91">
      <w:pPr>
        <w:spacing w:after="0" w:line="240" w:lineRule="auto"/>
      </w:pPr>
      <w:r>
        <w:separator/>
      </w:r>
    </w:p>
  </w:footnote>
  <w:footnote w:type="continuationSeparator" w:id="0">
    <w:p w:rsidR="001F78F8" w:rsidRDefault="001F78F8" w:rsidP="00E10F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30144C"/>
    <w:multiLevelType w:val="hybridMultilevel"/>
    <w:tmpl w:val="D27C6070"/>
    <w:lvl w:ilvl="0" w:tplc="ADFE8DAE">
      <w:start w:val="1"/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EDB"/>
    <w:rsid w:val="000135DD"/>
    <w:rsid w:val="00035D3D"/>
    <w:rsid w:val="00057EDD"/>
    <w:rsid w:val="00071BF5"/>
    <w:rsid w:val="000C70E3"/>
    <w:rsid w:val="000F5CAD"/>
    <w:rsid w:val="00107838"/>
    <w:rsid w:val="00116952"/>
    <w:rsid w:val="0019273D"/>
    <w:rsid w:val="001B63D4"/>
    <w:rsid w:val="001F78F8"/>
    <w:rsid w:val="00277133"/>
    <w:rsid w:val="00282B97"/>
    <w:rsid w:val="00313DA8"/>
    <w:rsid w:val="003721C6"/>
    <w:rsid w:val="003F17B7"/>
    <w:rsid w:val="00430C64"/>
    <w:rsid w:val="00462D3B"/>
    <w:rsid w:val="00485F91"/>
    <w:rsid w:val="004A50A0"/>
    <w:rsid w:val="004F4056"/>
    <w:rsid w:val="0052353D"/>
    <w:rsid w:val="005868D7"/>
    <w:rsid w:val="005E3EEC"/>
    <w:rsid w:val="00605057"/>
    <w:rsid w:val="00647415"/>
    <w:rsid w:val="00662FC1"/>
    <w:rsid w:val="006827ED"/>
    <w:rsid w:val="006B7A66"/>
    <w:rsid w:val="006C7DB3"/>
    <w:rsid w:val="006E5105"/>
    <w:rsid w:val="00701CAE"/>
    <w:rsid w:val="00710E5D"/>
    <w:rsid w:val="00793C57"/>
    <w:rsid w:val="007C4100"/>
    <w:rsid w:val="00803561"/>
    <w:rsid w:val="008468D6"/>
    <w:rsid w:val="00884EDB"/>
    <w:rsid w:val="00893AFC"/>
    <w:rsid w:val="00906BB0"/>
    <w:rsid w:val="009A6AB5"/>
    <w:rsid w:val="009B1D9A"/>
    <w:rsid w:val="00A87238"/>
    <w:rsid w:val="00AB0CA7"/>
    <w:rsid w:val="00AF3B5E"/>
    <w:rsid w:val="00B750E2"/>
    <w:rsid w:val="00CD1230"/>
    <w:rsid w:val="00CF13E2"/>
    <w:rsid w:val="00CF76A3"/>
    <w:rsid w:val="00D036B1"/>
    <w:rsid w:val="00D23EF4"/>
    <w:rsid w:val="00D62BA2"/>
    <w:rsid w:val="00D7596D"/>
    <w:rsid w:val="00D77A3E"/>
    <w:rsid w:val="00DE0E7C"/>
    <w:rsid w:val="00E10F91"/>
    <w:rsid w:val="00E14BFF"/>
    <w:rsid w:val="00E20233"/>
    <w:rsid w:val="00E34AB3"/>
    <w:rsid w:val="00E57887"/>
    <w:rsid w:val="00E80FCC"/>
    <w:rsid w:val="00E841D7"/>
    <w:rsid w:val="00E96901"/>
    <w:rsid w:val="00EA3EE8"/>
    <w:rsid w:val="00EF12EE"/>
    <w:rsid w:val="00F525C0"/>
    <w:rsid w:val="00FA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60A24C"/>
  <w15:chartTrackingRefBased/>
  <w15:docId w15:val="{8AE1309F-BFBB-478F-B1E0-8C8E7E84B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F9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F9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10F91"/>
  </w:style>
  <w:style w:type="paragraph" w:styleId="a4">
    <w:name w:val="footer"/>
    <w:basedOn w:val="a"/>
    <w:link w:val="Char0"/>
    <w:uiPriority w:val="99"/>
    <w:unhideWhenUsed/>
    <w:rsid w:val="00E10F9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10F91"/>
  </w:style>
  <w:style w:type="table" w:styleId="a5">
    <w:name w:val="Table Grid"/>
    <w:basedOn w:val="a1"/>
    <w:uiPriority w:val="39"/>
    <w:rsid w:val="00E10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721C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1113</Words>
  <Characters>6345</Characters>
  <Application>Microsoft Office Word</Application>
  <DocSecurity>0</DocSecurity>
  <Lines>52</Lines>
  <Paragraphs>14</Paragraphs>
  <ScaleCrop>false</ScaleCrop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Seonguk Baek</dc:creator>
  <cp:keywords/>
  <dc:description/>
  <cp:lastModifiedBy>Seonguk Baek</cp:lastModifiedBy>
  <cp:revision>95</cp:revision>
  <dcterms:created xsi:type="dcterms:W3CDTF">2025-11-24T01:44:00Z</dcterms:created>
  <dcterms:modified xsi:type="dcterms:W3CDTF">2025-12-01T07:48:00Z</dcterms:modified>
</cp:coreProperties>
</file>