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ADB6" w14:textId="796B46D0" w:rsidR="006B1473" w:rsidRDefault="000D04BB" w:rsidP="000D04BB">
      <w:pPr>
        <w:jc w:val="center"/>
      </w:pPr>
      <w:r>
        <w:t>Supplemental Materials</w:t>
      </w:r>
    </w:p>
    <w:p w14:paraId="78595A42" w14:textId="30128E40" w:rsidR="00471ADD" w:rsidRPr="00471ADD" w:rsidRDefault="00471ADD" w:rsidP="000D04BB">
      <w:r w:rsidRPr="00471ADD">
        <w:t>This document contains the table out</w:t>
      </w:r>
      <w:r>
        <w:t xml:space="preserve">lining the results from the COSMIN Risk of Bias results for </w:t>
      </w:r>
      <w:r w:rsidR="00E64513">
        <w:t xml:space="preserve">studies in this review. </w:t>
      </w:r>
      <w:r w:rsidR="00075411">
        <w:t>Few studies computed content validity and responsiveness</w:t>
      </w:r>
      <w:r w:rsidR="005352FD">
        <w:t xml:space="preserve">. </w:t>
      </w:r>
      <w:r w:rsidR="001866D7">
        <w:t xml:space="preserve">Almost all studies </w:t>
      </w:r>
      <w:r w:rsidR="00C77F9D">
        <w:t xml:space="preserve">computed criterion validity (e.g., sensitivity and specificity analyses) </w:t>
      </w:r>
      <w:r w:rsidR="005352FD">
        <w:t>and internal consistency. Several studies</w:t>
      </w:r>
      <w:r w:rsidR="00C77F9D">
        <w:t xml:space="preserve"> comput</w:t>
      </w:r>
      <w:r w:rsidR="005352FD">
        <w:t>ed</w:t>
      </w:r>
      <w:r w:rsidR="00C77F9D">
        <w:t xml:space="preserve"> factor analyses (i.e., structural validity)</w:t>
      </w:r>
      <w:r w:rsidR="005352FD">
        <w:t xml:space="preserve"> </w:t>
      </w:r>
      <w:r w:rsidR="000130CA">
        <w:t xml:space="preserve">and only two studies examined measurement invariance. </w:t>
      </w:r>
    </w:p>
    <w:p w14:paraId="479A2751" w14:textId="746240B5" w:rsidR="000D04BB" w:rsidRDefault="000D04BB" w:rsidP="000D04BB">
      <w:r w:rsidRPr="00E64513">
        <w:t xml:space="preserve">e-Table 1. </w:t>
      </w:r>
      <w:r>
        <w:t>COSMIN Risk of Bias Results</w:t>
      </w:r>
    </w:p>
    <w:tbl>
      <w:tblPr>
        <w:tblW w:w="12468" w:type="dxa"/>
        <w:tblLook w:val="04A0" w:firstRow="1" w:lastRow="0" w:firstColumn="1" w:lastColumn="0" w:noHBand="0" w:noVBand="1"/>
      </w:tblPr>
      <w:tblGrid>
        <w:gridCol w:w="1065"/>
        <w:gridCol w:w="1232"/>
        <w:gridCol w:w="1711"/>
        <w:gridCol w:w="998"/>
        <w:gridCol w:w="1116"/>
        <w:gridCol w:w="1252"/>
        <w:gridCol w:w="998"/>
        <w:gridCol w:w="1252"/>
        <w:gridCol w:w="919"/>
        <w:gridCol w:w="1047"/>
        <w:gridCol w:w="1370"/>
      </w:tblGrid>
      <w:tr w:rsidR="000D04BB" w:rsidRPr="000D04BB" w14:paraId="028AC6E8" w14:textId="77777777" w:rsidTr="000D04BB">
        <w:trPr>
          <w:trHeight w:val="1300"/>
        </w:trPr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C60B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Instrument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8212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Author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DB87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Content Validity (Concept Elucidation; 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B075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Structural Validity</w:t>
            </w:r>
          </w:p>
        </w:tc>
        <w:tc>
          <w:tcPr>
            <w:tcW w:w="10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5B1C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Internal Consistency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308D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Cross-Cultural Validity/ Measurement Invariance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64A2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Reliability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7FA0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Measurement Error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0F24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Criterion Validity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A9B8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Hypothesis Testing for Construct Validity</w:t>
            </w:r>
          </w:p>
        </w:tc>
        <w:tc>
          <w:tcPr>
            <w:tcW w:w="134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D63D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Responsiveness</w:t>
            </w:r>
          </w:p>
        </w:tc>
      </w:tr>
      <w:tr w:rsidR="000D04BB" w:rsidRPr="000D04BB" w14:paraId="41C9CCEA" w14:textId="77777777" w:rsidTr="000D04BB">
        <w:trPr>
          <w:trHeight w:val="78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D696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27D3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9650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Pilot Test Comprehensibility;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5A3C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916E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F37B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99A1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88F3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BE3D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F756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8F91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6CD785F3" w14:textId="77777777" w:rsidTr="000D04BB">
        <w:trPr>
          <w:trHeight w:val="78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6FEC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8127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9763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Patient Relevance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8CFC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70CA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D784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CF1B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11DB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CFBF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A69A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48BE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7275CCCF" w14:textId="77777777" w:rsidTr="000D04BB">
        <w:trPr>
          <w:trHeight w:val="104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AB4D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75B0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B7EE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Professional Relevance;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0EEB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39BA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845F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FFF6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5C58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7548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1ED3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6700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0E249D08" w14:textId="77777777" w:rsidTr="000D04BB">
        <w:trPr>
          <w:trHeight w:val="104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F07A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46AA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C673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Professional comprehensiveness;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0FEC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9EE2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154C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E72F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D66A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8680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C312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5B59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7C762267" w14:textId="77777777" w:rsidTr="000D04BB">
        <w:trPr>
          <w:trHeight w:val="104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8E55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3259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66D7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Professional comprehensibility)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27D5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F704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2854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F741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68AC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5B84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C1F9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3BCF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246C53FC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2CA3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4A97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66CB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54F5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2AD6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323C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F8D0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3728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CBB0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F87D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AC82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776C0FD4" w14:textId="77777777" w:rsidTr="000D04BB">
        <w:trPr>
          <w:trHeight w:val="290"/>
        </w:trPr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EB4A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ASQ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536C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Abaddi</w:t>
            </w:r>
            <w:proofErr w:type="spellEnd"/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et al., 2023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3F89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39F0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05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8ACE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E003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A55A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5D40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4900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7055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34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47A1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</w:tr>
      <w:tr w:rsidR="000D04BB" w:rsidRPr="000D04BB" w14:paraId="7A8575D7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82B8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BC40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BE11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5F63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32F7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0A46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FB16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66A4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905A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AD74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158B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58BE255C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6A1A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3865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4896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7DBD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942A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0184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03A6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E515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29BF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54EA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66DC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6C720542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C31D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8CE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84F4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6B90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41D2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F271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AEFE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1346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4069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DD16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6601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3633CC7B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0B52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3777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AA3E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FFF4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0757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85FF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6E7A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2498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BF26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E0C0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0BA3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0E3C7E87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86CF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A0BB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125C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4290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5C4A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745B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9622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75D9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F3C2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3A87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3BB1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354C6227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EC47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4687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7950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C656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A63E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66B3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B9A2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4E7F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2B70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392E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6A2B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1A78AE81" w14:textId="77777777" w:rsidTr="000D04BB">
        <w:trPr>
          <w:trHeight w:val="290"/>
        </w:trPr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E43C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ASQ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A88A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Ballard et al., 2017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8347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1D15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05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89FB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50B2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9837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4BA0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183E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EC56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34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8FEE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</w:tr>
      <w:tr w:rsidR="000D04BB" w:rsidRPr="000D04BB" w14:paraId="11423C30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B4DA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DC6E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41BE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E54B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5B3D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24A5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B3E7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7C75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8828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4F21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7AC1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613B7CC7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BAFA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DF4E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82E7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B2CB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F967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C243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6AC7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36AE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9350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412D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40FB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0E7F12CE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EB90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D407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F304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B26B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868E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C92D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AE19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C5F7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81E8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7262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FD0E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2D1D200E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1223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B108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5850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E092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3123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F70A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0620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D46F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9245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3DB9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B523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2DAB5DAC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3956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73B8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2885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5991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E201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27A1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356E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9570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D489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7A66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7581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1FA02F81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557D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8A4F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D258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522F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BAB9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1659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3272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0C53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B0A4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709B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C478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3BAEB391" w14:textId="77777777" w:rsidTr="000D04BB">
        <w:trPr>
          <w:trHeight w:val="290"/>
        </w:trPr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B233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ASQ and CASSY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27CB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Brent et al., 2023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6ADB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2A19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05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DF78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E799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B9DD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381A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2766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636B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34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E2C1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</w:tr>
      <w:tr w:rsidR="000D04BB" w:rsidRPr="000D04BB" w14:paraId="406E20D7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B9E8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CE37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EA72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EED5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4E82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B9C3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5386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1D7B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DF4A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E9A3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EB54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12A9D325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EB81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917F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9D8E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3760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3CF6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8424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2E5B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4AF5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6BBF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526F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52C8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5C2363D9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5EA5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BD26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3F8E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1CD2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8336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8AEE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B1F3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8B95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B72A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A837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1CC9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72DD867C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A5A3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4D14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D083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2645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FC5B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0666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5595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1CD0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35EA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2459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3A7E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23B97BF6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D320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49DB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4572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FE71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1C74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6F22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438E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6D57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9471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9727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8CD5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0A08687D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5568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60BF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57A5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3284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C3ED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3E0A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D332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FBDD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2280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5C55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09B0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008A2663" w14:textId="77777777" w:rsidTr="000D04BB">
        <w:trPr>
          <w:trHeight w:val="290"/>
        </w:trPr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D2A1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ASQ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3EA4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Devylder</w:t>
            </w:r>
            <w:proofErr w:type="spellEnd"/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et al., 2019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E80E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2F33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05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A00D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E185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9516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37C1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C11E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8012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34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0B8B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</w:tr>
      <w:tr w:rsidR="000D04BB" w:rsidRPr="000D04BB" w14:paraId="506D7AF2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F4D6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92D0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23FB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309D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DB6C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9CE2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79C0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9CDF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EC47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3ACF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F989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51D88796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2888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D85F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9B23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6E57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EA96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5A8B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6353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47CC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403E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5F65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8C13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49C5ABF5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658F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FBC8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0FEF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2BEE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23D9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2BBD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D71F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8D29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2B80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9C21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81AB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79E8D3A2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2A8C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28F4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033B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DF7C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6B15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ECEC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F25D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AC35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53A4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95C8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FA3B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0D79F590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BEF8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1DE4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7F1A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D5FB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CD79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801B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7A4D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BF5F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7FC8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024F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78BC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59DE76F4" w14:textId="77777777" w:rsidTr="000D04BB">
        <w:trPr>
          <w:trHeight w:val="290"/>
        </w:trPr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E457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ASQ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CC4B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Haroz</w:t>
            </w:r>
            <w:proofErr w:type="spellEnd"/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et al., 2021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4A24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2AEB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05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4DD5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B79E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FF74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DEB0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D769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AF73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34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ABE9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</w:tr>
      <w:tr w:rsidR="000D04BB" w:rsidRPr="000D04BB" w14:paraId="018BF21B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64F2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73CD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614B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5A00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9D7F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EA58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1DA0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532C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AC58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8AAD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E583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4BF3EA84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3B66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9309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8CAA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3F17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338E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B95A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8A19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4F6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0420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28F5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1D34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7BA1F210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8B6F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0535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8EA4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03A7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012E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1941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9FE7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4984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22B8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D27D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F6E9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2814661A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048E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9676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1086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C286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751E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E249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ECA0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9ADE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19A3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4F56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78C0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76D88269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DC0B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650E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B229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9A3F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3F04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6B54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64A9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7D00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57D1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C59D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00E7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50ABF8E1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FEE6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9D3C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EB54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DA79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3C95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FD4E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6F0F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802A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AE4B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3FED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556B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539DA2C5" w14:textId="77777777" w:rsidTr="000D04BB">
        <w:trPr>
          <w:trHeight w:val="290"/>
        </w:trPr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7A02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ASQ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734B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Horowitz et al., 2012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ED7D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Doubtful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BB1F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05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64C0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FB4D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8443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EA63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C2FF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95E0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34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985C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</w:tr>
      <w:tr w:rsidR="000D04BB" w:rsidRPr="000D04BB" w14:paraId="00151F06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A2EF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98E6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9E8B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Doubtful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20E7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1145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5264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ACDE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B16C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598A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EEA2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9DB0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58C84CA5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3DD7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4894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36F3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E659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B950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0816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1738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91E5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CC5F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38BF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C760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3A06A8EA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143F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81A8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EFD7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FB10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8173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05EF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91C6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3650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672D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1552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CEDA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5EADE48E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AF32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EBFF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815D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9C2A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D3E5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D2F8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5100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5C3F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C0E0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33C4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CFEF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355825F4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5F67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D667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082E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B919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C4ED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9DF9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4120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5674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7A74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9D14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F1D6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3B0C4EFD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4CF3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D649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7D96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B3BC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0029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09D3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C4DE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65C1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85DF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889D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CEC2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1E84A1C6" w14:textId="77777777" w:rsidTr="000D04BB">
        <w:trPr>
          <w:trHeight w:val="290"/>
        </w:trPr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F0A0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ASQ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0079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Horowitz et al., 2023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FA79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CF1C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05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3E8F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CE96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2EB8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3B04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F74C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FEB6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34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6CAF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</w:tr>
      <w:tr w:rsidR="000D04BB" w:rsidRPr="000D04BB" w14:paraId="461C2076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EE61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D22C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BBE6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533C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09E3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2183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7E25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27D0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2EDC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7BCC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2434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070BBBBE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619A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2B36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9FFF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D766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3444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0086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E32E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299B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FA8E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F218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4E9D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38D61388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E2B6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333C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5553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2301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B9C6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CE9A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D50C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11F0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08B5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D5D3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F03E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56FE5B5B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8151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CB35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8269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CFB2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B8C3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DEDC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8753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58B1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679A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4E1C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5F2B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0272D990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3A75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6D8E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B967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7514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6F8A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EC86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C1E0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87B8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808D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70FC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5BEB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79496697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123A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2B72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96E6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D8A8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806B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600E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E869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F6BA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1190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98F4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9CAE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7270975E" w14:textId="77777777" w:rsidTr="000D04BB">
        <w:trPr>
          <w:trHeight w:val="290"/>
        </w:trPr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1A01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BHS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6BE1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Diamond et al., 2010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6386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Inadequate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E203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Inadequate</w:t>
            </w:r>
          </w:p>
        </w:tc>
        <w:tc>
          <w:tcPr>
            <w:tcW w:w="105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7515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89BF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474B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ED22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1AA3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BDDB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Inadequate</w:t>
            </w:r>
          </w:p>
        </w:tc>
        <w:tc>
          <w:tcPr>
            <w:tcW w:w="134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5AF3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</w:tr>
      <w:tr w:rsidR="000D04BB" w:rsidRPr="000D04BB" w14:paraId="73F352B9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BD3A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48EA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191B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Inadequate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F9BF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EB94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5D5B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5BFC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B026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7B30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B372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FD4C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2867702E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9816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5884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B144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55F2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11F8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38A9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9533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A6F4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C9C7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A48D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8EC8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307D152C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76CD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6CBD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7EF1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Doubtful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C57B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CF15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2D6B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3207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138E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05D7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F7C6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31AF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7831B984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2045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E334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246A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Doubtful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CFA9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633B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BE56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C711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C576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2CE0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6F62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E099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3F5A1BD1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705D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82A4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AB47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Doubtful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A2EF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7BB1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1AF5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04D6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58BF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70A4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2ECB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FD99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6C90B95C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9E4B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8E8E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B88E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025E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A6E1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EAB5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0A45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E699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6801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D5E0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C302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0CE558F3" w14:textId="77777777" w:rsidTr="000D04BB">
        <w:trPr>
          <w:trHeight w:val="290"/>
        </w:trPr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3F32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CARS-S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445B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Francois et al., 2025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40EF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F197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Inadequate</w:t>
            </w:r>
          </w:p>
        </w:tc>
        <w:tc>
          <w:tcPr>
            <w:tcW w:w="105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1784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FE12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E940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2979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EE9D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D3FA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34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0017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</w:tr>
      <w:tr w:rsidR="000D04BB" w:rsidRPr="000D04BB" w14:paraId="57B70AF3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21B8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6B4D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3F7F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D8FF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97FA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3F47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6C40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C684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8B30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7C69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B570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12287BEE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BF0D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2EC1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786C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AF72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98CF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1666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2374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EE7D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22A6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0B95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1DF1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7B8C5AD7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715A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595D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2E0A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053C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C057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9805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D5D9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CA82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C87E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6CD0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3BDF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405C8C43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5D25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2D3D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5AC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7B04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33C0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4043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3442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A0AD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DE9C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EB98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F82D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52EE713C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DCBD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2E23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CEDE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0CC2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3F3D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D6CF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B44D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C833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179D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B154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D04D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5E71705D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AE43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0D3A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4EC8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2299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1808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DC28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D2B1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B982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8046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EACA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2617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27E7C30E" w14:textId="77777777" w:rsidTr="000D04BB">
        <w:trPr>
          <w:trHeight w:val="290"/>
        </w:trPr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075B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MSMHS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1478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Chao &amp; Green (2010)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1A92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Inadequate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4512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105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B3B2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876F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9E0D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Inadequate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3678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7948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B2F1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Adequate</w:t>
            </w:r>
          </w:p>
        </w:tc>
        <w:tc>
          <w:tcPr>
            <w:tcW w:w="134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9F92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</w:tr>
      <w:tr w:rsidR="000D04BB" w:rsidRPr="000D04BB" w14:paraId="56469840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2B5E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9DD4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BA02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Inadequate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BBA9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220D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1A79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7FE4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2A97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CBCA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E653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E46F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1806CB43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BB39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516E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D33C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81D2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4371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15A5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3D3A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ADCD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63E8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8A90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8C33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7D4DEF34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0838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3E3F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D142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Doubtful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A25E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E03B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043D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66A5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A550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D2B6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73F9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0A6D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381C5FAE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EA15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F6AF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7EEC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F5E9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BD59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CDCF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4C50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8196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264B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FCA4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0E0C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407075B3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F55F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2216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82E2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E8D4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F3FE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3499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B53C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9504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AB2D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B4E7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E618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7F0B184C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01EF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0690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B25F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B389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6A88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B712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0843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C06E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24B4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E977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5A4A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1905C106" w14:textId="77777777" w:rsidTr="000D04BB">
        <w:trPr>
          <w:trHeight w:val="290"/>
        </w:trPr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0163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MAYSI-2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0417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Cauffman &amp; Macintosh, 2006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C997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87A9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Doubtful</w:t>
            </w:r>
          </w:p>
        </w:tc>
        <w:tc>
          <w:tcPr>
            <w:tcW w:w="105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4DA1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Inadequate 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E699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4734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867C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315F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E6D2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34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F96B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</w:tr>
      <w:tr w:rsidR="000D04BB" w:rsidRPr="000D04BB" w14:paraId="3EE63C3B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AD52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0081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2584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18F6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76D1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1AD5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3476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73D2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2730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4127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67BB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3552A0CA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1883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3653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EFAD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B1B9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D92B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27F2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4BAA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8ACE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EABE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6AD4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1E17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32B37EF5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F3F1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37FA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471D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05F4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52C7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8D2F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2048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39A3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0D3A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5729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8A23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6B7DC623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A3D3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B5A5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6BDD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E887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664D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798F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44E8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4F16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EA36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FD18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7095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40064FC1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718C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DC7F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DCB8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6416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8D9B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47F7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B052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2360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E07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5105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FAEE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101B2599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E658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A7BD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C86C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B13D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5555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76E2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8B01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7725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A383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C64A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F765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6CF8C7AF" w14:textId="77777777" w:rsidTr="000D04BB">
        <w:trPr>
          <w:trHeight w:val="290"/>
        </w:trPr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E111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PANSI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23CC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Aloba</w:t>
            </w:r>
            <w:proofErr w:type="spellEnd"/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et al., 2018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36D2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F1B2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105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0900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29B5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D111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4C48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4DCA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158B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134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650D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</w:tr>
      <w:tr w:rsidR="000D04BB" w:rsidRPr="000D04BB" w14:paraId="0B692930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1748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FD42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BB59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2236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5973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7D13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1B41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7E93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BE38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3F95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0ABB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7BF51F5D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DBA6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4E27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0383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A233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5275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3A10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4802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4208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0606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0858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F419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622DA0F6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1323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126F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01B7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B2A6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6A0C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22F8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6545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D6E1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5007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05B4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9B97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7EE8511D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4F22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BAF5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38F2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6A0A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D30C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6336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E540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A5C1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AFBF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16CC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6E8A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51093861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CCEE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965A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CADC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462E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3BC3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88AE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6BD7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EE1A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4C88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E71C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039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6C2E91A8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4C59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C2DD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71C4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45F6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BDDB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46D6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6A2D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1434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EF7B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1600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CAEE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6A5DED99" w14:textId="77777777" w:rsidTr="000D04BB">
        <w:trPr>
          <w:trHeight w:val="290"/>
        </w:trPr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6CDA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PDSALH Uganda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C174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Mutumba et al., 2015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5943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Adequate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4269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105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997E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4FDA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3410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3DD6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1830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D39E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134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324F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</w:tr>
      <w:tr w:rsidR="000D04BB" w:rsidRPr="000D04BB" w14:paraId="3CD9F8C6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0E69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A164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668B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Adequate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BAE6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ED70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AE13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E8FA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A255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6E6A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C488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80A9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2FDD7D71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9A23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FF89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1451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4B46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A024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732D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741E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7C07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F59C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47BF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3931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4AC587DD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22D7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7312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4A55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Adequate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7D91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0231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E299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EDE6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6C6A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F8ED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6D0D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613E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49CBAC47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9FD0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DDEC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81FD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Adequate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AEAC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E96E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12E3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689D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3984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505E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128C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6C97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07C00916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CF5B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C144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1A4C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Adequate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A613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08AC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870D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E010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A85B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7C5D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CE00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C601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20144A5F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94E9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88FC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1BE6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27D3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9795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210A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66FA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6132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90BD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8270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EDF9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6D98DB90" w14:textId="77777777" w:rsidTr="000D04BB">
        <w:trPr>
          <w:trHeight w:val="290"/>
        </w:trPr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5E01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RUSS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2104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Akpunne</w:t>
            </w:r>
            <w:proofErr w:type="spellEnd"/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et al., 2023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6F8F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9E3A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Adequate</w:t>
            </w:r>
          </w:p>
        </w:tc>
        <w:tc>
          <w:tcPr>
            <w:tcW w:w="105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FB29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44AA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036F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A77B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F0E8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D3E9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134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6EFC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</w:tr>
      <w:tr w:rsidR="000D04BB" w:rsidRPr="000D04BB" w14:paraId="0086DEF8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C075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2984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7D4E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03D5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F44F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5C7A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9C25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1479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355E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42D2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60DA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7368F2DD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48A0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F7E9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8429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E9B1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130E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DDC7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EC2A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F48B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503C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E895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884B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5083AEB5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A0EE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BAA0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6F27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Doubtful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1695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431A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2EE0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33CA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A4A3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D729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1486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3201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570A8B35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23C1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8B64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636F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Doubtful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73B6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FD06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B4A1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687F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AAAE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B452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8857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5FF9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395C5B3B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B642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E9F6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563A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Doubtful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D74A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038B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C20A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FA5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9BA9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8FF2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1B7D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674D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1F33ED01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4B01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42B0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3D97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A012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BBA2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0EA0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E8DB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FBCC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9546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83CC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F6E3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23A42CB2" w14:textId="77777777" w:rsidTr="000D04BB">
        <w:trPr>
          <w:trHeight w:val="29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FB9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C44A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57E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998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8AE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7A3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FBF9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011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441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498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4B2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2A930E47" w14:textId="77777777" w:rsidTr="000D04BB">
        <w:trPr>
          <w:trHeight w:val="29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37E3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87E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AD7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947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36D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7ECF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A56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8734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B453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CB9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391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401461DA" w14:textId="77777777" w:rsidTr="000D04BB">
        <w:trPr>
          <w:trHeight w:val="290"/>
        </w:trPr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7901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lastRenderedPageBreak/>
              <w:t>SBQ-R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0659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Adjorlolo</w:t>
            </w:r>
            <w:proofErr w:type="spellEnd"/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et al., 2020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6A03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CF43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Inadequate</w:t>
            </w:r>
          </w:p>
        </w:tc>
        <w:tc>
          <w:tcPr>
            <w:tcW w:w="105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2799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0516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Inadequate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ECBC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D885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31CC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5106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134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446F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</w:tr>
      <w:tr w:rsidR="000D04BB" w:rsidRPr="000D04BB" w14:paraId="06F4F713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AD16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FEA6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1568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1477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08D6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E9AF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ACB3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2071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7EE7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3A8F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6CB6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3ACB23C0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7352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FA55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6B1A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B271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7971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D13B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B428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515F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81FB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55C7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80DE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7E8C5058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750B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17A9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9C0F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C74B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7223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7B71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8193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D2D3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CCB6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43D9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C419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616C0FB3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3417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2877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3739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5300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173A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DF2E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D6F9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E2F7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F087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4DE8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AA3D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3EE8AE95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3206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E786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E5D6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27C5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9889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A31B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32FE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1574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E3EF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38E4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7461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3289BAA6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E55E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18B1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15F4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1C91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B5E9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81F9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0DD2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1711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C819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3FF4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531F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330A75BC" w14:textId="77777777" w:rsidTr="000D04BB">
        <w:trPr>
          <w:trHeight w:val="290"/>
        </w:trPr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A52C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SBQ-R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7CD9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Aloba</w:t>
            </w:r>
            <w:proofErr w:type="spellEnd"/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et al., 2017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7773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4825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Adequate</w:t>
            </w:r>
          </w:p>
        </w:tc>
        <w:tc>
          <w:tcPr>
            <w:tcW w:w="105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A3BB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2E1E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255A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DD57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32D9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8E15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Inadequate</w:t>
            </w:r>
          </w:p>
        </w:tc>
        <w:tc>
          <w:tcPr>
            <w:tcW w:w="134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94DC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</w:tr>
      <w:tr w:rsidR="000D04BB" w:rsidRPr="000D04BB" w14:paraId="03B6BEFE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372F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EDE2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E39C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AF0B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2691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6567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F2B0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1AC2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6A93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57FC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42AB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6F8435A7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9BEF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FAF0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B245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F0F2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51F5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F193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7A5C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EB54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E432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33CD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289F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23DCB742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B2EF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6B2B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22A2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418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9B67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954E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A4CA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B616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3C7B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18C8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8D0B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7B03D92F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F153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E190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2FBE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6CF8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3EBD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C999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CE5B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639C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2A6D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8288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79E6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3D1FDF9A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FDA2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0202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E047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DCE4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E4D9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423C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D556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2D8B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FCA9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B662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AF6E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195229B3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1FA4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C304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487C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AC14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599A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4AC3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F2F7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DBE2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3CB2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5AF3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F001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0913C302" w14:textId="77777777" w:rsidTr="000D04BB">
        <w:trPr>
          <w:trHeight w:val="290"/>
        </w:trPr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6813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SHBQ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8A00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Muehlenkamp et al., 2010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0267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005A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105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4FB5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BB44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059B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FA63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85DC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368C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34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8467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</w:tr>
      <w:tr w:rsidR="000D04BB" w:rsidRPr="000D04BB" w14:paraId="2B0D2337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CE8A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6796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D493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F0ED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9F12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4455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5306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E23B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C6CC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61DE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720A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5F77330E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CC42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EF25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33D4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2D8E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82FB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C88B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544D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E078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48F5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C557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6E9E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7AAA7B2A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E838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83A3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E331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B9EE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CB73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CF5D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042E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34CD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6D0E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92C1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D906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0F6EB030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3E4B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AB81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63D2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5BED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8041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2D90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CAB1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DAC5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9448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7788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728A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3556263E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9D30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209E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3235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F5F1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03F8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160F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22F3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AF78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6AAA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D430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20BA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332658D6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5D5D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87CB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5E88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7422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2101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0ED9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8B26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FB68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A7F5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2D5D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342C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3E579D1B" w14:textId="77777777" w:rsidTr="000D04BB">
        <w:trPr>
          <w:trHeight w:val="290"/>
        </w:trPr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AE39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SIQ-JR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99CC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Reynolds &amp; Mazza, 1999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13DD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F158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05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90E5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Doubtful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811F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551F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Doubtful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5935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3711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54C9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134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7947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</w:tr>
      <w:tr w:rsidR="000D04BB" w:rsidRPr="000D04BB" w14:paraId="20DADA79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2E2A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E3CA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A4CB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D746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7532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EFBA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91DB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6E75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54B2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19FB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9FDD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47C4E0BA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C197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ABFD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E05A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C99A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EC94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B573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DD74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9D4F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C6E8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85C7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F7EE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4AF73793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E13D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CEC6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5696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993A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20B1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1402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6481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7ADB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0018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651E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20DC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6A1EFE1A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BE9A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F910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C49F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F0D1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6A65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92AA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645F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649B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7453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7A80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6B65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4560EE79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7100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DA0B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ABE8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D2B0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84C1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AD53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2327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6BB6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00C8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C592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5E28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27E75061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97B1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3E0B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1CC7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EADB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B9C0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C9E4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0709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D360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EF2E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956A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EB44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3C302388" w14:textId="77777777" w:rsidTr="000D04BB">
        <w:trPr>
          <w:trHeight w:val="290"/>
        </w:trPr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361E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SIQ-Adult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EE59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Adeyemo et al., 2023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BBDC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C844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Doubtful</w:t>
            </w:r>
          </w:p>
        </w:tc>
        <w:tc>
          <w:tcPr>
            <w:tcW w:w="105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AD9A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DABC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484F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D684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6F56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1BA1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Very Good</w:t>
            </w:r>
          </w:p>
        </w:tc>
        <w:tc>
          <w:tcPr>
            <w:tcW w:w="134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E369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</w:tr>
      <w:tr w:rsidR="000D04BB" w:rsidRPr="000D04BB" w14:paraId="5326D5E6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FDD7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0F06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2AF9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866A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763E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1186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1B55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735C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8004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F282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3B51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52516A51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8A85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F6FB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CC1D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4A46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3DAB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A430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AEF6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F84D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73D4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700E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B2AA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7D0B1A4C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8911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3469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81F3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3684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3AAF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3347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014B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8854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CEC5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3F52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1162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4DCDC6B9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CD0D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5A6D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E904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1A52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A575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63E1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9A24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312B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12A9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B499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390F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066116DF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D835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5970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F8DE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3D71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091E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B573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DA73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4680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6E0B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73A4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3640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37DE4B03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710A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68D8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FD94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FF21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6CF6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F1F4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F822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0846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36D4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345A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41F3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0D7E2B30" w14:textId="77777777" w:rsidTr="000D04BB">
        <w:trPr>
          <w:trHeight w:val="29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773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B9ED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8F6E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6F4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1C2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262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E7D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AB2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9D4E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84A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A3C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5D9A2D38" w14:textId="77777777" w:rsidTr="000D04BB">
        <w:trPr>
          <w:trHeight w:val="29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B7E8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182F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197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109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942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E1B5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FEF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932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F892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2BC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5B3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441BB3F8" w14:textId="77777777" w:rsidTr="000D04BB">
        <w:trPr>
          <w:trHeight w:val="290"/>
        </w:trPr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5930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YRBSS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79ED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Brener et al., 2001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633D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08C5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05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3A98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BC9C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7DAE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Adequate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608C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B252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D8D8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134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C5D7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</w:tr>
      <w:tr w:rsidR="000D04BB" w:rsidRPr="000D04BB" w14:paraId="36F118DE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3FAF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0000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E7AE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D4EF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A9D1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A3D6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2400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0364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FD9F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91F0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87B5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185B5D5E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3C91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5C23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9339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CFFB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C1EB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28A7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72EC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B6F9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432F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42265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84F6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493A59CB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99A0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768F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3BFA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D1CC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6ACD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212D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AA93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B53CB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A42E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65012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A917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3B256719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38DF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B53E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E2D0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1CE77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A872C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05196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6E6F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6AAB4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F9E9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419F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3FB89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0D04BB" w:rsidRPr="000D04BB" w14:paraId="15F56611" w14:textId="77777777" w:rsidTr="000D04BB">
        <w:trPr>
          <w:trHeight w:val="290"/>
        </w:trPr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109F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91BEE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15E5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D04B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N/A</w:t>
            </w: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C0FA3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09B4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111EA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8F6E1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3EA68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47B5D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D619F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6EB80" w14:textId="77777777" w:rsidR="000D04BB" w:rsidRPr="000D04BB" w:rsidRDefault="000D04BB" w:rsidP="000D0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7C6AE94E" w14:textId="77777777" w:rsidR="000D04BB" w:rsidRDefault="000D04BB" w:rsidP="000D04BB"/>
    <w:sectPr w:rsidR="000D04BB" w:rsidSect="000D04B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BB"/>
    <w:rsid w:val="000130CA"/>
    <w:rsid w:val="00075411"/>
    <w:rsid w:val="000D04BB"/>
    <w:rsid w:val="001866D7"/>
    <w:rsid w:val="00471ADD"/>
    <w:rsid w:val="004907CA"/>
    <w:rsid w:val="005352FD"/>
    <w:rsid w:val="006104CB"/>
    <w:rsid w:val="00680F9F"/>
    <w:rsid w:val="006B1473"/>
    <w:rsid w:val="00C77F9D"/>
    <w:rsid w:val="00E64513"/>
    <w:rsid w:val="00FC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B259E"/>
  <w15:chartTrackingRefBased/>
  <w15:docId w15:val="{BEF30CC6-F32C-47CA-B9E0-69376D72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4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4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4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D04BB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4BB"/>
    <w:rPr>
      <w:color w:val="96607D"/>
      <w:u w:val="single"/>
    </w:rPr>
  </w:style>
  <w:style w:type="paragraph" w:customStyle="1" w:styleId="msonormal0">
    <w:name w:val="msonormal"/>
    <w:basedOn w:val="Normal"/>
    <w:rsid w:val="000D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xl63">
    <w:name w:val="xl63"/>
    <w:basedOn w:val="Normal"/>
    <w:rsid w:val="000D04B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en-CA"/>
      <w14:ligatures w14:val="none"/>
    </w:rPr>
  </w:style>
  <w:style w:type="paragraph" w:customStyle="1" w:styleId="xl64">
    <w:name w:val="xl64"/>
    <w:basedOn w:val="Normal"/>
    <w:rsid w:val="000D04B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en-CA"/>
      <w14:ligatures w14:val="none"/>
    </w:rPr>
  </w:style>
  <w:style w:type="paragraph" w:customStyle="1" w:styleId="xl65">
    <w:name w:val="xl65"/>
    <w:basedOn w:val="Normal"/>
    <w:rsid w:val="000D04BB"/>
    <w:pPr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kern w:val="0"/>
      <w:sz w:val="24"/>
      <w:szCs w:val="24"/>
      <w:lang w:eastAsia="en-CA"/>
      <w14:ligatures w14:val="none"/>
    </w:rPr>
  </w:style>
  <w:style w:type="paragraph" w:customStyle="1" w:styleId="xl66">
    <w:name w:val="xl66"/>
    <w:basedOn w:val="Normal"/>
    <w:rsid w:val="000D04B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802</Words>
  <Characters>3590</Characters>
  <Application>Microsoft Office Word</Application>
  <DocSecurity>0</DocSecurity>
  <Lines>3590</Lines>
  <Paragraphs>627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Grant</dc:creator>
  <cp:keywords/>
  <dc:description/>
  <cp:lastModifiedBy>David Grant</cp:lastModifiedBy>
  <cp:revision>8</cp:revision>
  <dcterms:created xsi:type="dcterms:W3CDTF">2025-10-27T21:19:00Z</dcterms:created>
  <dcterms:modified xsi:type="dcterms:W3CDTF">2025-10-27T21:32:00Z</dcterms:modified>
</cp:coreProperties>
</file>