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325BE" w:rsidRPr="00E17079" w:rsidRDefault="00F325BE" w:rsidP="00F325BE">
      <w:pPr>
        <w:tabs>
          <w:tab w:val="left" w:pos="1289"/>
        </w:tabs>
        <w:spacing w:before="240" w:after="240"/>
        <w:rPr>
          <w:b/>
          <w:szCs w:val="20"/>
          <w:lang w:val="en-US"/>
        </w:rPr>
      </w:pPr>
      <w:r w:rsidRPr="00E17079">
        <w:rPr>
          <w:b/>
          <w:szCs w:val="20"/>
          <w:lang w:val="en-US"/>
        </w:rPr>
        <w:t>Bayesian correction of satellite-derived pCO</w:t>
      </w:r>
      <w:r w:rsidRPr="00E17079">
        <w:rPr>
          <w:b/>
          <w:szCs w:val="20"/>
          <w:vertAlign w:val="subscript"/>
          <w:lang w:val="en-US"/>
        </w:rPr>
        <w:t>2</w:t>
      </w:r>
      <w:r w:rsidRPr="00E17079">
        <w:rPr>
          <w:b/>
          <w:szCs w:val="20"/>
          <w:lang w:val="en-US"/>
        </w:rPr>
        <w:t xml:space="preserve"> reveals the biogeochemical impact of hurricanes on ocean–atmosphere CO₂ fluxes</w:t>
      </w:r>
    </w:p>
    <w:p w:rsidR="00400323" w:rsidRPr="00E17079" w:rsidRDefault="00F325BE" w:rsidP="00F325BE">
      <w:pPr>
        <w:tabs>
          <w:tab w:val="left" w:pos="1289"/>
        </w:tabs>
        <w:spacing w:line="480" w:lineRule="auto"/>
        <w:rPr>
          <w:b/>
          <w:szCs w:val="20"/>
          <w:lang w:val="en-US"/>
        </w:rPr>
      </w:pPr>
      <w:r w:rsidRPr="00E17079">
        <w:rPr>
          <w:b/>
          <w:szCs w:val="20"/>
          <w:lang w:val="en-US"/>
        </w:rPr>
        <w:t xml:space="preserve"> </w:t>
      </w:r>
    </w:p>
    <w:p w:rsidR="00F325BE" w:rsidRPr="00E17079" w:rsidRDefault="00400323" w:rsidP="00F325BE">
      <w:pPr>
        <w:tabs>
          <w:tab w:val="left" w:pos="1289"/>
        </w:tabs>
        <w:spacing w:line="480" w:lineRule="auto"/>
        <w:rPr>
          <w:b/>
          <w:iCs/>
          <w:szCs w:val="20"/>
          <w:lang w:val="es-US"/>
        </w:rPr>
      </w:pPr>
      <w:r w:rsidRPr="00E17079">
        <w:rPr>
          <w:b/>
          <w:iCs/>
          <w:szCs w:val="20"/>
          <w:lang w:val="es-US"/>
        </w:rPr>
        <w:t>Climatic Change</w:t>
      </w:r>
    </w:p>
    <w:p w:rsidR="00400323" w:rsidRPr="00E17079" w:rsidRDefault="00400323" w:rsidP="00F325BE">
      <w:pPr>
        <w:tabs>
          <w:tab w:val="left" w:pos="1289"/>
        </w:tabs>
        <w:spacing w:line="480" w:lineRule="auto"/>
        <w:rPr>
          <w:b/>
          <w:szCs w:val="20"/>
          <w:lang w:val="es-US"/>
        </w:rPr>
      </w:pPr>
    </w:p>
    <w:p w:rsidR="00F325BE" w:rsidRPr="00E17079" w:rsidRDefault="00F325BE" w:rsidP="00F325BE">
      <w:pPr>
        <w:tabs>
          <w:tab w:val="left" w:pos="1289"/>
        </w:tabs>
        <w:spacing w:line="480" w:lineRule="auto"/>
        <w:rPr>
          <w:szCs w:val="20"/>
          <w:vertAlign w:val="superscript"/>
        </w:rPr>
      </w:pPr>
      <w:r w:rsidRPr="00E17079">
        <w:rPr>
          <w:szCs w:val="20"/>
        </w:rPr>
        <w:t>Coronado-Álvarez Luz de Lourdes A</w:t>
      </w:r>
      <w:r w:rsidR="002F45E6" w:rsidRPr="00E17079">
        <w:rPr>
          <w:szCs w:val="20"/>
        </w:rPr>
        <w:t>urora</w:t>
      </w:r>
      <w:r w:rsidRPr="00E17079">
        <w:rPr>
          <w:szCs w:val="20"/>
          <w:vertAlign w:val="superscript"/>
        </w:rPr>
        <w:t>1</w:t>
      </w:r>
      <w:r w:rsidRPr="00E17079">
        <w:rPr>
          <w:szCs w:val="20"/>
        </w:rPr>
        <w:t xml:space="preserve"> ,  Cervantes-Díaz Gabriela Y.</w:t>
      </w:r>
      <w:r w:rsidRPr="00E17079">
        <w:rPr>
          <w:szCs w:val="20"/>
          <w:vertAlign w:val="superscript"/>
        </w:rPr>
        <w:t>1</w:t>
      </w:r>
      <w:r w:rsidRPr="00E17079">
        <w:rPr>
          <w:szCs w:val="20"/>
        </w:rPr>
        <w:t xml:space="preserve"> , Espinosa-Carreón T. Leticia</w:t>
      </w:r>
      <w:r w:rsidRPr="00E17079">
        <w:rPr>
          <w:szCs w:val="20"/>
          <w:vertAlign w:val="superscript"/>
        </w:rPr>
        <w:t>2</w:t>
      </w:r>
    </w:p>
    <w:p w:rsidR="00F325BE" w:rsidRPr="00E17079" w:rsidRDefault="00F325BE" w:rsidP="00F325BE">
      <w:pPr>
        <w:tabs>
          <w:tab w:val="left" w:pos="1289"/>
        </w:tabs>
        <w:spacing w:line="480" w:lineRule="auto"/>
        <w:rPr>
          <w:szCs w:val="20"/>
        </w:rPr>
      </w:pPr>
      <w:r w:rsidRPr="00E17079">
        <w:rPr>
          <w:szCs w:val="20"/>
        </w:rPr>
        <w:t xml:space="preserve"> </w:t>
      </w:r>
    </w:p>
    <w:p w:rsidR="00F325BE" w:rsidRPr="00E17079" w:rsidRDefault="00F325BE" w:rsidP="00F325BE">
      <w:pPr>
        <w:tabs>
          <w:tab w:val="left" w:pos="1289"/>
        </w:tabs>
        <w:spacing w:line="480" w:lineRule="auto"/>
        <w:rPr>
          <w:szCs w:val="20"/>
        </w:rPr>
      </w:pPr>
      <w:r w:rsidRPr="00E17079">
        <w:rPr>
          <w:szCs w:val="20"/>
          <w:vertAlign w:val="superscript"/>
        </w:rPr>
        <w:t>1</w:t>
      </w:r>
      <w:r w:rsidRPr="00E17079">
        <w:rPr>
          <w:szCs w:val="20"/>
        </w:rPr>
        <w:t xml:space="preserve"> Instituto of Investigaciones Oceanológicas, Universidad Autónoma de Baja California, Carretera Transpeninsular Tijuana-Ensenada 3917, Fraccionamiento Playitas, CP, 22860, Ensenada, Baja California, México</w:t>
      </w:r>
    </w:p>
    <w:p w:rsidR="00F325BE" w:rsidRPr="00E17079" w:rsidRDefault="00F325BE" w:rsidP="00F325BE">
      <w:pPr>
        <w:tabs>
          <w:tab w:val="left" w:pos="1289"/>
        </w:tabs>
        <w:spacing w:line="480" w:lineRule="auto"/>
        <w:rPr>
          <w:szCs w:val="20"/>
          <w:lang w:val="es-US"/>
        </w:rPr>
      </w:pPr>
      <w:r w:rsidRPr="00E17079">
        <w:rPr>
          <w:szCs w:val="20"/>
          <w:vertAlign w:val="superscript"/>
          <w:lang w:val="es-US"/>
        </w:rPr>
        <w:t xml:space="preserve">2 </w:t>
      </w:r>
      <w:r w:rsidRPr="00E17079">
        <w:rPr>
          <w:szCs w:val="20"/>
          <w:lang w:val="es-US"/>
        </w:rPr>
        <w:t>Sinaloa, 81101 Guasave, Sinaloa, México.</w:t>
      </w:r>
    </w:p>
    <w:p w:rsidR="00F325BE" w:rsidRPr="00E17079" w:rsidRDefault="00F325BE" w:rsidP="00F325BE">
      <w:pPr>
        <w:tabs>
          <w:tab w:val="left" w:pos="1289"/>
        </w:tabs>
        <w:spacing w:line="480" w:lineRule="auto"/>
        <w:rPr>
          <w:szCs w:val="20"/>
          <w:lang w:val="es-US"/>
        </w:rPr>
      </w:pPr>
    </w:p>
    <w:p w:rsidR="00F325BE" w:rsidRPr="00E17079" w:rsidRDefault="00F325BE" w:rsidP="00F325BE">
      <w:pPr>
        <w:tabs>
          <w:tab w:val="left" w:pos="1289"/>
        </w:tabs>
        <w:spacing w:line="480" w:lineRule="auto"/>
        <w:rPr>
          <w:szCs w:val="20"/>
          <w:lang w:val="es-US"/>
        </w:rPr>
      </w:pPr>
      <w:r w:rsidRPr="00E17079">
        <w:rPr>
          <w:szCs w:val="20"/>
          <w:lang w:val="es-US"/>
        </w:rPr>
        <w:t>Correspondence to: cervantes.gabriela@uabc.edu.mx</w:t>
      </w:r>
    </w:p>
    <w:p w:rsidR="00F325BE" w:rsidRDefault="00F325BE"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Default="00E17079" w:rsidP="001126F0">
      <w:pPr>
        <w:tabs>
          <w:tab w:val="left" w:pos="1289"/>
        </w:tabs>
        <w:spacing w:before="240" w:after="240"/>
        <w:rPr>
          <w:b/>
          <w:szCs w:val="20"/>
          <w:lang w:val="es-US"/>
        </w:rPr>
      </w:pPr>
    </w:p>
    <w:p w:rsidR="00E17079" w:rsidRPr="00E17079" w:rsidRDefault="00E17079" w:rsidP="001126F0">
      <w:pPr>
        <w:tabs>
          <w:tab w:val="left" w:pos="1289"/>
        </w:tabs>
        <w:spacing w:before="240" w:after="240"/>
        <w:rPr>
          <w:b/>
          <w:szCs w:val="20"/>
          <w:lang w:val="es-US"/>
        </w:rPr>
      </w:pPr>
    </w:p>
    <w:p w:rsidR="001126F0" w:rsidRPr="00E17079" w:rsidRDefault="001126F0" w:rsidP="001126F0">
      <w:pPr>
        <w:tabs>
          <w:tab w:val="left" w:pos="1289"/>
        </w:tabs>
        <w:spacing w:before="240" w:after="240"/>
        <w:rPr>
          <w:b/>
          <w:szCs w:val="20"/>
          <w:lang w:val="en-US"/>
        </w:rPr>
      </w:pPr>
      <w:r w:rsidRPr="00E17079">
        <w:rPr>
          <w:b/>
          <w:szCs w:val="20"/>
          <w:lang w:val="en-US"/>
        </w:rPr>
        <w:lastRenderedPageBreak/>
        <w:t>Supplementary</w:t>
      </w:r>
    </w:p>
    <w:p w:rsidR="001126F0" w:rsidRPr="00E17079" w:rsidRDefault="001126F0" w:rsidP="001126F0">
      <w:pPr>
        <w:tabs>
          <w:tab w:val="left" w:pos="1289"/>
        </w:tabs>
        <w:spacing w:before="240" w:after="240"/>
        <w:rPr>
          <w:szCs w:val="20"/>
          <w:lang w:val="en-US"/>
        </w:rPr>
      </w:pPr>
      <w:r w:rsidRPr="00E17079">
        <w:rPr>
          <w:szCs w:val="20"/>
          <w:lang w:val="en-US"/>
        </w:rPr>
        <w:t xml:space="preserve">According to Avila (2017), Lidia reached a peak intensity of 55 kt at 1800 UTC 31 August, as determined from Dvorak estimates. At that time, the cloud system was at its most organized, even suggesting the presence of an eye feature. As the center of Lidia moved near Cabo San Lucas, an elevated station near that site reported sustained winds of 54 kt. Lidia was notably large, with tropical-storm-force winds extending well east of the center and affecting coastal towns such as Los Mochis and </w:t>
      </w:r>
      <w:proofErr w:type="spellStart"/>
      <w:r w:rsidRPr="00E17079">
        <w:rPr>
          <w:szCs w:val="20"/>
          <w:lang w:val="en-US"/>
        </w:rPr>
        <w:t>Topolobambo</w:t>
      </w:r>
      <w:proofErr w:type="spellEnd"/>
      <w:r w:rsidRPr="00E17079">
        <w:rPr>
          <w:szCs w:val="20"/>
          <w:lang w:val="en-US"/>
        </w:rPr>
        <w:t xml:space="preserve"> on mainland Mexico.</w:t>
      </w:r>
    </w:p>
    <w:p w:rsidR="00400323" w:rsidRPr="00E17079" w:rsidRDefault="00400323" w:rsidP="001126F0">
      <w:pPr>
        <w:tabs>
          <w:tab w:val="left" w:pos="1289"/>
        </w:tabs>
        <w:spacing w:before="240" w:after="240"/>
        <w:rPr>
          <w:szCs w:val="20"/>
          <w:lang w:val="en-US"/>
        </w:rPr>
      </w:pPr>
    </w:p>
    <w:p w:rsidR="00400323" w:rsidRPr="00E17079" w:rsidRDefault="00400323" w:rsidP="001126F0">
      <w:pPr>
        <w:tabs>
          <w:tab w:val="left" w:pos="1289"/>
        </w:tabs>
        <w:spacing w:before="240" w:after="240"/>
        <w:rPr>
          <w:szCs w:val="20"/>
          <w:lang w:val="en-US"/>
        </w:rPr>
      </w:pPr>
    </w:p>
    <w:p w:rsidR="001126F0" w:rsidRPr="00E17079" w:rsidRDefault="001126F0" w:rsidP="001126F0">
      <w:pPr>
        <w:tabs>
          <w:tab w:val="left" w:pos="1289"/>
        </w:tabs>
        <w:spacing w:before="240" w:after="240"/>
        <w:jc w:val="center"/>
        <w:rPr>
          <w:szCs w:val="20"/>
        </w:rPr>
      </w:pPr>
      <w:r w:rsidRPr="00E17079">
        <w:rPr>
          <w:noProof/>
          <w:szCs w:val="20"/>
        </w:rPr>
        <w:drawing>
          <wp:inline distT="114300" distB="114300" distL="114300" distR="114300" wp14:anchorId="549DA93E" wp14:editId="3F72822B">
            <wp:extent cx="3505200" cy="3439287"/>
            <wp:effectExtent l="0" t="0" r="0" b="2540"/>
            <wp:docPr id="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
                    <a:srcRect/>
                    <a:stretch>
                      <a:fillRect/>
                    </a:stretch>
                  </pic:blipFill>
                  <pic:spPr>
                    <a:xfrm>
                      <a:off x="0" y="0"/>
                      <a:ext cx="3511563" cy="3445530"/>
                    </a:xfrm>
                    <a:prstGeom prst="rect">
                      <a:avLst/>
                    </a:prstGeom>
                    <a:ln/>
                  </pic:spPr>
                </pic:pic>
              </a:graphicData>
            </a:graphic>
          </wp:inline>
        </w:drawing>
      </w:r>
    </w:p>
    <w:p w:rsidR="001126F0" w:rsidRPr="00E17079" w:rsidRDefault="001126F0" w:rsidP="001126F0">
      <w:pPr>
        <w:tabs>
          <w:tab w:val="left" w:pos="1289"/>
        </w:tabs>
        <w:spacing w:before="240" w:after="240"/>
        <w:rPr>
          <w:b/>
          <w:szCs w:val="20"/>
          <w:lang w:val="en-US"/>
        </w:rPr>
      </w:pPr>
      <w:r w:rsidRPr="00E17079">
        <w:rPr>
          <w:b/>
          <w:szCs w:val="20"/>
          <w:lang w:val="en-US"/>
        </w:rPr>
        <w:t>Figure S1. NASA-NOAA’S SUOMI NPP SATELLITE IMAGE AT 2024 UTC 31 AUGUST WHEN TROPICAL STORM LIDIA WAS LOCATED TO SOUTHWEST OF THE SOUTHERN TIP OF BAJA CALIFORNIA (Information and figure taken from the National Hurricane Center report (Avila, 2017))</w:t>
      </w:r>
    </w:p>
    <w:p w:rsidR="001126F0" w:rsidRPr="00E17079" w:rsidRDefault="001126F0" w:rsidP="001126F0">
      <w:pPr>
        <w:tabs>
          <w:tab w:val="left" w:pos="1289"/>
        </w:tabs>
        <w:spacing w:before="240" w:after="240"/>
        <w:rPr>
          <w:szCs w:val="20"/>
          <w:lang w:val="en-US"/>
        </w:rPr>
      </w:pPr>
    </w:p>
    <w:p w:rsidR="001126F0" w:rsidRPr="00E17079" w:rsidRDefault="001126F0" w:rsidP="001126F0">
      <w:pPr>
        <w:tabs>
          <w:tab w:val="left" w:pos="1289"/>
        </w:tabs>
        <w:spacing w:before="240" w:after="240"/>
        <w:rPr>
          <w:szCs w:val="20"/>
          <w:lang w:val="en-US"/>
        </w:rPr>
      </w:pPr>
      <w:r w:rsidRPr="00E17079">
        <w:rPr>
          <w:szCs w:val="20"/>
          <w:lang w:val="en-US"/>
        </w:rPr>
        <w:lastRenderedPageBreak/>
        <w:t>Lidia was a large cyclone that spread tropical-storm-force winds and heavy rains across a portion of the Baja California peninsula and mainland Mexico (Avila, 2017).</w:t>
      </w:r>
    </w:p>
    <w:p w:rsidR="001126F0" w:rsidRPr="00E17079" w:rsidRDefault="001126F0" w:rsidP="001126F0">
      <w:pPr>
        <w:tabs>
          <w:tab w:val="left" w:pos="1289"/>
        </w:tabs>
        <w:spacing w:before="240" w:after="240"/>
        <w:rPr>
          <w:szCs w:val="20"/>
          <w:lang w:val="en-US"/>
        </w:rPr>
      </w:pPr>
      <w:r w:rsidRPr="00E17079">
        <w:rPr>
          <w:szCs w:val="20"/>
          <w:lang w:val="en-US"/>
        </w:rPr>
        <w:t xml:space="preserve">Figures S2 and S3 show the effects of Tropical Storm Ileana between 12 and 15 September 2024. Satellite-derived variable maps were observed to underestimate both </w:t>
      </w:r>
      <w:proofErr w:type="spellStart"/>
      <w:r w:rsidRPr="00E17079">
        <w:rPr>
          <w:szCs w:val="20"/>
          <w:lang w:val="en-US"/>
        </w:rPr>
        <w:t>pCO</w:t>
      </w:r>
      <w:proofErr w:type="spellEnd"/>
      <w:r w:rsidRPr="00E17079">
        <w:rPr>
          <w:szCs w:val="20"/>
          <w:lang w:val="en-US"/>
        </w:rPr>
        <w:t>₂ values and CO₂ fluxes compared to data corrected using the Bayesian algorithm, a behavior similar to that recorded during Hurricane John.</w:t>
      </w:r>
    </w:p>
    <w:p w:rsidR="001126F0" w:rsidRPr="00E17079" w:rsidRDefault="001126F0" w:rsidP="001126F0">
      <w:pPr>
        <w:tabs>
          <w:tab w:val="left" w:pos="1289"/>
        </w:tabs>
        <w:spacing w:before="240" w:after="240"/>
        <w:jc w:val="center"/>
        <w:rPr>
          <w:szCs w:val="20"/>
        </w:rPr>
      </w:pPr>
      <w:r w:rsidRPr="00E17079">
        <w:rPr>
          <w:noProof/>
          <w:szCs w:val="20"/>
        </w:rPr>
        <w:drawing>
          <wp:inline distT="114300" distB="114300" distL="114300" distR="114300" wp14:anchorId="26F892E0" wp14:editId="29275A64">
            <wp:extent cx="4665569" cy="2788920"/>
            <wp:effectExtent l="0" t="0" r="0" b="5080"/>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4669079" cy="2791018"/>
                    </a:xfrm>
                    <a:prstGeom prst="rect">
                      <a:avLst/>
                    </a:prstGeom>
                    <a:ln/>
                  </pic:spPr>
                </pic:pic>
              </a:graphicData>
            </a:graphic>
          </wp:inline>
        </w:drawing>
      </w:r>
    </w:p>
    <w:p w:rsidR="001126F0" w:rsidRPr="00E17079" w:rsidRDefault="001126F0" w:rsidP="001126F0">
      <w:pPr>
        <w:tabs>
          <w:tab w:val="left" w:pos="1289"/>
        </w:tabs>
        <w:spacing w:before="240" w:after="240"/>
        <w:rPr>
          <w:szCs w:val="20"/>
          <w:lang w:val="en-US"/>
        </w:rPr>
      </w:pPr>
      <w:r w:rsidRPr="00E17079">
        <w:rPr>
          <w:b/>
          <w:szCs w:val="20"/>
          <w:lang w:val="en-US"/>
        </w:rPr>
        <w:t>Figure S2. Surface distribution maps of partial pressure of CO₂ (</w:t>
      </w:r>
      <w:proofErr w:type="spellStart"/>
      <w:r w:rsidRPr="00E17079">
        <w:rPr>
          <w:b/>
          <w:szCs w:val="20"/>
          <w:lang w:val="en-US"/>
        </w:rPr>
        <w:t>pCO</w:t>
      </w:r>
      <w:proofErr w:type="spellEnd"/>
      <w:r w:rsidRPr="00E17079">
        <w:rPr>
          <w:b/>
          <w:szCs w:val="20"/>
          <w:lang w:val="en-US"/>
        </w:rPr>
        <w:t xml:space="preserve">₂): satellite-estimated values (panel a), corrected estimates produced by the Bayesian neural network (panel b), and the difference between both products (satellite minus corrected; panel c). Maps correspond to the average of the days with the greatest variation (September 12–15). </w:t>
      </w:r>
    </w:p>
    <w:p w:rsidR="001126F0" w:rsidRPr="00E17079" w:rsidRDefault="001126F0" w:rsidP="001126F0">
      <w:pPr>
        <w:tabs>
          <w:tab w:val="left" w:pos="1289"/>
        </w:tabs>
        <w:spacing w:before="240" w:after="240"/>
        <w:jc w:val="center"/>
        <w:rPr>
          <w:szCs w:val="20"/>
        </w:rPr>
      </w:pPr>
      <w:r w:rsidRPr="00E17079">
        <w:rPr>
          <w:noProof/>
          <w:szCs w:val="20"/>
        </w:rPr>
        <w:lastRenderedPageBreak/>
        <w:drawing>
          <wp:inline distT="114300" distB="114300" distL="114300" distR="114300" wp14:anchorId="65C37EF3" wp14:editId="17EA1B34">
            <wp:extent cx="4156710" cy="269748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157029" cy="2697687"/>
                    </a:xfrm>
                    <a:prstGeom prst="rect">
                      <a:avLst/>
                    </a:prstGeom>
                    <a:ln/>
                  </pic:spPr>
                </pic:pic>
              </a:graphicData>
            </a:graphic>
          </wp:inline>
        </w:drawing>
      </w:r>
    </w:p>
    <w:p w:rsidR="001126F0" w:rsidRPr="00E17079" w:rsidRDefault="001126F0" w:rsidP="001126F0">
      <w:pPr>
        <w:rPr>
          <w:szCs w:val="20"/>
          <w:lang w:val="en-US"/>
        </w:rPr>
      </w:pPr>
      <w:r w:rsidRPr="00E17079">
        <w:rPr>
          <w:b/>
          <w:szCs w:val="20"/>
          <w:lang w:val="en-US"/>
        </w:rPr>
        <w:t xml:space="preserve">Figure S3. Surface distribution maps of air–sea CO₂ fluxes (FCO₂): satellite-estimated (panel a), corrected (panel b), and the difference between both products (panel c). Maps represent the average of the most variable days (September 12–15). </w:t>
      </w:r>
    </w:p>
    <w:p w:rsidR="001126F0" w:rsidRPr="00E17079" w:rsidRDefault="001126F0" w:rsidP="001126F0">
      <w:pPr>
        <w:tabs>
          <w:tab w:val="left" w:pos="1289"/>
        </w:tabs>
        <w:spacing w:before="240" w:after="240"/>
        <w:rPr>
          <w:szCs w:val="20"/>
          <w:lang w:val="en-US"/>
        </w:rPr>
      </w:pPr>
      <w:r w:rsidRPr="00E17079">
        <w:rPr>
          <w:szCs w:val="20"/>
          <w:lang w:val="en-US"/>
        </w:rPr>
        <w:t xml:space="preserve">Figures S4 and S5 show the effects of Tropical Storm Eleven-E between 1 and 3 October 2024. Satellite-derived variable maps were observed to underestimate both </w:t>
      </w:r>
      <w:proofErr w:type="spellStart"/>
      <w:r w:rsidRPr="00E17079">
        <w:rPr>
          <w:szCs w:val="20"/>
          <w:lang w:val="en-US"/>
        </w:rPr>
        <w:t>pCO</w:t>
      </w:r>
      <w:proofErr w:type="spellEnd"/>
      <w:r w:rsidRPr="00E17079">
        <w:rPr>
          <w:szCs w:val="20"/>
          <w:lang w:val="en-US"/>
        </w:rPr>
        <w:t>₂ values and CO₂ fluxes compared to data corrected using the Bayesian algorithm, a behavior similar to that recorded during Hurricane John and Ileana.</w:t>
      </w:r>
    </w:p>
    <w:p w:rsidR="001126F0" w:rsidRPr="00E17079" w:rsidRDefault="001126F0" w:rsidP="001126F0">
      <w:pPr>
        <w:tabs>
          <w:tab w:val="left" w:pos="1289"/>
        </w:tabs>
        <w:spacing w:before="240" w:after="240"/>
        <w:jc w:val="center"/>
        <w:rPr>
          <w:szCs w:val="20"/>
        </w:rPr>
      </w:pPr>
      <w:r w:rsidRPr="00E17079">
        <w:rPr>
          <w:noProof/>
          <w:szCs w:val="20"/>
        </w:rPr>
        <w:drawing>
          <wp:inline distT="114300" distB="114300" distL="114300" distR="114300" wp14:anchorId="0B225516" wp14:editId="3F26F380">
            <wp:extent cx="4294672" cy="2639060"/>
            <wp:effectExtent l="0" t="0" r="0" b="254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296142" cy="2639963"/>
                    </a:xfrm>
                    <a:prstGeom prst="rect">
                      <a:avLst/>
                    </a:prstGeom>
                    <a:ln/>
                  </pic:spPr>
                </pic:pic>
              </a:graphicData>
            </a:graphic>
          </wp:inline>
        </w:drawing>
      </w:r>
    </w:p>
    <w:p w:rsidR="001126F0" w:rsidRPr="00E17079" w:rsidRDefault="001126F0" w:rsidP="001126F0">
      <w:pPr>
        <w:rPr>
          <w:szCs w:val="20"/>
          <w:lang w:val="en-US"/>
        </w:rPr>
      </w:pPr>
      <w:r w:rsidRPr="00E17079">
        <w:rPr>
          <w:b/>
          <w:szCs w:val="20"/>
          <w:lang w:val="en-US"/>
        </w:rPr>
        <w:lastRenderedPageBreak/>
        <w:t>Figure S4. Surface distribution maps of partial pressure of CO₂ (</w:t>
      </w:r>
      <w:proofErr w:type="spellStart"/>
      <w:r w:rsidRPr="00E17079">
        <w:rPr>
          <w:b/>
          <w:szCs w:val="20"/>
          <w:lang w:val="en-US"/>
        </w:rPr>
        <w:t>pCO</w:t>
      </w:r>
      <w:proofErr w:type="spellEnd"/>
      <w:r w:rsidRPr="00E17079">
        <w:rPr>
          <w:b/>
          <w:szCs w:val="20"/>
          <w:lang w:val="en-US"/>
        </w:rPr>
        <w:t xml:space="preserve">₂): satellite-estimated values (panel a), corrected estimates produced by the Bayesian neural network (panel b), and the difference between both products (satellite minus corrected; panel c). Maps correspond to the average of the days with the greatest variation (October 4–6). </w:t>
      </w:r>
    </w:p>
    <w:p w:rsidR="001126F0" w:rsidRPr="00E17079" w:rsidRDefault="001126F0" w:rsidP="001126F0">
      <w:pPr>
        <w:tabs>
          <w:tab w:val="left" w:pos="1289"/>
        </w:tabs>
        <w:spacing w:before="240" w:after="240"/>
        <w:jc w:val="center"/>
        <w:rPr>
          <w:szCs w:val="20"/>
        </w:rPr>
      </w:pPr>
      <w:r w:rsidRPr="00E17079">
        <w:rPr>
          <w:noProof/>
          <w:szCs w:val="20"/>
        </w:rPr>
        <w:drawing>
          <wp:inline distT="114300" distB="114300" distL="114300" distR="114300" wp14:anchorId="54584C6A" wp14:editId="5A787352">
            <wp:extent cx="4392820" cy="2636520"/>
            <wp:effectExtent l="0" t="0" r="1905" b="508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4398819" cy="2640120"/>
                    </a:xfrm>
                    <a:prstGeom prst="rect">
                      <a:avLst/>
                    </a:prstGeom>
                    <a:ln/>
                  </pic:spPr>
                </pic:pic>
              </a:graphicData>
            </a:graphic>
          </wp:inline>
        </w:drawing>
      </w:r>
    </w:p>
    <w:p w:rsidR="001126F0" w:rsidRPr="00E17079" w:rsidRDefault="001126F0" w:rsidP="001126F0">
      <w:pPr>
        <w:rPr>
          <w:szCs w:val="20"/>
          <w:lang w:val="en-US"/>
        </w:rPr>
      </w:pPr>
      <w:r w:rsidRPr="00E17079">
        <w:rPr>
          <w:b/>
          <w:szCs w:val="20"/>
          <w:lang w:val="en-US"/>
        </w:rPr>
        <w:t xml:space="preserve">Figure S5. Surface distribution maps of air–sea CO₂ fluxes (FCO₂): satellite-estimated (panel a), corrected (panel b), and the difference between both products (panel c). Maps represent the average of the most variable days (October 4–6). </w:t>
      </w:r>
    </w:p>
    <w:p w:rsidR="00504B55" w:rsidRPr="00E17079" w:rsidRDefault="00592FCB">
      <w:pPr>
        <w:rPr>
          <w:szCs w:val="20"/>
          <w:lang w:val="en-US"/>
        </w:rPr>
      </w:pPr>
      <w:r w:rsidRPr="00E17079">
        <w:rPr>
          <w:b/>
          <w:szCs w:val="20"/>
          <w:lang w:val="en-US"/>
        </w:rPr>
        <w:t xml:space="preserve"> </w:t>
      </w:r>
    </w:p>
    <w:sectPr w:rsidR="00504B55" w:rsidRPr="00E17079">
      <w:footerReference w:type="default" r:id="rId11"/>
      <w:pgSz w:w="11907" w:h="13608"/>
      <w:pgMar w:top="567" w:right="936" w:bottom="1338" w:left="936" w:header="0" w:footer="737"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C7851" w:rsidRDefault="00FC7851">
      <w:pPr>
        <w:spacing w:line="240" w:lineRule="auto"/>
      </w:pPr>
      <w:r>
        <w:separator/>
      </w:r>
    </w:p>
  </w:endnote>
  <w:endnote w:type="continuationSeparator" w:id="0">
    <w:p w:rsidR="00FC7851" w:rsidRDefault="00FC78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8F0A87">
    <w:pPr>
      <w:pBdr>
        <w:top w:val="nil"/>
        <w:left w:val="nil"/>
        <w:bottom w:val="nil"/>
        <w:right w:val="nil"/>
        <w:between w:val="nil"/>
      </w:pBdr>
      <w:tabs>
        <w:tab w:val="center" w:pos="4513"/>
        <w:tab w:val="right" w:pos="9026"/>
      </w:tabs>
      <w:spacing w:line="240" w:lineRule="auto"/>
      <w:jc w:val="center"/>
      <w:rPr>
        <w:color w:val="000000"/>
        <w:szCs w:val="20"/>
      </w:rPr>
    </w:pPr>
    <w:r>
      <w:rPr>
        <w:color w:val="000000"/>
        <w:szCs w:val="20"/>
      </w:rPr>
      <w:fldChar w:fldCharType="begin"/>
    </w:r>
    <w:r>
      <w:rPr>
        <w:color w:val="000000"/>
        <w:szCs w:val="20"/>
      </w:rPr>
      <w:instrText>PAGE</w:instrText>
    </w:r>
    <w:r>
      <w:rPr>
        <w:color w:val="000000"/>
        <w:szCs w:val="20"/>
      </w:rPr>
      <w:fldChar w:fldCharType="separate"/>
    </w:r>
    <w:r>
      <w:rPr>
        <w:noProof/>
        <w:color w:val="000000"/>
        <w:szCs w:val="20"/>
      </w:rPr>
      <w:t>1</w:t>
    </w:r>
    <w:r>
      <w:rPr>
        <w:color w:val="000000"/>
        <w:szCs w:val="20"/>
      </w:rPr>
      <w:fldChar w:fldCharType="end"/>
    </w:r>
  </w:p>
  <w:p w:rsidR="00000000" w:rsidRDefault="00000000">
    <w:pPr>
      <w:pBdr>
        <w:top w:val="nil"/>
        <w:left w:val="nil"/>
        <w:bottom w:val="nil"/>
        <w:right w:val="nil"/>
        <w:between w:val="nil"/>
      </w:pBdr>
      <w:tabs>
        <w:tab w:val="center" w:pos="4513"/>
        <w:tab w:val="right" w:pos="9026"/>
      </w:tabs>
      <w:spacing w:line="240" w:lineRule="auto"/>
      <w:rPr>
        <w:color w:val="00000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C7851" w:rsidRDefault="00FC7851">
      <w:pPr>
        <w:spacing w:line="240" w:lineRule="auto"/>
      </w:pPr>
      <w:r>
        <w:separator/>
      </w:r>
    </w:p>
  </w:footnote>
  <w:footnote w:type="continuationSeparator" w:id="0">
    <w:p w:rsidR="00FC7851" w:rsidRDefault="00FC785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FCB"/>
    <w:rsid w:val="001126F0"/>
    <w:rsid w:val="002F45E6"/>
    <w:rsid w:val="00400323"/>
    <w:rsid w:val="004E5DF6"/>
    <w:rsid w:val="00504B55"/>
    <w:rsid w:val="00592FCB"/>
    <w:rsid w:val="00633FD5"/>
    <w:rsid w:val="0066122A"/>
    <w:rsid w:val="0072110C"/>
    <w:rsid w:val="00721BED"/>
    <w:rsid w:val="00845610"/>
    <w:rsid w:val="00870CD7"/>
    <w:rsid w:val="008C1FDB"/>
    <w:rsid w:val="008F0A87"/>
    <w:rsid w:val="00905247"/>
    <w:rsid w:val="009708E5"/>
    <w:rsid w:val="00A46833"/>
    <w:rsid w:val="00A5469E"/>
    <w:rsid w:val="00B73394"/>
    <w:rsid w:val="00DE7A71"/>
    <w:rsid w:val="00E17079"/>
    <w:rsid w:val="00E23DA6"/>
    <w:rsid w:val="00E86AAC"/>
    <w:rsid w:val="00F325BE"/>
    <w:rsid w:val="00FC785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3772557D"/>
  <w15:chartTrackingRefBased/>
  <w15:docId w15:val="{712A5D75-F811-8447-9140-59068E1A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FCB"/>
    <w:pPr>
      <w:spacing w:line="360" w:lineRule="auto"/>
      <w:jc w:val="both"/>
    </w:pPr>
    <w:rPr>
      <w:rFonts w:ascii="Times New Roman" w:eastAsia="Times New Roman" w:hAnsi="Times New Roman" w:cs="Times New Roman"/>
      <w:sz w:val="20"/>
      <w:lang w:val="es-MX" w:eastAsia="de-D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592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512</Words>
  <Characters>2818</Characters>
  <Application>Microsoft Office Word</Application>
  <DocSecurity>0</DocSecurity>
  <Lines>23</Lines>
  <Paragraphs>6</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2025-10-31T19:48:00Z</dcterms:created>
  <dcterms:modified xsi:type="dcterms:W3CDTF">2025-11-24T21:47:00Z</dcterms:modified>
</cp:coreProperties>
</file>