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CEAF19" w14:textId="77777777" w:rsidR="00DC27F5" w:rsidRPr="002755B7" w:rsidRDefault="00DC27F5" w:rsidP="00DC27F5">
      <w:r w:rsidRPr="002755B7">
        <w:rPr>
          <w:b/>
          <w:bCs/>
        </w:rPr>
        <w:t>Table 1</w:t>
      </w:r>
      <w:r w:rsidRPr="002755B7">
        <w:t>. The five-step triage classification of the ambulance calls in the emergency response centre (112).</w:t>
      </w:r>
    </w:p>
    <w:p w14:paraId="2820275A" w14:textId="77777777" w:rsidR="00DC27F5" w:rsidRPr="002755B7" w:rsidRDefault="00DC27F5" w:rsidP="00DC27F5">
      <w:pPr>
        <w:rPr>
          <w:b/>
          <w:bCs/>
        </w:rPr>
      </w:pPr>
      <w:r w:rsidRPr="002755B7">
        <w:rPr>
          <w:b/>
          <w:bCs/>
        </w:rPr>
        <w:t>Triage category</w:t>
      </w:r>
      <w:r w:rsidRPr="002755B7">
        <w:rPr>
          <w:b/>
          <w:bCs/>
        </w:rPr>
        <w:tab/>
        <w:t>Explanation</w:t>
      </w:r>
    </w:p>
    <w:p w14:paraId="7492764B" w14:textId="77777777" w:rsidR="00DC27F5" w:rsidRPr="002755B7" w:rsidRDefault="00DC27F5" w:rsidP="00DC27F5">
      <w:pPr>
        <w:ind w:left="2608" w:hanging="2608"/>
      </w:pPr>
      <w:r w:rsidRPr="002755B7">
        <w:t>A</w:t>
      </w:r>
      <w:r w:rsidRPr="002755B7">
        <w:tab/>
      </w:r>
      <w:r>
        <w:t>H</w:t>
      </w:r>
      <w:r w:rsidRPr="002755B7">
        <w:t>igh-risk, life-threatening emergenc</w:t>
      </w:r>
      <w:r>
        <w:t>ies</w:t>
      </w:r>
      <w:r w:rsidRPr="002755B7">
        <w:t xml:space="preserve"> with a severe disturbance</w:t>
      </w:r>
      <w:r>
        <w:t>c</w:t>
      </w:r>
      <w:r w:rsidRPr="002755B7">
        <w:t xml:space="preserve"> in vital signs or high</w:t>
      </w:r>
      <w:r>
        <w:t>-</w:t>
      </w:r>
      <w:r w:rsidRPr="002755B7">
        <w:t>energy trauma.</w:t>
      </w:r>
    </w:p>
    <w:p w14:paraId="31D109D7" w14:textId="77777777" w:rsidR="00DC27F5" w:rsidRPr="002755B7" w:rsidRDefault="00DC27F5" w:rsidP="00DC27F5">
      <w:pPr>
        <w:ind w:left="2608" w:hanging="2608"/>
      </w:pPr>
      <w:r w:rsidRPr="002755B7">
        <w:t>B</w:t>
      </w:r>
      <w:r w:rsidRPr="002755B7">
        <w:tab/>
        <w:t>A possibly life-threatening emergency (disturbance in vital signs or high-risk symptoms).</w:t>
      </w:r>
    </w:p>
    <w:p w14:paraId="3B735AD7" w14:textId="77777777" w:rsidR="00DC27F5" w:rsidRPr="002755B7" w:rsidRDefault="00DC27F5" w:rsidP="00DC27F5">
      <w:pPr>
        <w:ind w:left="2608" w:hanging="2608"/>
      </w:pPr>
      <w:r w:rsidRPr="002755B7">
        <w:t>C</w:t>
      </w:r>
      <w:r w:rsidRPr="002755B7">
        <w:tab/>
        <w:t xml:space="preserve">An emergency with stable vital signs. </w:t>
      </w:r>
      <w:r>
        <w:t xml:space="preserve">The </w:t>
      </w:r>
      <w:r w:rsidRPr="002755B7">
        <w:t>EMS responds within 30 minutes.</w:t>
      </w:r>
    </w:p>
    <w:p w14:paraId="5370CCDC" w14:textId="77777777" w:rsidR="00DC27F5" w:rsidRPr="002755B7" w:rsidRDefault="00DC27F5" w:rsidP="00DC27F5">
      <w:pPr>
        <w:ind w:left="2608" w:hanging="2608"/>
      </w:pPr>
      <w:r w:rsidRPr="002755B7">
        <w:t>D</w:t>
      </w:r>
      <w:r w:rsidRPr="002755B7">
        <w:tab/>
        <w:t xml:space="preserve">A nonemergency situation </w:t>
      </w:r>
      <w:r>
        <w:t>that</w:t>
      </w:r>
      <w:r w:rsidRPr="002755B7">
        <w:t xml:space="preserve"> can be queued. </w:t>
      </w:r>
      <w:r>
        <w:t xml:space="preserve">The </w:t>
      </w:r>
      <w:r w:rsidRPr="002755B7">
        <w:t>EMS responds within 120 minutes.</w:t>
      </w:r>
    </w:p>
    <w:p w14:paraId="296FFD33" w14:textId="77777777" w:rsidR="00DC27F5" w:rsidRPr="002755B7" w:rsidRDefault="00DC27F5" w:rsidP="00DC27F5">
      <w:pPr>
        <w:ind w:left="2608" w:hanging="2608"/>
      </w:pPr>
      <w:r w:rsidRPr="002755B7">
        <w:t>N</w:t>
      </w:r>
      <w:r w:rsidRPr="002755B7">
        <w:tab/>
        <w:t xml:space="preserve">No ambulance dispatch. Callers receive instructions or they are referred to alternative services. </w:t>
      </w:r>
    </w:p>
    <w:p w14:paraId="485148DF" w14:textId="77777777" w:rsidR="00DC27F5" w:rsidRPr="002755B7" w:rsidRDefault="00DC27F5" w:rsidP="00DC27F5">
      <w:r>
        <w:t>Table 1 legend. EMS = emergency medical service</w:t>
      </w:r>
    </w:p>
    <w:p w14:paraId="675FB737" w14:textId="77777777" w:rsidR="00DC27F5" w:rsidRPr="002755B7" w:rsidRDefault="00DC27F5" w:rsidP="00DC27F5">
      <w:r w:rsidRPr="002755B7">
        <w:rPr>
          <w:b/>
          <w:bCs/>
        </w:rPr>
        <w:t>Table 2</w:t>
      </w:r>
      <w:r w:rsidRPr="002755B7">
        <w:t>. List of interventions performed to control the ambulance dispatch volume.</w:t>
      </w:r>
    </w:p>
    <w:p w14:paraId="5E04B2AA" w14:textId="77777777" w:rsidR="00DC27F5" w:rsidRPr="002755B7" w:rsidRDefault="00DC27F5" w:rsidP="00DC27F5">
      <w:pPr>
        <w:rPr>
          <w:b/>
          <w:bCs/>
        </w:rPr>
      </w:pPr>
      <w:r w:rsidRPr="002755B7">
        <w:rPr>
          <w:b/>
          <w:bCs/>
        </w:rPr>
        <w:t>Year</w:t>
      </w:r>
      <w:r w:rsidRPr="002755B7">
        <w:rPr>
          <w:b/>
          <w:bCs/>
        </w:rPr>
        <w:tab/>
        <w:t>Intervention</w:t>
      </w:r>
    </w:p>
    <w:p w14:paraId="7546FCFF" w14:textId="77777777" w:rsidR="00DC27F5" w:rsidRPr="002755B7" w:rsidRDefault="00DC27F5" w:rsidP="00DC27F5">
      <w:pPr>
        <w:ind w:left="1300" w:hanging="1300"/>
      </w:pPr>
      <w:r w:rsidRPr="002755B7">
        <w:t>2021</w:t>
      </w:r>
      <w:r w:rsidRPr="002755B7">
        <w:tab/>
        <w:t xml:space="preserve">Start of a mobile nursing team </w:t>
      </w:r>
      <w:r>
        <w:t xml:space="preserve">that </w:t>
      </w:r>
      <w:r w:rsidRPr="002755B7">
        <w:t>respond</w:t>
      </w:r>
      <w:r>
        <w:t>s</w:t>
      </w:r>
      <w:r w:rsidRPr="002755B7">
        <w:t xml:space="preserve"> to nursing homes and home care patients</w:t>
      </w:r>
      <w:r>
        <w:t>.</w:t>
      </w:r>
    </w:p>
    <w:p w14:paraId="3F64A94A" w14:textId="77777777" w:rsidR="00DC27F5" w:rsidRPr="002755B7" w:rsidRDefault="00DC27F5" w:rsidP="00DC27F5">
      <w:pPr>
        <w:ind w:left="1300" w:hanging="1300"/>
      </w:pPr>
      <w:r w:rsidRPr="002755B7">
        <w:t>2022</w:t>
      </w:r>
      <w:r w:rsidRPr="002755B7">
        <w:tab/>
        <w:t>Updated local guidelines on the use of EMS at nursing homes</w:t>
      </w:r>
      <w:r>
        <w:t>.</w:t>
      </w:r>
    </w:p>
    <w:p w14:paraId="13BF5008" w14:textId="77777777" w:rsidR="00DC27F5" w:rsidRPr="002755B7" w:rsidRDefault="00DC27F5" w:rsidP="00DC27F5">
      <w:pPr>
        <w:ind w:left="1300" w:hanging="1300"/>
      </w:pPr>
      <w:r w:rsidRPr="002755B7">
        <w:t>2023</w:t>
      </w:r>
      <w:r w:rsidRPr="002755B7">
        <w:tab/>
        <w:t>Updated national policy on the use of subsidized taxis for urgent health care matters</w:t>
      </w:r>
      <w:r>
        <w:t>.</w:t>
      </w:r>
    </w:p>
    <w:p w14:paraId="2D6DF5B6" w14:textId="77777777" w:rsidR="00DC27F5" w:rsidRPr="002755B7" w:rsidRDefault="00DC27F5" w:rsidP="00DC27F5">
      <w:pPr>
        <w:ind w:left="1300" w:hanging="1300"/>
      </w:pPr>
      <w:r w:rsidRPr="002755B7">
        <w:lastRenderedPageBreak/>
        <w:t>2023</w:t>
      </w:r>
      <w:r w:rsidRPr="002755B7">
        <w:tab/>
        <w:t>Updated national guidelines for the urgent care telephone service (116117) when to refer callers to 112</w:t>
      </w:r>
      <w:r>
        <w:t>.</w:t>
      </w:r>
    </w:p>
    <w:p w14:paraId="6E78006F" w14:textId="77777777" w:rsidR="00DC27F5" w:rsidRPr="002755B7" w:rsidRDefault="00DC27F5" w:rsidP="00DC27F5">
      <w:pPr>
        <w:ind w:left="1300" w:hanging="1300"/>
      </w:pPr>
      <w:r w:rsidRPr="002755B7">
        <w:t>2023</w:t>
      </w:r>
      <w:r w:rsidRPr="002755B7">
        <w:tab/>
        <w:t>Updated national guidelines for the emergency response centre (112) of ambulance dispatch, case-based decision-making by dispatchers and referral of callers to alternative services</w:t>
      </w:r>
      <w:r>
        <w:t>.</w:t>
      </w:r>
      <w:r w:rsidRPr="002755B7">
        <w:t xml:space="preserve"> </w:t>
      </w:r>
    </w:p>
    <w:p w14:paraId="0CB5A0CE" w14:textId="77777777" w:rsidR="00DC27F5" w:rsidRPr="002755B7" w:rsidRDefault="00DC27F5" w:rsidP="00DC27F5">
      <w:r>
        <w:t>Table 2 legend. EMS = emergency medical service</w:t>
      </w:r>
    </w:p>
    <w:p w14:paraId="1315F86D" w14:textId="77777777" w:rsidR="00DC27F5" w:rsidRPr="002755B7" w:rsidRDefault="00DC27F5" w:rsidP="00DC27F5">
      <w:r w:rsidRPr="002755B7">
        <w:rPr>
          <w:b/>
          <w:bCs/>
        </w:rPr>
        <w:t>Table 3.</w:t>
      </w:r>
      <w:r w:rsidRPr="002755B7">
        <w:t xml:space="preserve"> On-scene time and ambulance call duration per year. </w:t>
      </w:r>
    </w:p>
    <w:tbl>
      <w:tblPr>
        <w:tblW w:w="849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918"/>
        <w:gridCol w:w="1262"/>
        <w:gridCol w:w="2250"/>
        <w:gridCol w:w="1350"/>
        <w:gridCol w:w="1710"/>
      </w:tblGrid>
      <w:tr w:rsidR="00DC27F5" w:rsidRPr="002755B7" w14:paraId="349331CD" w14:textId="77777777" w:rsidTr="007F7C73">
        <w:trPr>
          <w:trHeight w:val="300"/>
        </w:trPr>
        <w:tc>
          <w:tcPr>
            <w:tcW w:w="1918" w:type="dxa"/>
            <w:vAlign w:val="bottom"/>
          </w:tcPr>
          <w:p w14:paraId="4CE83395" w14:textId="77777777" w:rsidR="00DC27F5" w:rsidRPr="002755B7" w:rsidRDefault="00DC27F5" w:rsidP="007F7C73">
            <w:pPr>
              <w:jc w:val="center"/>
            </w:pPr>
            <w:r w:rsidRPr="002755B7">
              <w:rPr>
                <w:rFonts w:ascii="Calibri" w:hAnsi="Calibri"/>
                <w:b/>
              </w:rPr>
              <w:t>Variable</w:t>
            </w:r>
          </w:p>
        </w:tc>
        <w:tc>
          <w:tcPr>
            <w:tcW w:w="1262" w:type="dxa"/>
            <w:vAlign w:val="bottom"/>
          </w:tcPr>
          <w:p w14:paraId="030FA7A2" w14:textId="77777777" w:rsidR="00DC27F5" w:rsidRPr="002755B7" w:rsidRDefault="00DC27F5" w:rsidP="007F7C73">
            <w:pPr>
              <w:jc w:val="center"/>
            </w:pPr>
            <w:r w:rsidRPr="002755B7">
              <w:rPr>
                <w:rFonts w:ascii="Calibri" w:hAnsi="Calibri"/>
                <w:b/>
              </w:rPr>
              <w:t>Year</w:t>
            </w:r>
          </w:p>
        </w:tc>
        <w:tc>
          <w:tcPr>
            <w:tcW w:w="2250" w:type="dxa"/>
            <w:vAlign w:val="bottom"/>
          </w:tcPr>
          <w:p w14:paraId="0A9EB6CA" w14:textId="77777777" w:rsidR="00DC27F5" w:rsidRPr="002755B7" w:rsidRDefault="00DC27F5" w:rsidP="007F7C73">
            <w:pPr>
              <w:jc w:val="center"/>
            </w:pPr>
            <w:r w:rsidRPr="002755B7">
              <w:rPr>
                <w:rFonts w:ascii="Calibri" w:hAnsi="Calibri"/>
                <w:b/>
              </w:rPr>
              <w:t>Median (IQR)</w:t>
            </w:r>
          </w:p>
        </w:tc>
        <w:tc>
          <w:tcPr>
            <w:tcW w:w="1350" w:type="dxa"/>
            <w:vAlign w:val="bottom"/>
          </w:tcPr>
          <w:p w14:paraId="05D71B10" w14:textId="77777777" w:rsidR="00DC27F5" w:rsidRPr="002755B7" w:rsidRDefault="00DC27F5" w:rsidP="007F7C73">
            <w:pPr>
              <w:jc w:val="center"/>
            </w:pPr>
            <w:r>
              <w:rPr>
                <w:rFonts w:ascii="Calibri" w:hAnsi="Calibri"/>
                <w:b/>
              </w:rPr>
              <w:t>p</w:t>
            </w:r>
            <w:r w:rsidRPr="002755B7">
              <w:rPr>
                <w:rFonts w:ascii="Calibri" w:hAnsi="Calibri"/>
                <w:b/>
              </w:rPr>
              <w:t>-value</w:t>
            </w:r>
          </w:p>
        </w:tc>
        <w:tc>
          <w:tcPr>
            <w:tcW w:w="1710" w:type="dxa"/>
            <w:vAlign w:val="bottom"/>
          </w:tcPr>
          <w:p w14:paraId="2835D759" w14:textId="77777777" w:rsidR="00DC27F5" w:rsidRPr="002755B7" w:rsidRDefault="00DC27F5" w:rsidP="007F7C73">
            <w:pPr>
              <w:jc w:val="center"/>
            </w:pPr>
          </w:p>
        </w:tc>
      </w:tr>
      <w:tr w:rsidR="00DC27F5" w:rsidRPr="002755B7" w14:paraId="33DF3B9B" w14:textId="77777777" w:rsidTr="007F7C73">
        <w:trPr>
          <w:trHeight w:val="300"/>
        </w:trPr>
        <w:tc>
          <w:tcPr>
            <w:tcW w:w="1918" w:type="dxa"/>
            <w:vMerge w:val="restart"/>
            <w:tcBorders>
              <w:bottom w:val="single" w:sz="4" w:space="0" w:color="auto"/>
            </w:tcBorders>
          </w:tcPr>
          <w:p w14:paraId="0DEA4876" w14:textId="77777777" w:rsidR="00DC27F5" w:rsidRPr="002755B7" w:rsidRDefault="00DC27F5" w:rsidP="007F7C73">
            <w:r w:rsidRPr="002755B7">
              <w:rPr>
                <w:rFonts w:ascii="Calibri" w:hAnsi="Calibri"/>
              </w:rPr>
              <w:t>On-scene time (minutes)</w:t>
            </w:r>
          </w:p>
        </w:tc>
        <w:tc>
          <w:tcPr>
            <w:tcW w:w="1262" w:type="dxa"/>
            <w:vAlign w:val="bottom"/>
          </w:tcPr>
          <w:p w14:paraId="6FEA992D" w14:textId="77777777" w:rsidR="00DC27F5" w:rsidRPr="002755B7" w:rsidRDefault="00DC27F5" w:rsidP="007F7C73">
            <w:pPr>
              <w:pStyle w:val="TableContents"/>
              <w:jc w:val="center"/>
              <w:rPr>
                <w:rFonts w:ascii="Calibri" w:hAnsi="Calibri"/>
                <w:color w:val="000000"/>
              </w:rPr>
            </w:pPr>
            <w:r w:rsidRPr="002755B7">
              <w:rPr>
                <w:rFonts w:ascii="Calibri" w:hAnsi="Calibri"/>
                <w:color w:val="000000"/>
              </w:rPr>
              <w:t>2021</w:t>
            </w:r>
          </w:p>
        </w:tc>
        <w:tc>
          <w:tcPr>
            <w:tcW w:w="2250" w:type="dxa"/>
            <w:vAlign w:val="bottom"/>
          </w:tcPr>
          <w:p w14:paraId="16034A09" w14:textId="77777777" w:rsidR="00DC27F5" w:rsidRPr="002755B7" w:rsidRDefault="00DC27F5" w:rsidP="007F7C73">
            <w:pPr>
              <w:pStyle w:val="TableContents"/>
              <w:jc w:val="center"/>
              <w:rPr>
                <w:rFonts w:ascii="Calibri" w:hAnsi="Calibri"/>
                <w:color w:val="000000"/>
              </w:rPr>
            </w:pPr>
            <w:r w:rsidRPr="002755B7">
              <w:rPr>
                <w:rFonts w:ascii="Calibri" w:hAnsi="Calibri"/>
                <w:color w:val="000000"/>
              </w:rPr>
              <w:t>23.9 (16.5 - 23.9)</w:t>
            </w:r>
          </w:p>
        </w:tc>
        <w:tc>
          <w:tcPr>
            <w:tcW w:w="1350" w:type="dxa"/>
            <w:vAlign w:val="bottom"/>
          </w:tcPr>
          <w:p w14:paraId="173C0A52" w14:textId="77777777" w:rsidR="00DC27F5" w:rsidRPr="002755B7" w:rsidRDefault="00DC27F5" w:rsidP="007F7C73">
            <w:pPr>
              <w:pStyle w:val="TableContents"/>
              <w:rPr>
                <w:rFonts w:ascii="Calibri" w:hAnsi="Calibri"/>
                <w:color w:val="000000"/>
              </w:rPr>
            </w:pPr>
          </w:p>
        </w:tc>
        <w:tc>
          <w:tcPr>
            <w:tcW w:w="1710" w:type="dxa"/>
            <w:vAlign w:val="bottom"/>
          </w:tcPr>
          <w:p w14:paraId="7564B777" w14:textId="77777777" w:rsidR="00DC27F5" w:rsidRPr="002755B7" w:rsidRDefault="00DC27F5" w:rsidP="007F7C73">
            <w:pPr>
              <w:pStyle w:val="TableContents"/>
              <w:jc w:val="center"/>
              <w:rPr>
                <w:rFonts w:ascii="Calibri" w:hAnsi="Calibri"/>
                <w:color w:val="000000"/>
              </w:rPr>
            </w:pPr>
          </w:p>
        </w:tc>
      </w:tr>
      <w:tr w:rsidR="00DC27F5" w:rsidRPr="002755B7" w14:paraId="0B84AB0E" w14:textId="77777777" w:rsidTr="007F7C73">
        <w:trPr>
          <w:trHeight w:val="300"/>
        </w:trPr>
        <w:tc>
          <w:tcPr>
            <w:tcW w:w="1918" w:type="dxa"/>
            <w:vMerge/>
            <w:tcBorders>
              <w:bottom w:val="single" w:sz="4" w:space="0" w:color="auto"/>
            </w:tcBorders>
            <w:vAlign w:val="center"/>
          </w:tcPr>
          <w:p w14:paraId="15FE6807" w14:textId="77777777" w:rsidR="00DC27F5" w:rsidRPr="002755B7" w:rsidRDefault="00DC27F5" w:rsidP="007F7C73"/>
        </w:tc>
        <w:tc>
          <w:tcPr>
            <w:tcW w:w="1262" w:type="dxa"/>
            <w:vAlign w:val="bottom"/>
          </w:tcPr>
          <w:p w14:paraId="5BE9894B" w14:textId="77777777" w:rsidR="00DC27F5" w:rsidRPr="002755B7" w:rsidRDefault="00DC27F5" w:rsidP="007F7C73">
            <w:pPr>
              <w:pStyle w:val="TableContents"/>
              <w:jc w:val="center"/>
              <w:rPr>
                <w:rFonts w:ascii="Calibri" w:hAnsi="Calibri"/>
                <w:color w:val="000000"/>
              </w:rPr>
            </w:pPr>
            <w:r w:rsidRPr="002755B7">
              <w:rPr>
                <w:rFonts w:ascii="Calibri" w:hAnsi="Calibri"/>
                <w:color w:val="000000"/>
              </w:rPr>
              <w:t>2022</w:t>
            </w:r>
          </w:p>
        </w:tc>
        <w:tc>
          <w:tcPr>
            <w:tcW w:w="2250" w:type="dxa"/>
            <w:vAlign w:val="bottom"/>
          </w:tcPr>
          <w:p w14:paraId="2944D74B" w14:textId="77777777" w:rsidR="00DC27F5" w:rsidRPr="002755B7" w:rsidRDefault="00DC27F5" w:rsidP="007F7C73">
            <w:pPr>
              <w:pStyle w:val="TableContents"/>
              <w:jc w:val="center"/>
              <w:rPr>
                <w:rFonts w:ascii="Calibri" w:hAnsi="Calibri"/>
                <w:color w:val="000000"/>
              </w:rPr>
            </w:pPr>
            <w:r w:rsidRPr="002755B7">
              <w:rPr>
                <w:rFonts w:ascii="Calibri" w:hAnsi="Calibri"/>
                <w:color w:val="000000"/>
              </w:rPr>
              <w:t>24.3 (16.8 - 24.3)</w:t>
            </w:r>
          </w:p>
        </w:tc>
        <w:tc>
          <w:tcPr>
            <w:tcW w:w="1350" w:type="dxa"/>
            <w:vAlign w:val="bottom"/>
          </w:tcPr>
          <w:p w14:paraId="510411F1" w14:textId="77777777" w:rsidR="00DC27F5" w:rsidRPr="002755B7" w:rsidRDefault="00DC27F5" w:rsidP="007F7C73">
            <w:pPr>
              <w:pStyle w:val="TableContents"/>
              <w:jc w:val="center"/>
              <w:rPr>
                <w:rFonts w:ascii="Calibri" w:hAnsi="Calibri"/>
                <w:color w:val="000000"/>
              </w:rPr>
            </w:pPr>
            <w:r w:rsidRPr="002755B7">
              <w:rPr>
                <w:rFonts w:ascii="Calibri" w:hAnsi="Calibri"/>
                <w:color w:val="000000"/>
              </w:rPr>
              <w:t>&lt; 0.001</w:t>
            </w:r>
          </w:p>
        </w:tc>
        <w:tc>
          <w:tcPr>
            <w:tcW w:w="1710" w:type="dxa"/>
            <w:vAlign w:val="bottom"/>
          </w:tcPr>
          <w:p w14:paraId="24311F26" w14:textId="77777777" w:rsidR="00DC27F5" w:rsidRPr="002755B7" w:rsidRDefault="00DC27F5" w:rsidP="007F7C73">
            <w:pPr>
              <w:pStyle w:val="TableContents"/>
              <w:jc w:val="center"/>
              <w:rPr>
                <w:rFonts w:ascii="Calibri" w:hAnsi="Calibri"/>
                <w:color w:val="000000"/>
              </w:rPr>
            </w:pPr>
          </w:p>
        </w:tc>
      </w:tr>
      <w:tr w:rsidR="00DC27F5" w:rsidRPr="002755B7" w14:paraId="32825D66" w14:textId="77777777" w:rsidTr="007F7C73">
        <w:trPr>
          <w:trHeight w:val="300"/>
        </w:trPr>
        <w:tc>
          <w:tcPr>
            <w:tcW w:w="1918" w:type="dxa"/>
            <w:vMerge/>
            <w:tcBorders>
              <w:bottom w:val="single" w:sz="4" w:space="0" w:color="auto"/>
            </w:tcBorders>
            <w:vAlign w:val="center"/>
          </w:tcPr>
          <w:p w14:paraId="7BA2FF0A" w14:textId="77777777" w:rsidR="00DC27F5" w:rsidRPr="002755B7" w:rsidRDefault="00DC27F5" w:rsidP="007F7C73"/>
        </w:tc>
        <w:tc>
          <w:tcPr>
            <w:tcW w:w="1262" w:type="dxa"/>
            <w:vAlign w:val="bottom"/>
          </w:tcPr>
          <w:p w14:paraId="371F235C" w14:textId="77777777" w:rsidR="00DC27F5" w:rsidRPr="002755B7" w:rsidRDefault="00DC27F5" w:rsidP="007F7C73">
            <w:pPr>
              <w:pStyle w:val="TableContents"/>
              <w:jc w:val="center"/>
              <w:rPr>
                <w:rFonts w:ascii="Calibri" w:hAnsi="Calibri"/>
                <w:color w:val="000000"/>
              </w:rPr>
            </w:pPr>
            <w:r w:rsidRPr="002755B7">
              <w:rPr>
                <w:rFonts w:ascii="Calibri" w:hAnsi="Calibri"/>
                <w:color w:val="000000"/>
              </w:rPr>
              <w:t>2023</w:t>
            </w:r>
          </w:p>
        </w:tc>
        <w:tc>
          <w:tcPr>
            <w:tcW w:w="2250" w:type="dxa"/>
            <w:vAlign w:val="bottom"/>
          </w:tcPr>
          <w:p w14:paraId="409C5CA9" w14:textId="77777777" w:rsidR="00DC27F5" w:rsidRPr="002755B7" w:rsidRDefault="00DC27F5" w:rsidP="007F7C73">
            <w:pPr>
              <w:pStyle w:val="TableContents"/>
              <w:jc w:val="center"/>
              <w:rPr>
                <w:rFonts w:ascii="Calibri" w:hAnsi="Calibri"/>
                <w:color w:val="000000"/>
              </w:rPr>
            </w:pPr>
            <w:r w:rsidRPr="002755B7">
              <w:rPr>
                <w:rFonts w:ascii="Calibri" w:hAnsi="Calibri"/>
                <w:color w:val="000000"/>
              </w:rPr>
              <w:t>23.9 (16.6 - 23.9)</w:t>
            </w:r>
          </w:p>
        </w:tc>
        <w:tc>
          <w:tcPr>
            <w:tcW w:w="1350" w:type="dxa"/>
            <w:vAlign w:val="bottom"/>
          </w:tcPr>
          <w:p w14:paraId="499B89DF" w14:textId="77777777" w:rsidR="00DC27F5" w:rsidRPr="002755B7" w:rsidRDefault="00DC27F5" w:rsidP="007F7C73">
            <w:pPr>
              <w:pStyle w:val="TableContents"/>
              <w:jc w:val="center"/>
              <w:rPr>
                <w:rFonts w:ascii="Calibri" w:hAnsi="Calibri"/>
                <w:color w:val="000000"/>
              </w:rPr>
            </w:pPr>
            <w:r w:rsidRPr="002755B7">
              <w:rPr>
                <w:rFonts w:ascii="Calibri" w:hAnsi="Calibri"/>
                <w:color w:val="000000"/>
              </w:rPr>
              <w:t>0.117</w:t>
            </w:r>
          </w:p>
        </w:tc>
        <w:tc>
          <w:tcPr>
            <w:tcW w:w="1710" w:type="dxa"/>
            <w:vAlign w:val="bottom"/>
          </w:tcPr>
          <w:p w14:paraId="6F051EFA" w14:textId="77777777" w:rsidR="00DC27F5" w:rsidRPr="002755B7" w:rsidRDefault="00DC27F5" w:rsidP="007F7C73">
            <w:pPr>
              <w:pStyle w:val="TableContents"/>
              <w:jc w:val="center"/>
              <w:rPr>
                <w:rFonts w:ascii="Calibri" w:hAnsi="Calibri"/>
                <w:color w:val="000000"/>
              </w:rPr>
            </w:pPr>
          </w:p>
        </w:tc>
      </w:tr>
      <w:tr w:rsidR="00DC27F5" w:rsidRPr="002755B7" w14:paraId="09A8BE9C" w14:textId="77777777" w:rsidTr="007F7C73">
        <w:trPr>
          <w:trHeight w:val="300"/>
        </w:trPr>
        <w:tc>
          <w:tcPr>
            <w:tcW w:w="1918" w:type="dxa"/>
            <w:vMerge/>
            <w:tcBorders>
              <w:bottom w:val="single" w:sz="4" w:space="0" w:color="auto"/>
            </w:tcBorders>
            <w:vAlign w:val="center"/>
          </w:tcPr>
          <w:p w14:paraId="4E45E034" w14:textId="77777777" w:rsidR="00DC27F5" w:rsidRPr="002755B7" w:rsidRDefault="00DC27F5" w:rsidP="007F7C73"/>
        </w:tc>
        <w:tc>
          <w:tcPr>
            <w:tcW w:w="1262" w:type="dxa"/>
            <w:tcBorders>
              <w:bottom w:val="single" w:sz="4" w:space="0" w:color="auto"/>
            </w:tcBorders>
            <w:vAlign w:val="bottom"/>
          </w:tcPr>
          <w:p w14:paraId="69B71609" w14:textId="77777777" w:rsidR="00DC27F5" w:rsidRPr="002755B7" w:rsidRDefault="00DC27F5" w:rsidP="007F7C73">
            <w:pPr>
              <w:pStyle w:val="TableContents"/>
              <w:jc w:val="center"/>
              <w:rPr>
                <w:rFonts w:ascii="Calibri" w:hAnsi="Calibri"/>
                <w:color w:val="000000"/>
              </w:rPr>
            </w:pPr>
            <w:r w:rsidRPr="002755B7">
              <w:rPr>
                <w:rFonts w:ascii="Calibri" w:hAnsi="Calibri"/>
                <w:color w:val="000000"/>
              </w:rPr>
              <w:t>2024</w:t>
            </w:r>
          </w:p>
        </w:tc>
        <w:tc>
          <w:tcPr>
            <w:tcW w:w="2250" w:type="dxa"/>
            <w:tcBorders>
              <w:bottom w:val="single" w:sz="4" w:space="0" w:color="auto"/>
            </w:tcBorders>
            <w:vAlign w:val="bottom"/>
          </w:tcPr>
          <w:p w14:paraId="2FD54DBC" w14:textId="77777777" w:rsidR="00DC27F5" w:rsidRPr="002755B7" w:rsidRDefault="00DC27F5" w:rsidP="007F7C73">
            <w:pPr>
              <w:pStyle w:val="TableContents"/>
              <w:jc w:val="center"/>
              <w:rPr>
                <w:rFonts w:ascii="Calibri" w:hAnsi="Calibri"/>
                <w:color w:val="000000"/>
              </w:rPr>
            </w:pPr>
            <w:r w:rsidRPr="002755B7">
              <w:rPr>
                <w:rFonts w:ascii="Calibri" w:hAnsi="Calibri"/>
                <w:color w:val="000000"/>
              </w:rPr>
              <w:t>24.0 (16.6 - 24.0)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vAlign w:val="bottom"/>
          </w:tcPr>
          <w:p w14:paraId="2513DF71" w14:textId="77777777" w:rsidR="00DC27F5" w:rsidRPr="002755B7" w:rsidRDefault="00DC27F5" w:rsidP="007F7C73">
            <w:pPr>
              <w:pStyle w:val="TableContents"/>
              <w:jc w:val="center"/>
              <w:rPr>
                <w:rFonts w:ascii="Calibri" w:hAnsi="Calibri"/>
                <w:color w:val="000000"/>
              </w:rPr>
            </w:pPr>
            <w:r w:rsidRPr="002755B7">
              <w:rPr>
                <w:rFonts w:ascii="Calibri" w:hAnsi="Calibri"/>
                <w:color w:val="000000"/>
              </w:rPr>
              <w:t>&lt; 0.001</w:t>
            </w:r>
          </w:p>
        </w:tc>
        <w:tc>
          <w:tcPr>
            <w:tcW w:w="1710" w:type="dxa"/>
            <w:vAlign w:val="bottom"/>
          </w:tcPr>
          <w:p w14:paraId="066FCA18" w14:textId="77777777" w:rsidR="00DC27F5" w:rsidRPr="002755B7" w:rsidRDefault="00DC27F5" w:rsidP="007F7C73">
            <w:pPr>
              <w:pStyle w:val="TableContents"/>
              <w:jc w:val="center"/>
              <w:rPr>
                <w:rFonts w:ascii="Calibri" w:hAnsi="Calibri"/>
                <w:color w:val="000000"/>
              </w:rPr>
            </w:pPr>
          </w:p>
        </w:tc>
      </w:tr>
      <w:tr w:rsidR="00DC27F5" w:rsidRPr="002755B7" w14:paraId="4D8F0CF4" w14:textId="77777777" w:rsidTr="007F7C73">
        <w:trPr>
          <w:trHeight w:val="300"/>
        </w:trPr>
        <w:tc>
          <w:tcPr>
            <w:tcW w:w="1918" w:type="dxa"/>
            <w:vMerge w:val="restart"/>
            <w:tcBorders>
              <w:top w:val="single" w:sz="4" w:space="0" w:color="auto"/>
            </w:tcBorders>
          </w:tcPr>
          <w:p w14:paraId="29A50984" w14:textId="77777777" w:rsidR="00DC27F5" w:rsidRPr="002755B7" w:rsidRDefault="00DC27F5" w:rsidP="007F7C73">
            <w:r w:rsidRPr="002755B7">
              <w:rPr>
                <w:rFonts w:ascii="Calibri" w:hAnsi="Calibri"/>
              </w:rPr>
              <w:t>Ambulance call duration (minutes)</w:t>
            </w:r>
          </w:p>
        </w:tc>
        <w:tc>
          <w:tcPr>
            <w:tcW w:w="1262" w:type="dxa"/>
            <w:tcBorders>
              <w:top w:val="single" w:sz="4" w:space="0" w:color="auto"/>
            </w:tcBorders>
            <w:vAlign w:val="bottom"/>
          </w:tcPr>
          <w:p w14:paraId="3B6AD230" w14:textId="77777777" w:rsidR="00DC27F5" w:rsidRPr="002755B7" w:rsidRDefault="00DC27F5" w:rsidP="007F7C73">
            <w:pPr>
              <w:pStyle w:val="TableContents"/>
              <w:jc w:val="center"/>
              <w:rPr>
                <w:rFonts w:ascii="Calibri" w:hAnsi="Calibri"/>
                <w:color w:val="000000"/>
              </w:rPr>
            </w:pPr>
            <w:r w:rsidRPr="002755B7">
              <w:rPr>
                <w:rFonts w:ascii="Calibri" w:hAnsi="Calibri"/>
                <w:color w:val="000000"/>
              </w:rPr>
              <w:t>2021</w:t>
            </w:r>
          </w:p>
        </w:tc>
        <w:tc>
          <w:tcPr>
            <w:tcW w:w="2250" w:type="dxa"/>
            <w:tcBorders>
              <w:top w:val="single" w:sz="4" w:space="0" w:color="auto"/>
            </w:tcBorders>
            <w:vAlign w:val="bottom"/>
          </w:tcPr>
          <w:p w14:paraId="0C0E4EFC" w14:textId="77777777" w:rsidR="00DC27F5" w:rsidRPr="002755B7" w:rsidRDefault="00DC27F5" w:rsidP="007F7C73">
            <w:pPr>
              <w:pStyle w:val="TableContents"/>
              <w:jc w:val="center"/>
              <w:rPr>
                <w:rFonts w:ascii="Calibri" w:hAnsi="Calibri"/>
                <w:color w:val="000000"/>
              </w:rPr>
            </w:pPr>
            <w:r w:rsidRPr="002755B7">
              <w:rPr>
                <w:rFonts w:ascii="Calibri" w:hAnsi="Calibri"/>
                <w:color w:val="000000"/>
              </w:rPr>
              <w:t>65.6 (46.9 - 65.6)</w:t>
            </w:r>
          </w:p>
        </w:tc>
        <w:tc>
          <w:tcPr>
            <w:tcW w:w="1350" w:type="dxa"/>
            <w:tcBorders>
              <w:top w:val="single" w:sz="4" w:space="0" w:color="auto"/>
            </w:tcBorders>
            <w:vAlign w:val="bottom"/>
          </w:tcPr>
          <w:p w14:paraId="1BF8E155" w14:textId="77777777" w:rsidR="00DC27F5" w:rsidRPr="002755B7" w:rsidRDefault="00DC27F5" w:rsidP="007F7C73">
            <w:pPr>
              <w:pStyle w:val="TableContents"/>
              <w:rPr>
                <w:rFonts w:ascii="Calibri" w:hAnsi="Calibri"/>
                <w:color w:val="000000"/>
              </w:rPr>
            </w:pPr>
          </w:p>
        </w:tc>
        <w:tc>
          <w:tcPr>
            <w:tcW w:w="1710" w:type="dxa"/>
            <w:vAlign w:val="bottom"/>
          </w:tcPr>
          <w:p w14:paraId="35E92DCE" w14:textId="77777777" w:rsidR="00DC27F5" w:rsidRPr="002755B7" w:rsidRDefault="00DC27F5" w:rsidP="007F7C73">
            <w:pPr>
              <w:pStyle w:val="TableContents"/>
              <w:jc w:val="center"/>
              <w:rPr>
                <w:rFonts w:ascii="Calibri" w:hAnsi="Calibri"/>
                <w:color w:val="000000"/>
              </w:rPr>
            </w:pPr>
          </w:p>
        </w:tc>
      </w:tr>
      <w:tr w:rsidR="00DC27F5" w:rsidRPr="002755B7" w14:paraId="3DEE0869" w14:textId="77777777" w:rsidTr="007F7C73">
        <w:trPr>
          <w:trHeight w:val="300"/>
        </w:trPr>
        <w:tc>
          <w:tcPr>
            <w:tcW w:w="1918" w:type="dxa"/>
            <w:vMerge/>
            <w:vAlign w:val="center"/>
          </w:tcPr>
          <w:p w14:paraId="03F0D3AC" w14:textId="77777777" w:rsidR="00DC27F5" w:rsidRPr="002755B7" w:rsidRDefault="00DC27F5" w:rsidP="007F7C73"/>
        </w:tc>
        <w:tc>
          <w:tcPr>
            <w:tcW w:w="1262" w:type="dxa"/>
            <w:vAlign w:val="bottom"/>
          </w:tcPr>
          <w:p w14:paraId="48F51798" w14:textId="77777777" w:rsidR="00DC27F5" w:rsidRPr="002755B7" w:rsidRDefault="00DC27F5" w:rsidP="007F7C73">
            <w:pPr>
              <w:pStyle w:val="TableContents"/>
              <w:jc w:val="center"/>
              <w:rPr>
                <w:rFonts w:ascii="Calibri" w:hAnsi="Calibri"/>
                <w:color w:val="000000"/>
              </w:rPr>
            </w:pPr>
            <w:r w:rsidRPr="002755B7">
              <w:rPr>
                <w:rFonts w:ascii="Calibri" w:hAnsi="Calibri"/>
                <w:color w:val="000000"/>
              </w:rPr>
              <w:t>2022</w:t>
            </w:r>
          </w:p>
        </w:tc>
        <w:tc>
          <w:tcPr>
            <w:tcW w:w="2250" w:type="dxa"/>
            <w:vAlign w:val="bottom"/>
          </w:tcPr>
          <w:p w14:paraId="7D96FF34" w14:textId="77777777" w:rsidR="00DC27F5" w:rsidRPr="002755B7" w:rsidRDefault="00DC27F5" w:rsidP="007F7C73">
            <w:pPr>
              <w:pStyle w:val="TableContents"/>
              <w:jc w:val="center"/>
              <w:rPr>
                <w:rFonts w:ascii="Calibri" w:hAnsi="Calibri"/>
                <w:color w:val="000000"/>
              </w:rPr>
            </w:pPr>
            <w:r w:rsidRPr="002755B7">
              <w:rPr>
                <w:rFonts w:ascii="Calibri" w:hAnsi="Calibri"/>
                <w:color w:val="000000"/>
              </w:rPr>
              <w:t>64.7 (45.3 - 64.7)</w:t>
            </w:r>
          </w:p>
        </w:tc>
        <w:tc>
          <w:tcPr>
            <w:tcW w:w="1350" w:type="dxa"/>
            <w:vAlign w:val="bottom"/>
          </w:tcPr>
          <w:p w14:paraId="24C957B1" w14:textId="77777777" w:rsidR="00DC27F5" w:rsidRPr="002755B7" w:rsidRDefault="00DC27F5" w:rsidP="007F7C73">
            <w:pPr>
              <w:pStyle w:val="TableContents"/>
              <w:jc w:val="center"/>
              <w:rPr>
                <w:rFonts w:ascii="Calibri" w:hAnsi="Calibri"/>
                <w:color w:val="000000"/>
              </w:rPr>
            </w:pPr>
            <w:r w:rsidRPr="002755B7">
              <w:rPr>
                <w:rFonts w:ascii="Calibri" w:hAnsi="Calibri"/>
                <w:color w:val="000000"/>
              </w:rPr>
              <w:t>&lt; 0.001</w:t>
            </w:r>
          </w:p>
        </w:tc>
        <w:tc>
          <w:tcPr>
            <w:tcW w:w="1710" w:type="dxa"/>
            <w:vAlign w:val="bottom"/>
          </w:tcPr>
          <w:p w14:paraId="5B35E70F" w14:textId="77777777" w:rsidR="00DC27F5" w:rsidRPr="002755B7" w:rsidRDefault="00DC27F5" w:rsidP="007F7C73">
            <w:pPr>
              <w:pStyle w:val="TableContents"/>
              <w:jc w:val="center"/>
              <w:rPr>
                <w:rFonts w:ascii="Calibri" w:hAnsi="Calibri"/>
                <w:color w:val="000000"/>
              </w:rPr>
            </w:pPr>
          </w:p>
        </w:tc>
      </w:tr>
      <w:tr w:rsidR="00DC27F5" w:rsidRPr="002755B7" w14:paraId="3F74DC0B" w14:textId="77777777" w:rsidTr="007F7C73">
        <w:trPr>
          <w:trHeight w:val="300"/>
        </w:trPr>
        <w:tc>
          <w:tcPr>
            <w:tcW w:w="1918" w:type="dxa"/>
            <w:vMerge/>
            <w:vAlign w:val="center"/>
          </w:tcPr>
          <w:p w14:paraId="6FC57570" w14:textId="77777777" w:rsidR="00DC27F5" w:rsidRPr="002755B7" w:rsidRDefault="00DC27F5" w:rsidP="007F7C73"/>
        </w:tc>
        <w:tc>
          <w:tcPr>
            <w:tcW w:w="1262" w:type="dxa"/>
            <w:vAlign w:val="bottom"/>
          </w:tcPr>
          <w:p w14:paraId="05374CF7" w14:textId="77777777" w:rsidR="00DC27F5" w:rsidRPr="002755B7" w:rsidRDefault="00DC27F5" w:rsidP="007F7C73">
            <w:pPr>
              <w:pStyle w:val="TableContents"/>
              <w:jc w:val="center"/>
              <w:rPr>
                <w:rFonts w:ascii="Calibri" w:hAnsi="Calibri"/>
                <w:color w:val="000000"/>
              </w:rPr>
            </w:pPr>
            <w:r w:rsidRPr="002755B7">
              <w:rPr>
                <w:rFonts w:ascii="Calibri" w:hAnsi="Calibri"/>
                <w:color w:val="000000"/>
              </w:rPr>
              <w:t>2023</w:t>
            </w:r>
          </w:p>
        </w:tc>
        <w:tc>
          <w:tcPr>
            <w:tcW w:w="2250" w:type="dxa"/>
            <w:vAlign w:val="bottom"/>
          </w:tcPr>
          <w:p w14:paraId="35905C33" w14:textId="77777777" w:rsidR="00DC27F5" w:rsidRPr="002755B7" w:rsidRDefault="00DC27F5" w:rsidP="007F7C73">
            <w:pPr>
              <w:pStyle w:val="TableContents"/>
              <w:jc w:val="center"/>
              <w:rPr>
                <w:rFonts w:ascii="Calibri" w:hAnsi="Calibri"/>
                <w:color w:val="000000"/>
              </w:rPr>
            </w:pPr>
            <w:r w:rsidRPr="002755B7">
              <w:rPr>
                <w:rFonts w:ascii="Calibri" w:hAnsi="Calibri"/>
                <w:color w:val="000000"/>
              </w:rPr>
              <w:t>63.7 (44.5 - 63.7)</w:t>
            </w:r>
          </w:p>
        </w:tc>
        <w:tc>
          <w:tcPr>
            <w:tcW w:w="1350" w:type="dxa"/>
            <w:vAlign w:val="bottom"/>
          </w:tcPr>
          <w:p w14:paraId="7E2DDA67" w14:textId="77777777" w:rsidR="00DC27F5" w:rsidRPr="002755B7" w:rsidRDefault="00DC27F5" w:rsidP="007F7C73">
            <w:pPr>
              <w:pStyle w:val="TableContents"/>
              <w:jc w:val="center"/>
              <w:rPr>
                <w:rFonts w:ascii="Calibri" w:hAnsi="Calibri"/>
                <w:color w:val="000000"/>
              </w:rPr>
            </w:pPr>
            <w:r w:rsidRPr="002755B7">
              <w:rPr>
                <w:rFonts w:ascii="Calibri" w:hAnsi="Calibri"/>
                <w:color w:val="000000"/>
              </w:rPr>
              <w:t>&lt; 0.001</w:t>
            </w:r>
          </w:p>
        </w:tc>
        <w:tc>
          <w:tcPr>
            <w:tcW w:w="1710" w:type="dxa"/>
            <w:vAlign w:val="bottom"/>
          </w:tcPr>
          <w:p w14:paraId="4020A55E" w14:textId="77777777" w:rsidR="00DC27F5" w:rsidRPr="002755B7" w:rsidRDefault="00DC27F5" w:rsidP="007F7C73">
            <w:pPr>
              <w:pStyle w:val="TableContents"/>
              <w:jc w:val="center"/>
              <w:rPr>
                <w:rFonts w:ascii="Calibri" w:hAnsi="Calibri"/>
                <w:color w:val="000000"/>
              </w:rPr>
            </w:pPr>
          </w:p>
        </w:tc>
      </w:tr>
      <w:tr w:rsidR="00DC27F5" w:rsidRPr="002755B7" w14:paraId="01375009" w14:textId="77777777" w:rsidTr="007F7C73">
        <w:trPr>
          <w:trHeight w:val="300"/>
        </w:trPr>
        <w:tc>
          <w:tcPr>
            <w:tcW w:w="1918" w:type="dxa"/>
            <w:vMerge/>
            <w:vAlign w:val="center"/>
          </w:tcPr>
          <w:p w14:paraId="012A641F" w14:textId="77777777" w:rsidR="00DC27F5" w:rsidRPr="002755B7" w:rsidRDefault="00DC27F5" w:rsidP="007F7C73"/>
        </w:tc>
        <w:tc>
          <w:tcPr>
            <w:tcW w:w="1262" w:type="dxa"/>
            <w:vAlign w:val="bottom"/>
          </w:tcPr>
          <w:p w14:paraId="524FAFBC" w14:textId="77777777" w:rsidR="00DC27F5" w:rsidRPr="002755B7" w:rsidRDefault="00DC27F5" w:rsidP="007F7C73">
            <w:pPr>
              <w:pStyle w:val="TableContents"/>
              <w:jc w:val="center"/>
              <w:rPr>
                <w:rFonts w:ascii="Calibri" w:hAnsi="Calibri"/>
                <w:color w:val="000000"/>
              </w:rPr>
            </w:pPr>
            <w:r w:rsidRPr="002755B7">
              <w:rPr>
                <w:rFonts w:ascii="Calibri" w:hAnsi="Calibri"/>
                <w:color w:val="000000"/>
              </w:rPr>
              <w:t>2024</w:t>
            </w:r>
          </w:p>
        </w:tc>
        <w:tc>
          <w:tcPr>
            <w:tcW w:w="2250" w:type="dxa"/>
            <w:vAlign w:val="bottom"/>
          </w:tcPr>
          <w:p w14:paraId="56159B29" w14:textId="77777777" w:rsidR="00DC27F5" w:rsidRPr="002755B7" w:rsidRDefault="00DC27F5" w:rsidP="007F7C73">
            <w:pPr>
              <w:pStyle w:val="TableContents"/>
              <w:jc w:val="center"/>
              <w:rPr>
                <w:rFonts w:ascii="Calibri" w:hAnsi="Calibri"/>
                <w:color w:val="000000"/>
              </w:rPr>
            </w:pPr>
            <w:r w:rsidRPr="002755B7">
              <w:rPr>
                <w:rFonts w:ascii="Calibri" w:hAnsi="Calibri"/>
                <w:color w:val="000000"/>
              </w:rPr>
              <w:t>64.3 (45.3 - 64.3)</w:t>
            </w:r>
          </w:p>
        </w:tc>
        <w:tc>
          <w:tcPr>
            <w:tcW w:w="1350" w:type="dxa"/>
            <w:vAlign w:val="bottom"/>
          </w:tcPr>
          <w:p w14:paraId="15EE4D5D" w14:textId="77777777" w:rsidR="00DC27F5" w:rsidRPr="002755B7" w:rsidRDefault="00DC27F5" w:rsidP="007F7C73">
            <w:pPr>
              <w:pStyle w:val="TableContents"/>
              <w:jc w:val="center"/>
              <w:rPr>
                <w:rFonts w:ascii="Calibri" w:hAnsi="Calibri"/>
                <w:color w:val="000000"/>
              </w:rPr>
            </w:pPr>
            <w:r w:rsidRPr="002755B7">
              <w:rPr>
                <w:rFonts w:ascii="Calibri" w:hAnsi="Calibri"/>
                <w:color w:val="000000"/>
              </w:rPr>
              <w:t>&lt; 0.001</w:t>
            </w:r>
          </w:p>
        </w:tc>
        <w:tc>
          <w:tcPr>
            <w:tcW w:w="1710" w:type="dxa"/>
            <w:vAlign w:val="bottom"/>
          </w:tcPr>
          <w:p w14:paraId="721A979D" w14:textId="77777777" w:rsidR="00DC27F5" w:rsidRPr="002755B7" w:rsidRDefault="00DC27F5" w:rsidP="007F7C73">
            <w:pPr>
              <w:jc w:val="center"/>
              <w:rPr>
                <w:rFonts w:ascii="Calibri" w:hAnsi="Calibri"/>
              </w:rPr>
            </w:pPr>
          </w:p>
        </w:tc>
      </w:tr>
    </w:tbl>
    <w:p w14:paraId="42060F42" w14:textId="77777777" w:rsidR="00DC27F5" w:rsidRDefault="00DC27F5" w:rsidP="00DC27F5">
      <w:r>
        <w:t>Table 3 legend. The on-scene time and d</w:t>
      </w:r>
      <w:r w:rsidRPr="002755B7">
        <w:t>uration</w:t>
      </w:r>
      <w:r>
        <w:t xml:space="preserve"> of the ambulance call</w:t>
      </w:r>
      <w:r w:rsidRPr="002755B7">
        <w:t xml:space="preserve"> w</w:t>
      </w:r>
      <w:r>
        <w:t>ere</w:t>
      </w:r>
      <w:r w:rsidRPr="002755B7">
        <w:t xml:space="preserve"> compared to </w:t>
      </w:r>
      <w:r>
        <w:t>those in</w:t>
      </w:r>
      <w:r w:rsidRPr="002755B7">
        <w:t xml:space="preserve"> 2021 </w:t>
      </w:r>
      <w:r>
        <w:t>via</w:t>
      </w:r>
      <w:r w:rsidRPr="002755B7">
        <w:t xml:space="preserve"> Mann-Whitney U tests.</w:t>
      </w:r>
    </w:p>
    <w:p w14:paraId="10BE7064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27F5"/>
    <w:rsid w:val="00195413"/>
    <w:rsid w:val="003D0186"/>
    <w:rsid w:val="00583ABD"/>
    <w:rsid w:val="007278E4"/>
    <w:rsid w:val="00A3738C"/>
    <w:rsid w:val="00BC6C35"/>
    <w:rsid w:val="00CB270D"/>
    <w:rsid w:val="00CF7583"/>
    <w:rsid w:val="00DC27F5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9BE8AB"/>
  <w15:chartTrackingRefBased/>
  <w15:docId w15:val="{65877C9B-BE33-4EEC-9442-95D80149B1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27F5"/>
    <w:pPr>
      <w:suppressAutoHyphens/>
      <w:overflowPunct w:val="0"/>
      <w:spacing w:line="480" w:lineRule="auto"/>
    </w:pPr>
    <w:rPr>
      <w:rFonts w:ascii="Aptos" w:eastAsia="Aptos" w:hAnsi="Aptos" w:cs="Tahoma"/>
      <w:sz w:val="22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C27F5"/>
    <w:pPr>
      <w:keepNext/>
      <w:keepLines/>
      <w:suppressAutoHyphens w:val="0"/>
      <w:overflowPunct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C27F5"/>
    <w:pPr>
      <w:keepNext/>
      <w:keepLines/>
      <w:suppressAutoHyphens w:val="0"/>
      <w:overflowPunct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C27F5"/>
    <w:pPr>
      <w:keepNext/>
      <w:keepLines/>
      <w:suppressAutoHyphens w:val="0"/>
      <w:overflowPunct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C27F5"/>
    <w:pPr>
      <w:keepNext/>
      <w:keepLines/>
      <w:suppressAutoHyphens w:val="0"/>
      <w:overflowPunct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C27F5"/>
    <w:pPr>
      <w:keepNext/>
      <w:keepLines/>
      <w:suppressAutoHyphens w:val="0"/>
      <w:overflowPunct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C27F5"/>
    <w:pPr>
      <w:keepNext/>
      <w:keepLines/>
      <w:suppressAutoHyphens w:val="0"/>
      <w:overflowPunct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C27F5"/>
    <w:pPr>
      <w:keepNext/>
      <w:keepLines/>
      <w:suppressAutoHyphens w:val="0"/>
      <w:overflowPunct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C27F5"/>
    <w:pPr>
      <w:keepNext/>
      <w:keepLines/>
      <w:suppressAutoHyphens w:val="0"/>
      <w:overflowPunct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C27F5"/>
    <w:pPr>
      <w:keepNext/>
      <w:keepLines/>
      <w:suppressAutoHyphens w:val="0"/>
      <w:overflowPunct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C27F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C27F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C27F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C27F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C27F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C27F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C27F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C27F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C27F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C27F5"/>
    <w:pPr>
      <w:suppressAutoHyphens w:val="0"/>
      <w:overflowPunct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C27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C27F5"/>
    <w:pPr>
      <w:numPr>
        <w:ilvl w:val="1"/>
      </w:numPr>
      <w:suppressAutoHyphens w:val="0"/>
      <w:overflowPunct/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C27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C27F5"/>
    <w:pPr>
      <w:suppressAutoHyphens w:val="0"/>
      <w:overflowPunct/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C27F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C27F5"/>
    <w:pPr>
      <w:suppressAutoHyphens w:val="0"/>
      <w:overflowPunct/>
      <w:spacing w:line="278" w:lineRule="auto"/>
      <w:ind w:left="720"/>
      <w:contextualSpacing/>
    </w:pPr>
    <w:rPr>
      <w:rFonts w:asciiTheme="minorHAnsi" w:eastAsiaTheme="minorHAnsi" w:hAnsiTheme="minorHAnsi" w:cstheme="minorBidi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C27F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C27F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overflowPunct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C27F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C27F5"/>
    <w:rPr>
      <w:b/>
      <w:bCs/>
      <w:smallCaps/>
      <w:color w:val="0F4761" w:themeColor="accent1" w:themeShade="BF"/>
      <w:spacing w:val="5"/>
    </w:rPr>
  </w:style>
  <w:style w:type="paragraph" w:customStyle="1" w:styleId="TableContents">
    <w:name w:val="Table Contents"/>
    <w:basedOn w:val="Normal"/>
    <w:qFormat/>
    <w:rsid w:val="00DC27F5"/>
    <w:pPr>
      <w:widowControl w:val="0"/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288</Words>
  <Characters>1598</Characters>
  <Application>Microsoft Office Word</Application>
  <DocSecurity>0</DocSecurity>
  <Lines>40</Lines>
  <Paragraphs>21</Paragraphs>
  <ScaleCrop>false</ScaleCrop>
  <Company>Springer Nature</Company>
  <LinksUpToDate>false</LinksUpToDate>
  <CharactersWithSpaces>1865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2025-12-25T08:29:00Z</dcterms:created>
  <dcterms:modified xsi:type="dcterms:W3CDTF">2025-12-25T08:30:00Z</dcterms:modified>
</cp:coreProperties>
</file>