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9106F4">
      <w:pPr>
        <w:pStyle w:val="2"/>
        <w:pageBreakBefore w:val="0"/>
        <w:widowControl w:val="0"/>
        <w:kinsoku/>
        <w:wordWrap/>
        <w:overflowPunct/>
        <w:topLinePunct w:val="0"/>
        <w:autoSpaceDE/>
        <w:autoSpaceDN/>
        <w:bidi w:val="0"/>
        <w:adjustRightInd/>
        <w:snapToGrid/>
        <w:spacing w:line="360" w:lineRule="auto"/>
        <w:textAlignment w:val="auto"/>
        <w:rPr>
          <w:rFonts w:eastAsia="微软雅黑"/>
          <w:color w:val="000000" w:themeColor="text1"/>
          <w:szCs w:val="24"/>
          <w14:textFill>
            <w14:solidFill>
              <w14:schemeClr w14:val="tx1"/>
            </w14:solidFill>
          </w14:textFill>
        </w:rPr>
      </w:pPr>
      <w:bookmarkStart w:id="0" w:name="_Hlk90910422"/>
      <w:bookmarkEnd w:id="0"/>
      <w:bookmarkStart w:id="1" w:name="_Hlk94362209"/>
      <w:r>
        <w:rPr>
          <w:rFonts w:eastAsia="微软雅黑"/>
          <w:color w:val="000000" w:themeColor="text1"/>
          <w:szCs w:val="24"/>
          <w14:textFill>
            <w14:solidFill>
              <w14:schemeClr w14:val="tx1"/>
            </w14:solidFill>
          </w14:textFill>
        </w:rPr>
        <w:t>Supplementary materials</w:t>
      </w:r>
    </w:p>
    <w:p w14:paraId="5E957B58">
      <w:pPr>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bookmarkEnd w:id="1"/>
    <w:p w14:paraId="2433362E">
      <w:pPr>
        <w:jc w:val="center"/>
        <w:rPr>
          <w:rFonts w:hint="eastAsia" w:ascii="Times New Roman" w:hAnsi="Times New Roman" w:cs="Times New Roman"/>
          <w:b/>
          <w:bCs/>
          <w:i/>
          <w:iCs/>
          <w:sz w:val="28"/>
          <w:szCs w:val="28"/>
          <w:lang w:val="en-US" w:eastAsia="zh-CN"/>
        </w:rPr>
      </w:pPr>
      <w:r>
        <w:rPr>
          <w:rFonts w:hint="default" w:ascii="Times New Roman" w:hAnsi="Times New Roman" w:cs="Times New Roman"/>
          <w:b/>
          <w:bCs/>
          <w:sz w:val="28"/>
          <w:szCs w:val="28"/>
        </w:rPr>
        <w:t xml:space="preserve">Mechanism-guided control of intracellular alkalinization and process pH for production of recombinant human B-type natriuretic peptide under the cSAT scheme in </w:t>
      </w:r>
      <w:r>
        <w:rPr>
          <w:rFonts w:hint="default" w:ascii="Times New Roman" w:hAnsi="Times New Roman" w:cs="Times New Roman"/>
          <w:b/>
          <w:bCs/>
          <w:i/>
          <w:iCs/>
          <w:sz w:val="28"/>
          <w:szCs w:val="28"/>
        </w:rPr>
        <w:t>Escherichia coli</w:t>
      </w:r>
    </w:p>
    <w:p w14:paraId="61FEFC83">
      <w:pPr>
        <w:spacing w:line="360" w:lineRule="auto"/>
        <w:jc w:val="center"/>
        <w:rPr>
          <w:rFonts w:hint="eastAsia"/>
          <w:b/>
          <w:bCs/>
          <w:sz w:val="28"/>
          <w:szCs w:val="28"/>
        </w:rPr>
      </w:pPr>
    </w:p>
    <w:p w14:paraId="5FA9906D">
      <w:pPr>
        <w:spacing w:line="360" w:lineRule="auto"/>
        <w:jc w:val="center"/>
        <w:rPr>
          <w:rFonts w:hint="eastAsia"/>
          <w:b/>
          <w:bCs/>
          <w:sz w:val="28"/>
          <w:szCs w:val="28"/>
        </w:rPr>
      </w:pPr>
    </w:p>
    <w:p w14:paraId="6FD64CB0">
      <w:pPr>
        <w:spacing w:line="360" w:lineRule="auto"/>
        <w:rPr>
          <w:rFonts w:hint="eastAsia" w:ascii="Times New Roman" w:hAnsi="Times New Roman" w:cs="Times New Roman"/>
          <w:sz w:val="24"/>
          <w:vertAlign w:val="superscript"/>
        </w:rPr>
      </w:pPr>
      <w:r>
        <w:rPr>
          <w:rFonts w:hint="eastAsia" w:ascii="Times New Roman" w:hAnsi="Times New Roman" w:cs="Times New Roman"/>
          <w:sz w:val="24"/>
        </w:rPr>
        <w:t>Hang Nie</w:t>
      </w:r>
      <w:r>
        <w:rPr>
          <w:rFonts w:hint="eastAsia" w:ascii="Times New Roman" w:hAnsi="Times New Roman" w:cs="Times New Roman"/>
          <w:sz w:val="24"/>
          <w:vertAlign w:val="superscript"/>
        </w:rPr>
        <w:t>a, b ,c</w:t>
      </w:r>
      <w:r>
        <w:rPr>
          <w:rFonts w:hint="eastAsia" w:ascii="Times New Roman" w:hAnsi="Times New Roman" w:cs="Times New Roman"/>
          <w:sz w:val="24"/>
        </w:rPr>
        <w:t>, Yajun Feng</w:t>
      </w:r>
      <w:r>
        <w:rPr>
          <w:rFonts w:hint="eastAsia" w:ascii="Times New Roman" w:hAnsi="Times New Roman" w:cs="Times New Roman"/>
          <w:sz w:val="24"/>
          <w:vertAlign w:val="superscript"/>
        </w:rPr>
        <w:t>a, b, c</w:t>
      </w:r>
      <w:r>
        <w:rPr>
          <w:rFonts w:hint="eastAsia" w:ascii="Times New Roman" w:hAnsi="Times New Roman" w:cs="Times New Roman"/>
          <w:sz w:val="24"/>
        </w:rPr>
        <w:t>, Guanghui Sun</w:t>
      </w:r>
      <w:r>
        <w:rPr>
          <w:rFonts w:hint="eastAsia" w:ascii="Times New Roman" w:hAnsi="Times New Roman" w:cs="Times New Roman"/>
          <w:sz w:val="24"/>
          <w:vertAlign w:val="superscript"/>
        </w:rPr>
        <w:t>a, b, c</w:t>
      </w:r>
      <w:r>
        <w:rPr>
          <w:rFonts w:hint="eastAsia" w:ascii="Times New Roman" w:hAnsi="Times New Roman" w:cs="Times New Roman"/>
          <w:sz w:val="24"/>
        </w:rPr>
        <w:t>, Haijie Li</w:t>
      </w:r>
      <w:r>
        <w:rPr>
          <w:rFonts w:hint="eastAsia" w:ascii="Times New Roman" w:hAnsi="Times New Roman" w:cs="Times New Roman"/>
          <w:sz w:val="24"/>
          <w:vertAlign w:val="superscript"/>
        </w:rPr>
        <w:t>a, b, c</w:t>
      </w:r>
      <w:r>
        <w:rPr>
          <w:rFonts w:hint="eastAsia" w:ascii="Times New Roman" w:hAnsi="Times New Roman" w:cs="Times New Roman"/>
          <w:sz w:val="24"/>
        </w:rPr>
        <w:t xml:space="preserve">, </w:t>
      </w:r>
      <w:r>
        <w:rPr>
          <w:rFonts w:hint="eastAsia" w:cs="Times New Roman"/>
          <w:sz w:val="24"/>
          <w:lang w:val="en-US" w:eastAsia="zh-CN"/>
        </w:rPr>
        <w:t>Jingwen Kang</w:t>
      </w:r>
      <w:r>
        <w:rPr>
          <w:rFonts w:hint="eastAsia" w:ascii="Times New Roman" w:hAnsi="Times New Roman" w:cs="Times New Roman"/>
          <w:sz w:val="24"/>
          <w:vertAlign w:val="superscript"/>
        </w:rPr>
        <w:t>a, b, c</w:t>
      </w:r>
      <w:r>
        <w:rPr>
          <w:rFonts w:hint="eastAsia" w:cs="Times New Roman"/>
          <w:sz w:val="24"/>
          <w:vertAlign w:val="baseline"/>
          <w:lang w:val="en-US" w:eastAsia="zh-CN"/>
        </w:rPr>
        <w:t>, Yanqing Zha</w:t>
      </w:r>
      <w:bookmarkStart w:id="2" w:name="_GoBack"/>
      <w:bookmarkEnd w:id="2"/>
      <w:r>
        <w:rPr>
          <w:rFonts w:hint="eastAsia" w:cs="Times New Roman"/>
          <w:sz w:val="24"/>
          <w:vertAlign w:val="baseline"/>
          <w:lang w:val="en-US" w:eastAsia="zh-CN"/>
        </w:rPr>
        <w:t>ng</w:t>
      </w:r>
      <w:r>
        <w:rPr>
          <w:rFonts w:hint="eastAsia" w:ascii="Times New Roman" w:hAnsi="Times New Roman" w:cs="Times New Roman"/>
          <w:sz w:val="24"/>
          <w:vertAlign w:val="superscript"/>
        </w:rPr>
        <w:t>a, b, c</w:t>
      </w:r>
      <w:r>
        <w:rPr>
          <w:rFonts w:hint="eastAsia" w:cs="Times New Roman"/>
          <w:sz w:val="24"/>
          <w:vertAlign w:val="baseline"/>
          <w:lang w:val="en-US" w:eastAsia="zh-CN"/>
        </w:rPr>
        <w:t xml:space="preserve">, </w:t>
      </w:r>
      <w:r>
        <w:rPr>
          <w:rFonts w:hint="eastAsia" w:ascii="Times New Roman" w:hAnsi="Times New Roman" w:cs="Times New Roman"/>
          <w:sz w:val="24"/>
        </w:rPr>
        <w:t>Chenhui Zhu</w:t>
      </w:r>
      <w:r>
        <w:rPr>
          <w:rFonts w:hint="eastAsia" w:ascii="Times New Roman" w:hAnsi="Times New Roman" w:cs="Times New Roman"/>
          <w:sz w:val="24"/>
          <w:vertAlign w:val="superscript"/>
        </w:rPr>
        <w:t>a, b, c</w:t>
      </w:r>
      <w:r>
        <w:rPr>
          <w:rFonts w:hint="eastAsia" w:ascii="Times New Roman" w:hAnsi="Times New Roman" w:cs="Times New Roman"/>
          <w:sz w:val="24"/>
        </w:rPr>
        <w:t>, Yu Mi</w:t>
      </w:r>
      <w:r>
        <w:rPr>
          <w:rFonts w:hint="eastAsia" w:ascii="Times New Roman" w:hAnsi="Times New Roman" w:cs="Times New Roman"/>
          <w:sz w:val="24"/>
          <w:vertAlign w:val="superscript"/>
        </w:rPr>
        <w:t>a, b, c</w:t>
      </w:r>
      <w:r>
        <w:rPr>
          <w:rFonts w:hint="eastAsia" w:ascii="Times New Roman" w:hAnsi="Times New Roman" w:cs="Times New Roman"/>
          <w:sz w:val="24"/>
        </w:rPr>
        <w:t>, Yuan Guo</w:t>
      </w:r>
      <w:r>
        <w:rPr>
          <w:rFonts w:hint="eastAsia" w:ascii="Times New Roman" w:hAnsi="Times New Roman" w:cs="Times New Roman"/>
          <w:sz w:val="24"/>
          <w:vertAlign w:val="superscript"/>
        </w:rPr>
        <w:t>a, b, c</w:t>
      </w:r>
      <w:r>
        <w:rPr>
          <w:rFonts w:hint="eastAsia" w:ascii="Times New Roman" w:hAnsi="Times New Roman" w:cs="Times New Roman"/>
          <w:sz w:val="24"/>
        </w:rPr>
        <w:t>, Pei Ma</w:t>
      </w:r>
      <w:r>
        <w:rPr>
          <w:rFonts w:hint="eastAsia" w:ascii="Times New Roman" w:hAnsi="Times New Roman" w:cs="Times New Roman"/>
          <w:sz w:val="24"/>
          <w:vertAlign w:val="superscript"/>
        </w:rPr>
        <w:t>a, b, c*</w:t>
      </w:r>
    </w:p>
    <w:p w14:paraId="377579ED">
      <w:pPr>
        <w:spacing w:line="360" w:lineRule="auto"/>
        <w:rPr>
          <w:rFonts w:hint="eastAsia" w:ascii="Times New Roman" w:hAnsi="Times New Roman" w:cs="Times New Roman"/>
          <w:sz w:val="24"/>
          <w:vertAlign w:val="superscript"/>
        </w:rPr>
      </w:pPr>
    </w:p>
    <w:p w14:paraId="0B48E31E">
      <w:pPr>
        <w:spacing w:line="360" w:lineRule="auto"/>
        <w:rPr>
          <w:rFonts w:ascii="Times New Roman" w:hAnsi="Times New Roman" w:cs="Times New Roman"/>
        </w:rPr>
      </w:pPr>
      <w:r>
        <w:rPr>
          <w:rFonts w:ascii="Times New Roman" w:hAnsi="Times New Roman" w:cs="Times New Roman"/>
          <w:vertAlign w:val="superscript"/>
        </w:rPr>
        <w:t>a</w:t>
      </w:r>
      <w:r>
        <w:rPr>
          <w:rFonts w:ascii="Times New Roman" w:hAnsi="Times New Roman" w:cs="Times New Roman"/>
        </w:rPr>
        <w:t xml:space="preserve"> Engineering Research Center of Western Resource Innovation Medicine Green Manufacturing, Ministry of Education, School of Chemical Engineering, Northwest University, Xi'an, 710127, China</w:t>
      </w:r>
    </w:p>
    <w:p w14:paraId="063DAE06">
      <w:pPr>
        <w:adjustRightInd w:val="0"/>
        <w:snapToGrid w:val="0"/>
        <w:spacing w:line="480" w:lineRule="auto"/>
        <w:rPr>
          <w:rFonts w:ascii="Times New Roman" w:hAnsi="Times New Roman" w:cs="Times New Roman"/>
        </w:rPr>
      </w:pPr>
      <w:r>
        <w:rPr>
          <w:rFonts w:ascii="Times New Roman" w:hAnsi="Times New Roman" w:cs="Times New Roman"/>
          <w:vertAlign w:val="superscript"/>
        </w:rPr>
        <w:t>b</w:t>
      </w:r>
      <w:r>
        <w:rPr>
          <w:rFonts w:ascii="Times New Roman" w:hAnsi="Times New Roman" w:cs="Times New Roman"/>
        </w:rPr>
        <w:t xml:space="preserve"> Shaanxi Key Laboratory of Biomaterials and Synthetic Biology, Shaanxi R&amp;D Center of Biomaterials and Fermentation Engineering, School of Chemical Engineering, Northwest University, Xi'an, 710127, China</w:t>
      </w:r>
    </w:p>
    <w:p w14:paraId="0749D188">
      <w:pPr>
        <w:adjustRightInd w:val="0"/>
        <w:snapToGrid w:val="0"/>
        <w:spacing w:line="480" w:lineRule="auto"/>
        <w:rPr>
          <w:rFonts w:ascii="Times New Roman" w:hAnsi="Times New Roman" w:cs="Times New Roman"/>
        </w:rPr>
      </w:pPr>
      <w:r>
        <w:rPr>
          <w:rFonts w:ascii="Times New Roman" w:hAnsi="Times New Roman" w:cs="Times New Roman"/>
          <w:vertAlign w:val="superscript"/>
        </w:rPr>
        <w:t>c</w:t>
      </w:r>
      <w:r>
        <w:rPr>
          <w:rFonts w:ascii="Times New Roman" w:hAnsi="Times New Roman" w:cs="Times New Roman"/>
        </w:rPr>
        <w:t xml:space="preserve"> Biotech. &amp; Biomed. Research Institute, Northwest University, Xi'an, 710127, China</w:t>
      </w:r>
    </w:p>
    <w:p w14:paraId="35F80E79">
      <w:pPr>
        <w:adjustRightInd w:val="0"/>
        <w:snapToGrid w:val="0"/>
        <w:spacing w:line="480" w:lineRule="auto"/>
        <w:rPr>
          <w:rFonts w:ascii="Times New Roman" w:hAnsi="Times New Roman" w:cs="Times New Roman"/>
        </w:rPr>
      </w:pPr>
    </w:p>
    <w:p w14:paraId="74D87713">
      <w:pPr>
        <w:adjustRightInd w:val="0"/>
        <w:snapToGrid w:val="0"/>
        <w:spacing w:line="48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Corresponding author:</w:t>
      </w:r>
    </w:p>
    <w:p w14:paraId="2F5D1C33">
      <w:pPr>
        <w:adjustRightInd w:val="0"/>
        <w:snapToGrid w:val="0"/>
        <w:spacing w:line="480" w:lineRule="auto"/>
        <w:rPr>
          <w:rFonts w:ascii="Times New Roman" w:hAnsi="Times New Roman" w:cs="Times New Roman"/>
        </w:rPr>
      </w:pPr>
      <w:r>
        <w:rPr>
          <w:rFonts w:hint="eastAsia" w:ascii="Times New Roman" w:hAnsi="Times New Roman" w:cs="Times New Roman"/>
        </w:rPr>
        <w:t>Prof. Pei Ma</w:t>
      </w:r>
    </w:p>
    <w:p w14:paraId="220F9397">
      <w:pPr>
        <w:adjustRightInd w:val="0"/>
        <w:snapToGrid w:val="0"/>
        <w:spacing w:line="480" w:lineRule="auto"/>
        <w:rPr>
          <w:rFonts w:ascii="Times New Roman" w:hAnsi="Times New Roman" w:cs="Times New Roman"/>
        </w:rPr>
      </w:pPr>
      <w:r>
        <w:rPr>
          <w:rFonts w:hint="eastAsia" w:ascii="Times New Roman" w:hAnsi="Times New Roman" w:cs="Times New Roman"/>
        </w:rPr>
        <w:t>E-mail: mapei@nwu.deu.cn</w:t>
      </w:r>
    </w:p>
    <w:p w14:paraId="6BE0157B">
      <w:pPr>
        <w:pageBreakBefore w:val="0"/>
        <w:widowControl w:val="0"/>
        <w:kinsoku/>
        <w:wordWrap/>
        <w:overflowPunct/>
        <w:topLinePunct w:val="0"/>
        <w:autoSpaceDE/>
        <w:autoSpaceDN/>
        <w:bidi w:val="0"/>
        <w:adjustRightInd/>
        <w:snapToGrid/>
        <w:spacing w:line="360" w:lineRule="auto"/>
        <w:jc w:val="center"/>
        <w:textAlignment w:val="auto"/>
        <w:rPr>
          <w:rFonts w:hint="eastAsia"/>
          <w:b/>
          <w:bCs/>
        </w:rPr>
      </w:pPr>
    </w:p>
    <w:p w14:paraId="61E99583">
      <w:pPr>
        <w:pageBreakBefore w:val="0"/>
        <w:widowControl w:val="0"/>
        <w:kinsoku/>
        <w:wordWrap/>
        <w:overflowPunct/>
        <w:topLinePunct w:val="0"/>
        <w:autoSpaceDE/>
        <w:autoSpaceDN/>
        <w:bidi w:val="0"/>
        <w:adjustRightInd/>
        <w:snapToGrid/>
        <w:spacing w:line="360" w:lineRule="auto"/>
        <w:jc w:val="center"/>
        <w:textAlignment w:val="auto"/>
        <w:rPr>
          <w:rFonts w:hint="eastAsia"/>
          <w:b/>
          <w:bCs/>
        </w:rPr>
      </w:pPr>
    </w:p>
    <w:p w14:paraId="29D8BB9F">
      <w:pPr>
        <w:pageBreakBefore w:val="0"/>
        <w:widowControl w:val="0"/>
        <w:kinsoku/>
        <w:wordWrap/>
        <w:overflowPunct/>
        <w:topLinePunct w:val="0"/>
        <w:autoSpaceDE/>
        <w:autoSpaceDN/>
        <w:bidi w:val="0"/>
        <w:adjustRightInd/>
        <w:snapToGrid/>
        <w:spacing w:line="360" w:lineRule="auto"/>
        <w:jc w:val="center"/>
        <w:textAlignment w:val="auto"/>
        <w:rPr>
          <w:rFonts w:hint="eastAsia"/>
          <w:b/>
          <w:bCs/>
        </w:rPr>
      </w:pPr>
    </w:p>
    <w:p w14:paraId="2DD39071">
      <w:pPr>
        <w:pageBreakBefore w:val="0"/>
        <w:widowControl w:val="0"/>
        <w:kinsoku/>
        <w:wordWrap/>
        <w:overflowPunct/>
        <w:topLinePunct w:val="0"/>
        <w:autoSpaceDE/>
        <w:autoSpaceDN/>
        <w:bidi w:val="0"/>
        <w:adjustRightInd/>
        <w:snapToGrid/>
        <w:spacing w:line="360" w:lineRule="auto"/>
        <w:jc w:val="center"/>
        <w:textAlignment w:val="auto"/>
        <w:rPr>
          <w:rFonts w:hint="eastAsia"/>
          <w:b/>
          <w:bCs/>
        </w:rPr>
      </w:pPr>
    </w:p>
    <w:p w14:paraId="0FCE1081">
      <w:pPr>
        <w:pageBreakBefore w:val="0"/>
        <w:widowControl w:val="0"/>
        <w:kinsoku/>
        <w:wordWrap/>
        <w:overflowPunct/>
        <w:topLinePunct w:val="0"/>
        <w:autoSpaceDE/>
        <w:autoSpaceDN/>
        <w:bidi w:val="0"/>
        <w:adjustRightInd/>
        <w:snapToGrid/>
        <w:spacing w:line="360" w:lineRule="auto"/>
        <w:jc w:val="both"/>
        <w:textAlignment w:val="auto"/>
        <w:rPr>
          <w:rFonts w:hint="eastAsia"/>
          <w:b/>
          <w:bCs/>
        </w:rPr>
      </w:pPr>
    </w:p>
    <w:p w14:paraId="5EBF1F4E">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eastAsia="宋体"/>
          <w:b/>
          <w:bCs/>
          <w:sz w:val="28"/>
          <w:szCs w:val="28"/>
          <w:lang w:val="en-US" w:eastAsia="zh-CN"/>
        </w:rPr>
      </w:pPr>
      <w:r>
        <w:rPr>
          <w:rFonts w:hint="eastAsia"/>
          <w:b/>
          <w:bCs/>
          <w:sz w:val="28"/>
          <w:szCs w:val="28"/>
          <w:lang w:val="en-US" w:eastAsia="zh-CN"/>
        </w:rPr>
        <w:t>Supplementary methods</w:t>
      </w:r>
    </w:p>
    <w:p w14:paraId="3A6853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b/>
          <w:bCs/>
          <w:lang w:val="en-US" w:eastAsia="zh-CN"/>
        </w:rPr>
      </w:pPr>
      <w:r>
        <w:rPr>
          <w:rFonts w:hint="default" w:eastAsia="宋体"/>
          <w:b/>
          <w:bCs/>
          <w:lang w:val="en-US" w:eastAsia="zh-CN"/>
        </w:rPr>
        <w:t>In-gel proteolysis of rhBNP bands</w:t>
      </w:r>
    </w:p>
    <w:p w14:paraId="70C8EE3D">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jc w:val="both"/>
        <w:textAlignment w:val="auto"/>
        <w:rPr>
          <w:rFonts w:hint="eastAsia" w:cs="Times New Roman"/>
          <w:b w:val="0"/>
          <w:bCs w:val="0"/>
          <w:lang w:val="en-US" w:eastAsia="zh-CN"/>
        </w:rPr>
      </w:pPr>
      <w:r>
        <w:rPr>
          <w:rFonts w:hint="default" w:ascii="Times New Roman" w:hAnsi="Times New Roman" w:eastAsia="宋体" w:cs="Times New Roman"/>
          <w:b w:val="0"/>
          <w:bCs w:val="0"/>
          <w:lang w:val="en-US" w:eastAsia="zh-CN"/>
        </w:rPr>
        <w:t>Gel pieces containing the target band were excised and transferred to low-binding tubes. Coomassie was removed by repeated washes with 100 mM ammonium bicarbonate (ABC)/30% acetonitrile (ACN) until fully destained. Gel pieces were then dehydrated in 100% ACN and air-dried.</w:t>
      </w:r>
      <w:r>
        <w:rPr>
          <w:rFonts w:hint="eastAsia" w:cs="Times New Roman"/>
          <w:b w:val="0"/>
          <w:bCs w:val="0"/>
          <w:lang w:val="en-US" w:eastAsia="zh-CN"/>
        </w:rPr>
        <w:t xml:space="preserve"> Reduction and alkylation followed a standard in-gel protocol: gel pieces were rehydrated in DTT solution (e.g., 10 mM DTT in 100 mM ABC) at 56 </w:t>
      </w:r>
      <w:r>
        <w:rPr>
          <w:rFonts w:hint="default" w:ascii="Times New Roman" w:hAnsi="Times New Roman" w:cs="Times New Roman"/>
          <w:b w:val="0"/>
          <w:bCs w:val="0"/>
          <w:lang w:val="en-US" w:eastAsia="zh-CN"/>
        </w:rPr>
        <w:t>°C</w:t>
      </w:r>
      <w:r>
        <w:rPr>
          <w:rFonts w:hint="eastAsia" w:cs="Times New Roman"/>
          <w:b w:val="0"/>
          <w:bCs w:val="0"/>
          <w:lang w:val="en-US" w:eastAsia="zh-CN"/>
        </w:rPr>
        <w:t xml:space="preserve"> for 45 min, cooled to room temperature, briefly rinsed with ABC, and incubated in iodoacetamide (IAM) solution (e.g., 20 mM IAM in 100 mM ABC, protected from light) at RT for 30 min. After alkylation, gels were washed with 100 mM ABC, dehydrated with 100% ACN, and dried. For proteolysis, gels were rehydrated on ice with a mixed protease solution containing trypsin, Lys-C, and chymotrypsin (each 50 ng) in 50 mM ABC (volume just sufficient to cover the gel). After 30 min on ice to allow enzyme uptake, additional 50 mM ABC was added to keep gels submerged. Digestion proceeded at 37 </w:t>
      </w:r>
      <w:r>
        <w:rPr>
          <w:rFonts w:hint="default" w:ascii="Times New Roman" w:hAnsi="Times New Roman" w:cs="Times New Roman"/>
          <w:b w:val="0"/>
          <w:bCs w:val="0"/>
          <w:lang w:val="en-US" w:eastAsia="zh-CN"/>
        </w:rPr>
        <w:t>°C</w:t>
      </w:r>
      <w:r>
        <w:rPr>
          <w:rFonts w:hint="eastAsia" w:cs="Times New Roman"/>
          <w:b w:val="0"/>
          <w:bCs w:val="0"/>
          <w:lang w:val="en-US" w:eastAsia="zh-CN"/>
        </w:rPr>
        <w:t xml:space="preserve"> for 18 h. Peptides were recovered by collecting the supernatant, followed by two sequential extractions of the gel with 50% ACN/0.1% formic acid (FA); all fractions were pooled and dried in a vacuum concentrator. Dried peptides were reconstituted in 0.1% FA in water (typically 10-50 µL) for LC-MS analysis.</w:t>
      </w:r>
    </w:p>
    <w:p w14:paraId="5E75C7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lang w:val="en-US" w:eastAsia="zh-CN"/>
        </w:rPr>
      </w:pPr>
    </w:p>
    <w:p w14:paraId="6EBD1AB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cs="Times New Roman"/>
          <w:b/>
          <w:bCs/>
          <w:lang w:val="en-US" w:eastAsia="zh-CN"/>
        </w:rPr>
      </w:pPr>
      <w:r>
        <w:rPr>
          <w:rFonts w:hint="default" w:cs="Times New Roman"/>
          <w:b/>
          <w:bCs/>
          <w:lang w:val="en-US" w:eastAsia="zh-CN"/>
        </w:rPr>
        <w:t>Liquid chromatography (LC) separation</w:t>
      </w:r>
    </w:p>
    <w:p w14:paraId="1307F2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lang w:val="en-US" w:eastAsia="zh-CN"/>
        </w:rPr>
      </w:pPr>
      <w:r>
        <w:rPr>
          <w:rFonts w:hint="default" w:cs="Times New Roman"/>
          <w:b w:val="0"/>
          <w:bCs w:val="0"/>
          <w:lang w:val="en-US" w:eastAsia="zh-CN"/>
        </w:rPr>
        <w:t>Peptide digests were separated on a UHPLC system (Thermo Fisher Easy-nLC 1000) using a C18 column (Dr. Maisch GmbH; 3 µm; polymicro, ID 150 µm × 20 mm). Mobile phase A was 0.1% formic acid (FA) in water and mobile phase B was 0.1% FA in acetonitrile. Samples were introduced via the autosampler, the column was maintained at 20 °C, and elution proceeded at 600 µL</w:t>
      </w:r>
      <w:r>
        <w:rPr>
          <w:rFonts w:hint="eastAsia" w:cs="Times New Roman"/>
          <w:b w:val="0"/>
          <w:bCs w:val="0"/>
          <w:lang w:val="en-US" w:eastAsia="zh-CN"/>
        </w:rPr>
        <w:t>/</w:t>
      </w:r>
      <w:r>
        <w:rPr>
          <w:rFonts w:hint="default" w:cs="Times New Roman"/>
          <w:b w:val="0"/>
          <w:bCs w:val="0"/>
          <w:lang w:val="en-US" w:eastAsia="zh-CN"/>
        </w:rPr>
        <w:t>min.</w:t>
      </w:r>
    </w:p>
    <w:p w14:paraId="4D6793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lang w:val="en-US" w:eastAsia="zh-CN"/>
        </w:rPr>
      </w:pPr>
    </w:p>
    <w:p w14:paraId="2D8BF1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s="Times New Roman"/>
          <w:b/>
          <w:bCs/>
          <w:lang w:val="en-US" w:eastAsia="zh-CN"/>
        </w:rPr>
      </w:pPr>
      <w:r>
        <w:rPr>
          <w:rFonts w:hint="default" w:cs="Times New Roman"/>
          <w:b/>
          <w:bCs/>
          <w:lang w:val="en-US" w:eastAsia="zh-CN"/>
        </w:rPr>
        <w:t>Mass spectrometry (MS) acquisition</w:t>
      </w:r>
    </w:p>
    <w:p w14:paraId="219376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lang w:val="en-US" w:eastAsia="zh-CN"/>
        </w:rPr>
      </w:pPr>
      <w:r>
        <w:rPr>
          <w:rFonts w:hint="eastAsia" w:cs="Times New Roman"/>
          <w:b w:val="0"/>
          <w:bCs w:val="0"/>
          <w:lang w:val="en-US" w:eastAsia="zh-CN"/>
        </w:rPr>
        <w:t xml:space="preserve">The mass spectrometry acquisition was performed by Tsingke (Nanjing, China). </w:t>
      </w:r>
      <w:r>
        <w:rPr>
          <w:rFonts w:hint="default" w:cs="Times New Roman"/>
          <w:b w:val="0"/>
          <w:bCs w:val="0"/>
          <w:lang w:val="en-US" w:eastAsia="zh-CN"/>
        </w:rPr>
        <w:t>Peptide eluates were analyzed on a Q Exactive HF-X Orbitrap mass spectrometer (Thermo Fisher Scientific) operated in positive-ion mode. Total acquisition time was 75 min. Data were collected in MSⁿ mode over an m/z 300</w:t>
      </w:r>
      <w:r>
        <w:rPr>
          <w:rFonts w:hint="eastAsia" w:cs="Times New Roman"/>
          <w:b w:val="0"/>
          <w:bCs w:val="0"/>
          <w:lang w:val="en-US" w:eastAsia="zh-CN"/>
        </w:rPr>
        <w:t>-</w:t>
      </w:r>
      <w:r>
        <w:rPr>
          <w:rFonts w:hint="default" w:cs="Times New Roman"/>
          <w:b w:val="0"/>
          <w:bCs w:val="0"/>
          <w:lang w:val="en-US" w:eastAsia="zh-CN"/>
        </w:rPr>
        <w:t>1400 scan range. Full-scan MS and data-dependent MS/MS (HCD) settings</w:t>
      </w:r>
      <w:r>
        <w:rPr>
          <w:rFonts w:hint="eastAsia" w:cs="Times New Roman"/>
          <w:b w:val="0"/>
          <w:bCs w:val="0"/>
          <w:lang w:val="en-US" w:eastAsia="zh-CN"/>
        </w:rPr>
        <w:t xml:space="preserve"> </w:t>
      </w:r>
      <w:r>
        <w:rPr>
          <w:rFonts w:hint="default" w:cs="Times New Roman"/>
          <w:b w:val="0"/>
          <w:bCs w:val="0"/>
          <w:lang w:val="en-US" w:eastAsia="zh-CN"/>
        </w:rPr>
        <w:t>including Orbitrap resolution, AGC targets, maximum injection times, isolation window, NCE, dynamic exclusion. Raw files were saved in vendor format for downstream identification/quantification.</w:t>
      </w:r>
    </w:p>
    <w:p w14:paraId="119EC0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lang w:val="en-US" w:eastAsia="zh-CN"/>
        </w:rPr>
      </w:pPr>
    </w:p>
    <w:p w14:paraId="18B462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s="Times New Roman"/>
          <w:b/>
          <w:bCs/>
          <w:lang w:val="en-US" w:eastAsia="zh-CN"/>
        </w:rPr>
      </w:pPr>
      <w:r>
        <w:rPr>
          <w:rFonts w:hint="default" w:cs="Times New Roman"/>
          <w:b/>
          <w:bCs/>
          <w:lang w:val="en-US" w:eastAsia="zh-CN"/>
        </w:rPr>
        <w:t>AF-C loading time screen</w:t>
      </w:r>
    </w:p>
    <w:p w14:paraId="5C3124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The strain harboring the pET-30a(+)/cSAT-rhBNP plasmid were induced as in the main methods and sampled at 12 h post-induction. For each condition, 2 mL aliquots were transferred to 15-mL tubes and incubated with AF-C (20 µM; 0.5% DMSO, v/v) on an orbital shaker at 21 °C, 250 rpm, protected from light, for 15, 30, 45, 60, or 75 min. After incubation, cells were washed 3 times with PBS and resuspended in 1 mL saline for imaging. Confocal imaging used a Leica TCS SP5 spectral system with identical settings across time points (Ex 561/640 nm; Em 630/740 nm).</w:t>
      </w:r>
    </w:p>
    <w:p w14:paraId="69FE1E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18C074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326401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61B936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5166E6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73E55B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48EF6A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508B4B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5D1746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2D589E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5A3AE3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2E4A28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36B228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bCs/>
          <w:lang w:val="en-US" w:eastAsia="zh-CN"/>
        </w:rPr>
      </w:pPr>
    </w:p>
    <w:p w14:paraId="258D0BF5">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default"/>
          <w:b/>
          <w:bCs/>
          <w:sz w:val="28"/>
          <w:szCs w:val="28"/>
          <w:lang w:val="en-US" w:eastAsia="zh-CN"/>
        </w:rPr>
      </w:pPr>
      <w:r>
        <w:rPr>
          <w:rFonts w:hint="eastAsia" w:cs="Times New Roman"/>
          <w:b/>
          <w:bCs/>
          <w:sz w:val="28"/>
          <w:szCs w:val="28"/>
          <w:lang w:val="en-US" w:eastAsia="zh-CN"/>
        </w:rPr>
        <w:t>Supplemental Figures</w:t>
      </w:r>
    </w:p>
    <w:p w14:paraId="4ADF9A82">
      <w:pPr>
        <w:jc w:val="both"/>
        <w:rPr>
          <w:rFonts w:hint="default"/>
          <w:b/>
          <w:bCs/>
          <w:lang w:val="en-US" w:eastAsia="zh-CN"/>
        </w:rPr>
      </w:pPr>
    </w:p>
    <w:p w14:paraId="79103D0B">
      <w:pPr>
        <w:jc w:val="both"/>
        <w:rPr>
          <w:rFonts w:hint="default"/>
          <w:b/>
          <w:bCs/>
          <w:lang w:val="en-US" w:eastAsia="zh-CN"/>
        </w:rPr>
      </w:pPr>
      <w:r>
        <w:rPr>
          <w:rFonts w:hint="default"/>
          <w:b/>
          <w:bCs/>
          <w:lang w:val="en-US" w:eastAsia="zh-CN"/>
        </w:rPr>
        <w:drawing>
          <wp:inline distT="0" distB="0" distL="114300" distR="114300">
            <wp:extent cx="5269865" cy="2334895"/>
            <wp:effectExtent l="0" t="0" r="635" b="1905"/>
            <wp:docPr id="1" name="图片 1" descr="18℃支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8℃支撑"/>
                    <pic:cNvPicPr>
                      <a:picLocks noChangeAspect="1"/>
                    </pic:cNvPicPr>
                  </pic:nvPicPr>
                  <pic:blipFill>
                    <a:blip r:embed="rId4"/>
                    <a:srcRect l="1576" b="6424"/>
                    <a:stretch>
                      <a:fillRect/>
                    </a:stretch>
                  </pic:blipFill>
                  <pic:spPr>
                    <a:xfrm>
                      <a:off x="0" y="0"/>
                      <a:ext cx="5269865" cy="2334895"/>
                    </a:xfrm>
                    <a:prstGeom prst="rect">
                      <a:avLst/>
                    </a:prstGeom>
                  </pic:spPr>
                </pic:pic>
              </a:graphicData>
            </a:graphic>
          </wp:inline>
        </w:drawing>
      </w:r>
    </w:p>
    <w:p w14:paraId="50FECC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r>
        <w:rPr>
          <w:rFonts w:hint="eastAsia"/>
          <w:b/>
          <w:bCs/>
          <w:lang w:val="en-US" w:eastAsia="zh-CN"/>
        </w:rPr>
        <w:t xml:space="preserve">Fig. S1. </w:t>
      </w:r>
      <w:r>
        <w:rPr>
          <w:rFonts w:hint="default" w:ascii="Times New Roman" w:hAnsi="Times New Roman" w:cs="Times New Roman"/>
          <w:b w:val="0"/>
          <w:bCs w:val="0"/>
          <w:lang w:val="en-US" w:eastAsia="zh-CN"/>
        </w:rPr>
        <w:t>Growth curve and medium pH shift under 18℃ induction. (A) Growth curve and pH profile of strain harboring the pET-30a(+) (empty vector control) under 18℃ induction.</w:t>
      </w:r>
      <w:r>
        <w:rPr>
          <w:rFonts w:hint="eastAsia" w:cs="Times New Roman"/>
          <w:b w:val="0"/>
          <w:bCs w:val="0"/>
          <w:lang w:val="en-US" w:eastAsia="zh-CN"/>
        </w:rPr>
        <w:t xml:space="preserve"> (B) Growth curve and pH profile of strain harboring the pET-30a(+)/cSAT-rhBNP plasmid under 18</w:t>
      </w:r>
      <w:r>
        <w:rPr>
          <w:rFonts w:hint="default" w:ascii="Times New Roman" w:hAnsi="Times New Roman" w:cs="Times New Roman"/>
          <w:b w:val="0"/>
          <w:bCs w:val="0"/>
          <w:lang w:val="en-US" w:eastAsia="zh-CN"/>
        </w:rPr>
        <w:t>℃</w:t>
      </w:r>
      <w:r>
        <w:rPr>
          <w:rFonts w:hint="eastAsia" w:cs="Times New Roman"/>
          <w:b w:val="0"/>
          <w:bCs w:val="0"/>
          <w:lang w:val="en-US" w:eastAsia="zh-CN"/>
        </w:rPr>
        <w:t xml:space="preserve"> induction.</w:t>
      </w:r>
    </w:p>
    <w:p w14:paraId="3E3E24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629EF2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r>
        <w:rPr>
          <w:rFonts w:hint="eastAsia" w:cs="Times New Roman"/>
          <w:b w:val="0"/>
          <w:bCs w:val="0"/>
          <w:lang w:val="en-US" w:eastAsia="zh-CN"/>
        </w:rPr>
        <w:drawing>
          <wp:inline distT="0" distB="0" distL="114300" distR="114300">
            <wp:extent cx="5277485" cy="7289165"/>
            <wp:effectExtent l="0" t="0" r="5715" b="635"/>
            <wp:docPr id="2" name="图片 2" descr="离子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离子流"/>
                    <pic:cNvPicPr>
                      <a:picLocks noChangeAspect="1"/>
                    </pic:cNvPicPr>
                  </pic:nvPicPr>
                  <pic:blipFill>
                    <a:blip r:embed="rId5"/>
                    <a:stretch>
                      <a:fillRect/>
                    </a:stretch>
                  </pic:blipFill>
                  <pic:spPr>
                    <a:xfrm>
                      <a:off x="0" y="0"/>
                      <a:ext cx="5277485" cy="7289165"/>
                    </a:xfrm>
                    <a:prstGeom prst="rect">
                      <a:avLst/>
                    </a:prstGeom>
                  </pic:spPr>
                </pic:pic>
              </a:graphicData>
            </a:graphic>
          </wp:inline>
        </w:drawing>
      </w:r>
    </w:p>
    <w:p w14:paraId="0A4DCD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r>
        <w:rPr>
          <w:rFonts w:hint="eastAsia" w:cs="Times New Roman"/>
          <w:b/>
          <w:bCs/>
          <w:lang w:val="en-US" w:eastAsia="zh-CN"/>
        </w:rPr>
        <w:t xml:space="preserve">Fig. S2. </w:t>
      </w:r>
      <w:r>
        <w:rPr>
          <w:rFonts w:hint="eastAsia" w:cs="Times New Roman"/>
          <w:b w:val="0"/>
          <w:bCs w:val="0"/>
          <w:lang w:val="en-US" w:eastAsia="zh-CN"/>
        </w:rPr>
        <w:t>LC-MS Total Ion Chromatograms (TICs) of rhBNP after proteolytic digestion with trypsin, Lys-C, and chymotrypsin. (A) Trypsin digest of rhBNP. (B) Lys-C digest of rhBNP. (C) Chymotrypsin digest of rhBNP.</w:t>
      </w:r>
    </w:p>
    <w:p w14:paraId="07D54EC0">
      <w:pPr>
        <w:jc w:val="both"/>
        <w:rPr>
          <w:rFonts w:hint="eastAsia" w:cs="Times New Roman"/>
          <w:b w:val="0"/>
          <w:bCs w:val="0"/>
          <w:lang w:val="en-US" w:eastAsia="zh-CN"/>
        </w:rPr>
      </w:pPr>
    </w:p>
    <w:p w14:paraId="5652AE1F">
      <w:pPr>
        <w:jc w:val="both"/>
        <w:rPr>
          <w:rFonts w:hint="default" w:cs="Times New Roman"/>
          <w:b w:val="0"/>
          <w:bCs w:val="0"/>
          <w:lang w:val="en-US" w:eastAsia="zh-CN"/>
        </w:rPr>
      </w:pPr>
      <w:r>
        <w:rPr>
          <w:rFonts w:hint="default" w:cs="Times New Roman"/>
          <w:b w:val="0"/>
          <w:bCs w:val="0"/>
          <w:lang w:val="en-US" w:eastAsia="zh-CN"/>
        </w:rPr>
        <w:drawing>
          <wp:inline distT="0" distB="0" distL="114300" distR="114300">
            <wp:extent cx="5271770" cy="2807335"/>
            <wp:effectExtent l="0" t="0" r="11430" b="12065"/>
            <wp:docPr id="3" name="图片 3" descr="覆盖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覆盖率"/>
                    <pic:cNvPicPr>
                      <a:picLocks noChangeAspect="1"/>
                    </pic:cNvPicPr>
                  </pic:nvPicPr>
                  <pic:blipFill>
                    <a:blip r:embed="rId6"/>
                    <a:stretch>
                      <a:fillRect/>
                    </a:stretch>
                  </pic:blipFill>
                  <pic:spPr>
                    <a:xfrm>
                      <a:off x="0" y="0"/>
                      <a:ext cx="5271770" cy="2807335"/>
                    </a:xfrm>
                    <a:prstGeom prst="rect">
                      <a:avLst/>
                    </a:prstGeom>
                  </pic:spPr>
                </pic:pic>
              </a:graphicData>
            </a:graphic>
          </wp:inline>
        </w:drawing>
      </w:r>
    </w:p>
    <w:p w14:paraId="3D6E2F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r>
        <w:rPr>
          <w:rFonts w:hint="eastAsia" w:cs="Times New Roman"/>
          <w:b/>
          <w:bCs/>
          <w:lang w:val="en-US" w:eastAsia="zh-CN"/>
        </w:rPr>
        <w:t xml:space="preserve">Fig. S3. </w:t>
      </w:r>
      <w:r>
        <w:rPr>
          <w:rFonts w:hint="eastAsia" w:cs="Times New Roman"/>
          <w:b w:val="0"/>
          <w:bCs w:val="0"/>
          <w:lang w:val="en-US" w:eastAsia="zh-CN"/>
        </w:rPr>
        <w:t>Sequence coverage maps of rhBNP after proteolysis with trypsin, Lys-C, and chymotrypsin. (A) Trypsin sequence coverage of rhBNP (Sequence coverage: 93.8%). (B) Lys-C sequence coverage of rhBNP (Sequence coverage: 90.6%). (C) Chymotrypsin sequence coverage of rhBNP (Sequence coverage: 100%).</w:t>
      </w:r>
    </w:p>
    <w:p w14:paraId="2463DB0A">
      <w:pPr>
        <w:jc w:val="both"/>
        <w:rPr>
          <w:rFonts w:hint="eastAsia" w:cs="Times New Roman"/>
          <w:b w:val="0"/>
          <w:bCs w:val="0"/>
          <w:lang w:val="en-US" w:eastAsia="zh-CN"/>
        </w:rPr>
      </w:pPr>
    </w:p>
    <w:p w14:paraId="1976BEA9">
      <w:pPr>
        <w:jc w:val="both"/>
        <w:rPr>
          <w:rFonts w:hint="eastAsia" w:cs="Times New Roman"/>
          <w:b w:val="0"/>
          <w:bCs w:val="0"/>
          <w:lang w:val="en-US" w:eastAsia="zh-CN"/>
        </w:rPr>
      </w:pPr>
    </w:p>
    <w:p w14:paraId="38468A5B">
      <w:pPr>
        <w:jc w:val="both"/>
        <w:rPr>
          <w:rFonts w:hint="eastAsia" w:cs="Times New Roman"/>
          <w:b w:val="0"/>
          <w:bCs w:val="0"/>
          <w:lang w:val="en-US" w:eastAsia="zh-CN"/>
        </w:rPr>
      </w:pPr>
    </w:p>
    <w:p w14:paraId="26654302">
      <w:pPr>
        <w:jc w:val="both"/>
        <w:rPr>
          <w:rFonts w:hint="eastAsia" w:cs="Times New Roman"/>
          <w:b w:val="0"/>
          <w:bCs w:val="0"/>
          <w:lang w:val="en-US" w:eastAsia="zh-CN"/>
        </w:rPr>
      </w:pPr>
    </w:p>
    <w:p w14:paraId="3E00E9EC">
      <w:pPr>
        <w:jc w:val="both"/>
        <w:rPr>
          <w:rFonts w:hint="eastAsia" w:cs="Times New Roman"/>
          <w:b w:val="0"/>
          <w:bCs w:val="0"/>
          <w:lang w:val="en-US" w:eastAsia="zh-CN"/>
        </w:rPr>
      </w:pPr>
    </w:p>
    <w:p w14:paraId="61991E2E">
      <w:pPr>
        <w:jc w:val="both"/>
        <w:rPr>
          <w:rFonts w:hint="eastAsia" w:cs="Times New Roman"/>
          <w:b w:val="0"/>
          <w:bCs w:val="0"/>
          <w:lang w:val="en-US" w:eastAsia="zh-CN"/>
        </w:rPr>
      </w:pPr>
    </w:p>
    <w:p w14:paraId="65E5A663">
      <w:pPr>
        <w:jc w:val="both"/>
        <w:rPr>
          <w:rFonts w:hint="eastAsia" w:cs="Times New Roman"/>
          <w:b w:val="0"/>
          <w:bCs w:val="0"/>
          <w:lang w:val="en-US" w:eastAsia="zh-CN"/>
        </w:rPr>
      </w:pPr>
    </w:p>
    <w:p w14:paraId="700D7996">
      <w:pPr>
        <w:jc w:val="both"/>
        <w:rPr>
          <w:rFonts w:hint="eastAsia" w:cs="Times New Roman"/>
          <w:b w:val="0"/>
          <w:bCs w:val="0"/>
          <w:lang w:val="en-US" w:eastAsia="zh-CN"/>
        </w:rPr>
      </w:pPr>
    </w:p>
    <w:p w14:paraId="36B956B5">
      <w:pPr>
        <w:jc w:val="both"/>
        <w:rPr>
          <w:rFonts w:hint="eastAsia" w:cs="Times New Roman"/>
          <w:b w:val="0"/>
          <w:bCs w:val="0"/>
          <w:lang w:val="en-US" w:eastAsia="zh-CN"/>
        </w:rPr>
      </w:pPr>
    </w:p>
    <w:p w14:paraId="0C392C49">
      <w:pPr>
        <w:jc w:val="both"/>
        <w:rPr>
          <w:rFonts w:hint="eastAsia" w:cs="Times New Roman"/>
          <w:b w:val="0"/>
          <w:bCs w:val="0"/>
          <w:lang w:val="en-US" w:eastAsia="zh-CN"/>
        </w:rPr>
      </w:pPr>
    </w:p>
    <w:p w14:paraId="4A59AF76">
      <w:pPr>
        <w:jc w:val="both"/>
        <w:rPr>
          <w:rFonts w:hint="eastAsia" w:cs="Times New Roman"/>
          <w:b w:val="0"/>
          <w:bCs w:val="0"/>
          <w:lang w:val="en-US" w:eastAsia="zh-CN"/>
        </w:rPr>
      </w:pPr>
    </w:p>
    <w:p w14:paraId="20DB4F56">
      <w:pPr>
        <w:jc w:val="both"/>
        <w:rPr>
          <w:rFonts w:hint="eastAsia" w:cs="Times New Roman"/>
          <w:b w:val="0"/>
          <w:bCs w:val="0"/>
          <w:lang w:val="en-US" w:eastAsia="zh-CN"/>
        </w:rPr>
      </w:pPr>
    </w:p>
    <w:p w14:paraId="4FA8FA82">
      <w:pPr>
        <w:jc w:val="both"/>
        <w:rPr>
          <w:rFonts w:hint="eastAsia" w:cs="Times New Roman"/>
          <w:b w:val="0"/>
          <w:bCs w:val="0"/>
          <w:lang w:val="en-US" w:eastAsia="zh-CN"/>
        </w:rPr>
      </w:pPr>
    </w:p>
    <w:p w14:paraId="474A7A1D">
      <w:pPr>
        <w:jc w:val="both"/>
        <w:rPr>
          <w:rFonts w:hint="eastAsia" w:cs="Times New Roman"/>
          <w:b w:val="0"/>
          <w:bCs w:val="0"/>
          <w:lang w:val="en-US" w:eastAsia="zh-CN"/>
        </w:rPr>
      </w:pPr>
      <w:r>
        <w:rPr>
          <w:rFonts w:hint="eastAsia" w:cs="Times New Roman"/>
          <w:b w:val="0"/>
          <w:bCs w:val="0"/>
          <w:lang w:val="en-US" w:eastAsia="zh-CN"/>
        </w:rPr>
        <w:drawing>
          <wp:inline distT="0" distB="0" distL="114300" distR="114300">
            <wp:extent cx="5278120" cy="3030220"/>
            <wp:effectExtent l="0" t="0" r="5080" b="5080"/>
            <wp:docPr id="4" name="图片 4" descr="孵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孵育"/>
                    <pic:cNvPicPr>
                      <a:picLocks noChangeAspect="1"/>
                    </pic:cNvPicPr>
                  </pic:nvPicPr>
                  <pic:blipFill>
                    <a:blip r:embed="rId7"/>
                    <a:stretch>
                      <a:fillRect/>
                    </a:stretch>
                  </pic:blipFill>
                  <pic:spPr>
                    <a:xfrm>
                      <a:off x="0" y="0"/>
                      <a:ext cx="5278120" cy="3030220"/>
                    </a:xfrm>
                    <a:prstGeom prst="rect">
                      <a:avLst/>
                    </a:prstGeom>
                  </pic:spPr>
                </pic:pic>
              </a:graphicData>
            </a:graphic>
          </wp:inline>
        </w:drawing>
      </w:r>
    </w:p>
    <w:p w14:paraId="1CC530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r>
        <w:rPr>
          <w:rFonts w:hint="eastAsia" w:cs="Times New Roman"/>
          <w:b/>
          <w:bCs/>
          <w:lang w:val="en-US" w:eastAsia="zh-CN"/>
        </w:rPr>
        <w:t xml:space="preserve">Fig. S4. </w:t>
      </w:r>
      <w:r>
        <w:rPr>
          <w:rFonts w:hint="eastAsia" w:cs="Times New Roman"/>
          <w:b w:val="0"/>
          <w:bCs w:val="0"/>
          <w:lang w:val="en-US" w:eastAsia="zh-CN"/>
        </w:rPr>
        <w:t xml:space="preserve">Determination of the optimal AF-C incubation time for intracellular pH imaging in </w:t>
      </w:r>
      <w:r>
        <w:rPr>
          <w:rFonts w:hint="eastAsia" w:cs="Times New Roman"/>
          <w:b w:val="0"/>
          <w:bCs w:val="0"/>
          <w:i/>
          <w:iCs/>
          <w:lang w:val="en-US" w:eastAsia="zh-CN"/>
        </w:rPr>
        <w:t>E. coli</w:t>
      </w:r>
      <w:r>
        <w:rPr>
          <w:rFonts w:hint="eastAsia" w:cs="Times New Roman"/>
          <w:b w:val="0"/>
          <w:bCs w:val="0"/>
          <w:lang w:val="en-US" w:eastAsia="zh-CN"/>
        </w:rPr>
        <w:t>.</w:t>
      </w:r>
    </w:p>
    <w:p w14:paraId="7DCA1958">
      <w:pPr>
        <w:jc w:val="both"/>
        <w:rPr>
          <w:rFonts w:hint="eastAsia" w:cs="Times New Roman"/>
          <w:b w:val="0"/>
          <w:bCs w:val="0"/>
          <w:lang w:val="en-US" w:eastAsia="zh-CN"/>
        </w:rPr>
      </w:pPr>
    </w:p>
    <w:p w14:paraId="673CCB4F">
      <w:pPr>
        <w:jc w:val="both"/>
        <w:rPr>
          <w:rFonts w:hint="eastAsia" w:cs="Times New Roman"/>
          <w:b w:val="0"/>
          <w:bCs w:val="0"/>
          <w:lang w:val="en-US" w:eastAsia="zh-CN"/>
        </w:rPr>
      </w:pPr>
    </w:p>
    <w:p w14:paraId="104E4EEE">
      <w:pPr>
        <w:jc w:val="both"/>
        <w:rPr>
          <w:rFonts w:hint="eastAsia" w:cs="Times New Roman"/>
          <w:b w:val="0"/>
          <w:bCs w:val="0"/>
          <w:lang w:val="en-US" w:eastAsia="zh-CN"/>
        </w:rPr>
      </w:pPr>
    </w:p>
    <w:p w14:paraId="257FB478">
      <w:pPr>
        <w:jc w:val="both"/>
        <w:rPr>
          <w:rFonts w:hint="eastAsia" w:cs="Times New Roman"/>
          <w:b w:val="0"/>
          <w:bCs w:val="0"/>
          <w:lang w:val="en-US" w:eastAsia="zh-CN"/>
        </w:rPr>
      </w:pPr>
    </w:p>
    <w:p w14:paraId="6A119047">
      <w:pPr>
        <w:jc w:val="both"/>
        <w:rPr>
          <w:rFonts w:hint="eastAsia" w:cs="Times New Roman"/>
          <w:b w:val="0"/>
          <w:bCs w:val="0"/>
          <w:lang w:val="en-US" w:eastAsia="zh-CN"/>
        </w:rPr>
      </w:pPr>
    </w:p>
    <w:p w14:paraId="71D820FA">
      <w:pPr>
        <w:jc w:val="both"/>
        <w:rPr>
          <w:rFonts w:hint="eastAsia" w:cs="Times New Roman"/>
          <w:b w:val="0"/>
          <w:bCs w:val="0"/>
          <w:lang w:val="en-US" w:eastAsia="zh-CN"/>
        </w:rPr>
      </w:pPr>
    </w:p>
    <w:p w14:paraId="363AA08F">
      <w:pPr>
        <w:jc w:val="both"/>
        <w:rPr>
          <w:rFonts w:hint="eastAsia" w:cs="Times New Roman"/>
          <w:b w:val="0"/>
          <w:bCs w:val="0"/>
          <w:lang w:val="en-US" w:eastAsia="zh-CN"/>
        </w:rPr>
      </w:pPr>
    </w:p>
    <w:p w14:paraId="45873B83">
      <w:pPr>
        <w:jc w:val="both"/>
        <w:rPr>
          <w:rFonts w:hint="eastAsia" w:cs="Times New Roman"/>
          <w:b w:val="0"/>
          <w:bCs w:val="0"/>
          <w:lang w:val="en-US" w:eastAsia="zh-CN"/>
        </w:rPr>
      </w:pPr>
    </w:p>
    <w:p w14:paraId="2C9DD1F1">
      <w:pPr>
        <w:jc w:val="both"/>
        <w:rPr>
          <w:rFonts w:hint="eastAsia" w:cs="Times New Roman"/>
          <w:b w:val="0"/>
          <w:bCs w:val="0"/>
          <w:lang w:val="en-US" w:eastAsia="zh-CN"/>
        </w:rPr>
      </w:pPr>
    </w:p>
    <w:p w14:paraId="2AD2F3CD">
      <w:pPr>
        <w:jc w:val="both"/>
        <w:rPr>
          <w:rFonts w:hint="eastAsia" w:cs="Times New Roman"/>
          <w:b w:val="0"/>
          <w:bCs w:val="0"/>
          <w:lang w:val="en-US" w:eastAsia="zh-CN"/>
        </w:rPr>
      </w:pPr>
    </w:p>
    <w:p w14:paraId="0C60F75E">
      <w:pPr>
        <w:jc w:val="both"/>
        <w:rPr>
          <w:rFonts w:hint="eastAsia" w:cs="Times New Roman"/>
          <w:b w:val="0"/>
          <w:bCs w:val="0"/>
          <w:lang w:val="en-US" w:eastAsia="zh-CN"/>
        </w:rPr>
      </w:pPr>
    </w:p>
    <w:p w14:paraId="6A57B03B">
      <w:pPr>
        <w:jc w:val="both"/>
        <w:rPr>
          <w:rFonts w:hint="eastAsia" w:cs="Times New Roman"/>
          <w:b w:val="0"/>
          <w:bCs w:val="0"/>
          <w:lang w:val="en-US" w:eastAsia="zh-CN"/>
        </w:rPr>
      </w:pPr>
    </w:p>
    <w:p w14:paraId="13FD5AC0">
      <w:pPr>
        <w:jc w:val="both"/>
        <w:rPr>
          <w:rFonts w:hint="eastAsia" w:cs="Times New Roman"/>
          <w:b w:val="0"/>
          <w:bCs w:val="0"/>
          <w:lang w:val="en-US" w:eastAsia="zh-CN"/>
        </w:rPr>
      </w:pPr>
    </w:p>
    <w:p w14:paraId="64E48718">
      <w:pPr>
        <w:jc w:val="both"/>
        <w:rPr>
          <w:rFonts w:hint="eastAsia" w:cs="Times New Roman"/>
          <w:b w:val="0"/>
          <w:bCs w:val="0"/>
          <w:lang w:val="en-US" w:eastAsia="zh-CN"/>
        </w:rPr>
      </w:pPr>
    </w:p>
    <w:p w14:paraId="62305004">
      <w:pPr>
        <w:jc w:val="both"/>
        <w:rPr>
          <w:rFonts w:hint="eastAsia" w:cs="Times New Roman"/>
          <w:b w:val="0"/>
          <w:bCs w:val="0"/>
          <w:lang w:val="en-US" w:eastAsia="zh-CN"/>
        </w:rPr>
      </w:pPr>
    </w:p>
    <w:p w14:paraId="61C514A3">
      <w:pPr>
        <w:jc w:val="both"/>
        <w:rPr>
          <w:rFonts w:hint="eastAsia" w:cs="Times New Roman"/>
          <w:b w:val="0"/>
          <w:bCs w:val="0"/>
          <w:lang w:val="en-US" w:eastAsia="zh-CN"/>
        </w:rPr>
      </w:pPr>
    </w:p>
    <w:p w14:paraId="643D1F76">
      <w:pPr>
        <w:jc w:val="both"/>
        <w:rPr>
          <w:rFonts w:hint="eastAsia" w:cs="Times New Roman"/>
          <w:b w:val="0"/>
          <w:bCs w:val="0"/>
          <w:lang w:val="en-US" w:eastAsia="zh-CN"/>
        </w:rPr>
      </w:pPr>
    </w:p>
    <w:p w14:paraId="1E05638C">
      <w:pPr>
        <w:jc w:val="both"/>
        <w:rPr>
          <w:rFonts w:hint="eastAsia" w:cs="Times New Roman"/>
          <w:b w:val="0"/>
          <w:bCs w:val="0"/>
          <w:lang w:val="en-US" w:eastAsia="zh-CN"/>
        </w:rPr>
      </w:pPr>
    </w:p>
    <w:p w14:paraId="31BBF77F">
      <w:pPr>
        <w:jc w:val="both"/>
        <w:rPr>
          <w:rFonts w:hint="eastAsia" w:cs="Times New Roman"/>
          <w:b w:val="0"/>
          <w:bCs w:val="0"/>
          <w:lang w:val="en-US" w:eastAsia="zh-CN"/>
        </w:rPr>
      </w:pPr>
    </w:p>
    <w:p w14:paraId="57F1B513">
      <w:pPr>
        <w:jc w:val="both"/>
        <w:rPr>
          <w:rFonts w:hint="eastAsia" w:cs="Times New Roman"/>
          <w:b w:val="0"/>
          <w:bCs w:val="0"/>
          <w:lang w:val="en-US" w:eastAsia="zh-CN"/>
        </w:rPr>
      </w:pPr>
    </w:p>
    <w:p w14:paraId="045ED2C0">
      <w:pPr>
        <w:jc w:val="both"/>
        <w:rPr>
          <w:rFonts w:hint="eastAsia" w:cs="Times New Roman"/>
          <w:b w:val="0"/>
          <w:bCs w:val="0"/>
          <w:lang w:val="en-US" w:eastAsia="zh-CN"/>
        </w:rPr>
      </w:pPr>
    </w:p>
    <w:p w14:paraId="63347064">
      <w:pPr>
        <w:jc w:val="both"/>
        <w:rPr>
          <w:rFonts w:hint="eastAsia" w:cs="Times New Roman"/>
          <w:b w:val="0"/>
          <w:bCs w:val="0"/>
          <w:lang w:val="en-US" w:eastAsia="zh-CN"/>
        </w:rPr>
      </w:pPr>
    </w:p>
    <w:p w14:paraId="6FCAD068">
      <w:pPr>
        <w:jc w:val="both"/>
        <w:rPr>
          <w:rFonts w:hint="default" w:cs="Times New Roman"/>
          <w:b w:val="0"/>
          <w:bCs w:val="0"/>
          <w:lang w:val="en-US" w:eastAsia="zh-CN"/>
        </w:rPr>
      </w:pPr>
      <w:r>
        <w:rPr>
          <w:rFonts w:hint="default" w:cs="Times New Roman"/>
          <w:b w:val="0"/>
          <w:bCs w:val="0"/>
          <w:lang w:val="en-US" w:eastAsia="zh-CN"/>
        </w:rPr>
        <w:drawing>
          <wp:inline distT="0" distB="0" distL="114300" distR="114300">
            <wp:extent cx="5266690" cy="2635885"/>
            <wp:effectExtent l="0" t="0" r="3810" b="5715"/>
            <wp:docPr id="5" name="图片 5" descr="差异表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差异表达"/>
                    <pic:cNvPicPr>
                      <a:picLocks noChangeAspect="1"/>
                    </pic:cNvPicPr>
                  </pic:nvPicPr>
                  <pic:blipFill>
                    <a:blip r:embed="rId8"/>
                    <a:stretch>
                      <a:fillRect/>
                    </a:stretch>
                  </pic:blipFill>
                  <pic:spPr>
                    <a:xfrm>
                      <a:off x="0" y="0"/>
                      <a:ext cx="5266690" cy="2635885"/>
                    </a:xfrm>
                    <a:prstGeom prst="rect">
                      <a:avLst/>
                    </a:prstGeom>
                  </pic:spPr>
                </pic:pic>
              </a:graphicData>
            </a:graphic>
          </wp:inline>
        </w:drawing>
      </w:r>
    </w:p>
    <w:p w14:paraId="62DD57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r>
        <w:rPr>
          <w:rFonts w:hint="eastAsia" w:cs="Times New Roman"/>
          <w:b/>
          <w:bCs/>
          <w:lang w:val="en-US" w:eastAsia="zh-CN"/>
        </w:rPr>
        <w:t>Fig. S5.</w:t>
      </w:r>
      <w:r>
        <w:rPr>
          <w:rFonts w:hint="eastAsia" w:cs="Times New Roman"/>
          <w:b w:val="0"/>
          <w:bCs w:val="0"/>
          <w:lang w:val="en-US" w:eastAsia="zh-CN"/>
        </w:rPr>
        <w:t xml:space="preserve"> Volcano plots of differentially expressed genes across induction times during rhBNP expression. (A) Volcano plot of differential gene expression at 0 h post-induction. (B) Volcano plot of differential gene expression at 24 h post-induction.</w:t>
      </w:r>
    </w:p>
    <w:p w14:paraId="5FDF51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09EDCA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2CDEAD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433EC0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694CFC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651C20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43EACC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7C3BF0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215AAE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1171B0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6F67F0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113F44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29B712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1DD154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60F79D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4A194BC9">
      <w:pPr>
        <w:jc w:val="both"/>
        <w:rPr>
          <w:rFonts w:hint="default" w:cs="Times New Roman"/>
          <w:b w:val="0"/>
          <w:bCs w:val="0"/>
          <w:lang w:val="en-US" w:eastAsia="zh-CN"/>
        </w:rPr>
      </w:pPr>
    </w:p>
    <w:p w14:paraId="0F5E8D7E">
      <w:pPr>
        <w:jc w:val="both"/>
        <w:rPr>
          <w:rFonts w:hint="default" w:cs="Times New Roman"/>
          <w:b w:val="0"/>
          <w:bCs w:val="0"/>
          <w:lang w:val="en-US" w:eastAsia="zh-CN"/>
        </w:rPr>
      </w:pPr>
      <w:r>
        <w:rPr>
          <w:rFonts w:hint="default" w:cs="Times New Roman"/>
          <w:b w:val="0"/>
          <w:bCs w:val="0"/>
          <w:lang w:val="en-US" w:eastAsia="zh-CN"/>
        </w:rPr>
        <w:drawing>
          <wp:inline distT="0" distB="0" distL="114300" distR="114300">
            <wp:extent cx="5264150" cy="3025775"/>
            <wp:effectExtent l="0" t="0" r="6350" b="9525"/>
            <wp:docPr id="6" name="图片 6" desc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O"/>
                    <pic:cNvPicPr>
                      <a:picLocks noChangeAspect="1"/>
                    </pic:cNvPicPr>
                  </pic:nvPicPr>
                  <pic:blipFill>
                    <a:blip r:embed="rId9"/>
                    <a:srcRect t="8635" b="1840"/>
                    <a:stretch>
                      <a:fillRect/>
                    </a:stretch>
                  </pic:blipFill>
                  <pic:spPr>
                    <a:xfrm>
                      <a:off x="0" y="0"/>
                      <a:ext cx="5264150" cy="3025775"/>
                    </a:xfrm>
                    <a:prstGeom prst="rect">
                      <a:avLst/>
                    </a:prstGeom>
                  </pic:spPr>
                </pic:pic>
              </a:graphicData>
            </a:graphic>
          </wp:inline>
        </w:drawing>
      </w:r>
    </w:p>
    <w:p w14:paraId="3BABBC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r>
        <w:rPr>
          <w:rFonts w:hint="eastAsia" w:cs="Times New Roman"/>
          <w:b/>
          <w:bCs/>
          <w:lang w:val="en-US" w:eastAsia="zh-CN"/>
        </w:rPr>
        <w:t>Fig. S6.</w:t>
      </w:r>
      <w:r>
        <w:rPr>
          <w:rFonts w:hint="eastAsia" w:cs="Times New Roman"/>
          <w:b w:val="0"/>
          <w:bCs w:val="0"/>
          <w:lang w:val="en-US" w:eastAsia="zh-CN"/>
        </w:rPr>
        <w:t xml:space="preserve"> GO enrichment of DEGs across induction times during rhBNP expression. (A) GO enrichment of DEGs at 0 h post-induction. (B) GO enrichment of DEGs at 24 h post-induction.</w:t>
      </w:r>
    </w:p>
    <w:p w14:paraId="4FCE5367">
      <w:pPr>
        <w:jc w:val="both"/>
        <w:rPr>
          <w:rFonts w:hint="eastAsia" w:cs="Times New Roman"/>
          <w:b w:val="0"/>
          <w:bCs w:val="0"/>
          <w:lang w:val="en-US" w:eastAsia="zh-CN"/>
        </w:rPr>
      </w:pPr>
    </w:p>
    <w:p w14:paraId="6B780117">
      <w:pPr>
        <w:jc w:val="both"/>
        <w:rPr>
          <w:rFonts w:hint="eastAsia" w:cs="Times New Roman"/>
          <w:b w:val="0"/>
          <w:bCs w:val="0"/>
          <w:lang w:val="en-US" w:eastAsia="zh-CN"/>
        </w:rPr>
      </w:pPr>
    </w:p>
    <w:p w14:paraId="5C40FB2B">
      <w:pPr>
        <w:jc w:val="both"/>
        <w:rPr>
          <w:rFonts w:hint="eastAsia" w:cs="Times New Roman"/>
          <w:b w:val="0"/>
          <w:bCs w:val="0"/>
          <w:lang w:val="en-US" w:eastAsia="zh-CN"/>
        </w:rPr>
      </w:pPr>
    </w:p>
    <w:p w14:paraId="79FF7534">
      <w:pPr>
        <w:jc w:val="both"/>
        <w:rPr>
          <w:rFonts w:hint="eastAsia" w:cs="Times New Roman"/>
          <w:b w:val="0"/>
          <w:bCs w:val="0"/>
          <w:lang w:val="en-US" w:eastAsia="zh-CN"/>
        </w:rPr>
      </w:pPr>
    </w:p>
    <w:p w14:paraId="75E78612">
      <w:pPr>
        <w:jc w:val="both"/>
        <w:rPr>
          <w:rFonts w:hint="eastAsia" w:cs="Times New Roman"/>
          <w:b w:val="0"/>
          <w:bCs w:val="0"/>
          <w:lang w:val="en-US" w:eastAsia="zh-CN"/>
        </w:rPr>
      </w:pPr>
    </w:p>
    <w:p w14:paraId="66773815">
      <w:pPr>
        <w:jc w:val="both"/>
        <w:rPr>
          <w:rFonts w:hint="eastAsia" w:cs="Times New Roman"/>
          <w:b w:val="0"/>
          <w:bCs w:val="0"/>
          <w:lang w:val="en-US" w:eastAsia="zh-CN"/>
        </w:rPr>
      </w:pPr>
    </w:p>
    <w:p w14:paraId="1B94CFC3">
      <w:pPr>
        <w:jc w:val="both"/>
        <w:rPr>
          <w:rFonts w:hint="eastAsia" w:cs="Times New Roman"/>
          <w:b w:val="0"/>
          <w:bCs w:val="0"/>
          <w:lang w:val="en-US" w:eastAsia="zh-CN"/>
        </w:rPr>
      </w:pPr>
    </w:p>
    <w:p w14:paraId="591A75E7">
      <w:pPr>
        <w:jc w:val="both"/>
        <w:rPr>
          <w:rFonts w:hint="eastAsia" w:cs="Times New Roman"/>
          <w:b w:val="0"/>
          <w:bCs w:val="0"/>
          <w:lang w:val="en-US" w:eastAsia="zh-CN"/>
        </w:rPr>
      </w:pPr>
    </w:p>
    <w:p w14:paraId="6F305653">
      <w:pPr>
        <w:jc w:val="both"/>
        <w:rPr>
          <w:rFonts w:hint="eastAsia" w:cs="Times New Roman"/>
          <w:b w:val="0"/>
          <w:bCs w:val="0"/>
          <w:lang w:val="en-US" w:eastAsia="zh-CN"/>
        </w:rPr>
      </w:pPr>
    </w:p>
    <w:p w14:paraId="2BCE133C">
      <w:pPr>
        <w:jc w:val="both"/>
        <w:rPr>
          <w:rFonts w:hint="eastAsia" w:cs="Times New Roman"/>
          <w:b w:val="0"/>
          <w:bCs w:val="0"/>
          <w:lang w:val="en-US" w:eastAsia="zh-CN"/>
        </w:rPr>
      </w:pPr>
    </w:p>
    <w:p w14:paraId="4E612369">
      <w:pPr>
        <w:jc w:val="both"/>
        <w:rPr>
          <w:rFonts w:hint="eastAsia" w:cs="Times New Roman"/>
          <w:b w:val="0"/>
          <w:bCs w:val="0"/>
          <w:lang w:val="en-US" w:eastAsia="zh-CN"/>
        </w:rPr>
      </w:pPr>
    </w:p>
    <w:p w14:paraId="6ED830B8">
      <w:pPr>
        <w:jc w:val="both"/>
        <w:rPr>
          <w:rFonts w:hint="eastAsia" w:cs="Times New Roman"/>
          <w:b w:val="0"/>
          <w:bCs w:val="0"/>
          <w:lang w:val="en-US" w:eastAsia="zh-CN"/>
        </w:rPr>
      </w:pPr>
    </w:p>
    <w:p w14:paraId="36C20CF9">
      <w:pPr>
        <w:jc w:val="both"/>
        <w:rPr>
          <w:rFonts w:hint="eastAsia" w:cs="Times New Roman"/>
          <w:b w:val="0"/>
          <w:bCs w:val="0"/>
          <w:lang w:val="en-US" w:eastAsia="zh-CN"/>
        </w:rPr>
      </w:pPr>
    </w:p>
    <w:p w14:paraId="23C07DA8">
      <w:pPr>
        <w:jc w:val="both"/>
        <w:rPr>
          <w:rFonts w:hint="eastAsia" w:cs="Times New Roman"/>
          <w:b w:val="0"/>
          <w:bCs w:val="0"/>
          <w:lang w:val="en-US" w:eastAsia="zh-CN"/>
        </w:rPr>
      </w:pPr>
    </w:p>
    <w:p w14:paraId="3E3B6CA3">
      <w:pPr>
        <w:jc w:val="both"/>
        <w:rPr>
          <w:rFonts w:hint="default" w:cs="Times New Roman"/>
          <w:b w:val="0"/>
          <w:bCs w:val="0"/>
          <w:lang w:val="en-US" w:eastAsia="zh-CN"/>
        </w:rPr>
      </w:pPr>
      <w:r>
        <w:rPr>
          <w:rFonts w:hint="default" w:cs="Times New Roman"/>
          <w:b w:val="0"/>
          <w:bCs w:val="0"/>
          <w:lang w:val="en-US" w:eastAsia="zh-CN"/>
        </w:rPr>
        <w:drawing>
          <wp:inline distT="0" distB="0" distL="114300" distR="114300">
            <wp:extent cx="5283200" cy="2924810"/>
            <wp:effectExtent l="0" t="0" r="0" b="8890"/>
            <wp:docPr id="7" name="图片 7" descr="K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KEGG"/>
                    <pic:cNvPicPr>
                      <a:picLocks noChangeAspect="1"/>
                    </pic:cNvPicPr>
                  </pic:nvPicPr>
                  <pic:blipFill>
                    <a:blip r:embed="rId10"/>
                    <a:stretch>
                      <a:fillRect/>
                    </a:stretch>
                  </pic:blipFill>
                  <pic:spPr>
                    <a:xfrm>
                      <a:off x="0" y="0"/>
                      <a:ext cx="5283200" cy="2924810"/>
                    </a:xfrm>
                    <a:prstGeom prst="rect">
                      <a:avLst/>
                    </a:prstGeom>
                  </pic:spPr>
                </pic:pic>
              </a:graphicData>
            </a:graphic>
          </wp:inline>
        </w:drawing>
      </w:r>
    </w:p>
    <w:p w14:paraId="6DC619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r>
        <w:rPr>
          <w:rFonts w:hint="eastAsia" w:cs="Times New Roman"/>
          <w:b/>
          <w:bCs/>
          <w:lang w:val="en-US" w:eastAsia="zh-CN"/>
        </w:rPr>
        <w:t xml:space="preserve">Fig. S7. </w:t>
      </w:r>
      <w:r>
        <w:rPr>
          <w:rFonts w:hint="eastAsia" w:cs="Times New Roman"/>
          <w:b w:val="0"/>
          <w:bCs w:val="0"/>
          <w:lang w:val="en-US" w:eastAsia="zh-CN"/>
        </w:rPr>
        <w:t>KEGG enrichment of DEGs across induction times during rhBNP expression. (A) KEGG enrichment of DEGs at 0 h post-induction. (B) KEGG enrichment of DEGs at 24 h post-induction.</w:t>
      </w:r>
    </w:p>
    <w:p w14:paraId="031854C2">
      <w:pPr>
        <w:jc w:val="both"/>
        <w:rPr>
          <w:rFonts w:hint="eastAsia" w:cs="Times New Roman"/>
          <w:b w:val="0"/>
          <w:bCs w:val="0"/>
          <w:lang w:val="en-US" w:eastAsia="zh-CN"/>
        </w:rPr>
      </w:pPr>
    </w:p>
    <w:p w14:paraId="626CF840">
      <w:pPr>
        <w:jc w:val="both"/>
        <w:rPr>
          <w:rFonts w:hint="eastAsia" w:cs="Times New Roman"/>
          <w:b w:val="0"/>
          <w:bCs w:val="0"/>
          <w:lang w:val="en-US" w:eastAsia="zh-CN"/>
        </w:rPr>
      </w:pPr>
    </w:p>
    <w:p w14:paraId="640E2A8D">
      <w:pPr>
        <w:jc w:val="both"/>
        <w:rPr>
          <w:rFonts w:hint="eastAsia" w:cs="Times New Roman"/>
          <w:b w:val="0"/>
          <w:bCs w:val="0"/>
          <w:lang w:val="en-US" w:eastAsia="zh-CN"/>
        </w:rPr>
      </w:pPr>
    </w:p>
    <w:p w14:paraId="2FA000AF">
      <w:pPr>
        <w:jc w:val="both"/>
        <w:rPr>
          <w:rFonts w:hint="eastAsia" w:cs="Times New Roman"/>
          <w:b w:val="0"/>
          <w:bCs w:val="0"/>
          <w:lang w:val="en-US" w:eastAsia="zh-CN"/>
        </w:rPr>
      </w:pPr>
    </w:p>
    <w:p w14:paraId="20B01226">
      <w:pPr>
        <w:jc w:val="both"/>
        <w:rPr>
          <w:rFonts w:hint="eastAsia" w:cs="Times New Roman"/>
          <w:b w:val="0"/>
          <w:bCs w:val="0"/>
          <w:lang w:val="en-US" w:eastAsia="zh-CN"/>
        </w:rPr>
      </w:pPr>
    </w:p>
    <w:p w14:paraId="35EE7E48">
      <w:pPr>
        <w:jc w:val="both"/>
        <w:rPr>
          <w:rFonts w:hint="eastAsia" w:cs="Times New Roman"/>
          <w:b w:val="0"/>
          <w:bCs w:val="0"/>
          <w:lang w:val="en-US" w:eastAsia="zh-CN"/>
        </w:rPr>
      </w:pPr>
    </w:p>
    <w:p w14:paraId="29CC4769">
      <w:pPr>
        <w:jc w:val="both"/>
        <w:rPr>
          <w:rFonts w:hint="eastAsia" w:cs="Times New Roman"/>
          <w:b w:val="0"/>
          <w:bCs w:val="0"/>
          <w:lang w:val="en-US" w:eastAsia="zh-CN"/>
        </w:rPr>
      </w:pPr>
    </w:p>
    <w:p w14:paraId="3EF95E49">
      <w:pPr>
        <w:jc w:val="both"/>
        <w:rPr>
          <w:rFonts w:hint="eastAsia" w:cs="Times New Roman"/>
          <w:b w:val="0"/>
          <w:bCs w:val="0"/>
          <w:lang w:val="en-US" w:eastAsia="zh-CN"/>
        </w:rPr>
      </w:pPr>
    </w:p>
    <w:p w14:paraId="37BDCF90">
      <w:pPr>
        <w:jc w:val="both"/>
        <w:rPr>
          <w:rFonts w:hint="eastAsia" w:cs="Times New Roman"/>
          <w:b w:val="0"/>
          <w:bCs w:val="0"/>
          <w:lang w:val="en-US" w:eastAsia="zh-CN"/>
        </w:rPr>
      </w:pPr>
    </w:p>
    <w:p w14:paraId="4E163ADD">
      <w:pPr>
        <w:jc w:val="both"/>
        <w:rPr>
          <w:rFonts w:hint="eastAsia" w:cs="Times New Roman"/>
          <w:b w:val="0"/>
          <w:bCs w:val="0"/>
          <w:lang w:val="en-US" w:eastAsia="zh-CN"/>
        </w:rPr>
      </w:pPr>
    </w:p>
    <w:p w14:paraId="17EDB7A0">
      <w:pPr>
        <w:jc w:val="both"/>
        <w:rPr>
          <w:rFonts w:hint="eastAsia" w:cs="Times New Roman"/>
          <w:b w:val="0"/>
          <w:bCs w:val="0"/>
          <w:lang w:val="en-US" w:eastAsia="zh-CN"/>
        </w:rPr>
      </w:pPr>
    </w:p>
    <w:p w14:paraId="4880042F">
      <w:pPr>
        <w:jc w:val="both"/>
        <w:rPr>
          <w:rFonts w:hint="eastAsia" w:cs="Times New Roman"/>
          <w:b w:val="0"/>
          <w:bCs w:val="0"/>
          <w:lang w:val="en-US" w:eastAsia="zh-CN"/>
        </w:rPr>
      </w:pPr>
      <w:r>
        <w:rPr>
          <w:rFonts w:hint="eastAsia" w:cs="Times New Roman"/>
          <w:b w:val="0"/>
          <w:bCs w:val="0"/>
          <w:lang w:val="en-US" w:eastAsia="zh-CN"/>
        </w:rPr>
        <w:drawing>
          <wp:inline distT="0" distB="0" distL="114300" distR="114300">
            <wp:extent cx="5282565" cy="3918585"/>
            <wp:effectExtent l="0" t="0" r="635" b="5715"/>
            <wp:docPr id="8" name="图片 8" descr="代谢火山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代谢火山图"/>
                    <pic:cNvPicPr>
                      <a:picLocks noChangeAspect="1"/>
                    </pic:cNvPicPr>
                  </pic:nvPicPr>
                  <pic:blipFill>
                    <a:blip r:embed="rId11"/>
                    <a:stretch>
                      <a:fillRect/>
                    </a:stretch>
                  </pic:blipFill>
                  <pic:spPr>
                    <a:xfrm>
                      <a:off x="0" y="0"/>
                      <a:ext cx="5282565" cy="3918585"/>
                    </a:xfrm>
                    <a:prstGeom prst="rect">
                      <a:avLst/>
                    </a:prstGeom>
                  </pic:spPr>
                </pic:pic>
              </a:graphicData>
            </a:graphic>
          </wp:inline>
        </w:drawing>
      </w:r>
    </w:p>
    <w:p w14:paraId="58015A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s="Times New Roman"/>
          <w:b/>
          <w:bCs/>
          <w:lang w:val="en-US" w:eastAsia="zh-CN"/>
        </w:rPr>
      </w:pPr>
      <w:r>
        <w:rPr>
          <w:rFonts w:hint="eastAsia" w:cs="Times New Roman"/>
          <w:b/>
          <w:bCs/>
          <w:lang w:val="en-US" w:eastAsia="zh-CN"/>
        </w:rPr>
        <w:t xml:space="preserve">Fig. S8. </w:t>
      </w:r>
      <w:r>
        <w:rPr>
          <w:rFonts w:hint="eastAsia" w:cs="Times New Roman"/>
          <w:b w:val="0"/>
          <w:bCs w:val="0"/>
          <w:lang w:val="en-US" w:eastAsia="zh-CN"/>
        </w:rPr>
        <w:t>Volcano plots of differentially abundant metabolites across induction times during rhBNP expression. (A) Volcano plots of differentially abundant metabolites at 0 h post-induction. (B) Volcano plots of differentially abundant metabolites at 12 h post-induction. (C)Volcano plots of differentially abundant metabolites at 24 h post-induction.</w:t>
      </w:r>
    </w:p>
    <w:p w14:paraId="31038D9A">
      <w:pPr>
        <w:jc w:val="both"/>
        <w:rPr>
          <w:rFonts w:hint="default" w:cs="Times New Roman"/>
          <w:b w:val="0"/>
          <w:bCs w:val="0"/>
          <w:lang w:val="en-US" w:eastAsia="zh-CN"/>
        </w:rPr>
      </w:pPr>
    </w:p>
    <w:p w14:paraId="4EFC6C77">
      <w:pPr>
        <w:jc w:val="both"/>
        <w:rPr>
          <w:rFonts w:hint="default" w:cs="Times New Roman"/>
          <w:b w:val="0"/>
          <w:bCs w:val="0"/>
          <w:lang w:val="en-US" w:eastAsia="zh-CN"/>
        </w:rPr>
      </w:pPr>
      <w:r>
        <w:rPr>
          <w:rFonts w:hint="default" w:cs="Times New Roman"/>
          <w:b w:val="0"/>
          <w:bCs w:val="0"/>
          <w:lang w:val="en-US" w:eastAsia="zh-CN"/>
        </w:rPr>
        <w:drawing>
          <wp:inline distT="0" distB="0" distL="114300" distR="114300">
            <wp:extent cx="5251450" cy="5490845"/>
            <wp:effectExtent l="0" t="0" r="6350" b="8255"/>
            <wp:docPr id="9" name="图片 9" descr="KEGG代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KEGG代谢"/>
                    <pic:cNvPicPr>
                      <a:picLocks noChangeAspect="1"/>
                    </pic:cNvPicPr>
                  </pic:nvPicPr>
                  <pic:blipFill>
                    <a:blip r:embed="rId12"/>
                    <a:stretch>
                      <a:fillRect/>
                    </a:stretch>
                  </pic:blipFill>
                  <pic:spPr>
                    <a:xfrm>
                      <a:off x="0" y="0"/>
                      <a:ext cx="5251450" cy="5490845"/>
                    </a:xfrm>
                    <a:prstGeom prst="rect">
                      <a:avLst/>
                    </a:prstGeom>
                  </pic:spPr>
                </pic:pic>
              </a:graphicData>
            </a:graphic>
          </wp:inline>
        </w:drawing>
      </w:r>
    </w:p>
    <w:p w14:paraId="0084A3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r>
        <w:rPr>
          <w:rFonts w:hint="eastAsia" w:cs="Times New Roman"/>
          <w:b/>
          <w:bCs/>
          <w:lang w:val="en-US" w:eastAsia="zh-CN"/>
        </w:rPr>
        <w:t xml:space="preserve">Fig. S9. </w:t>
      </w:r>
      <w:r>
        <w:rPr>
          <w:rFonts w:hint="eastAsia" w:cs="Times New Roman"/>
          <w:b w:val="0"/>
          <w:bCs w:val="0"/>
          <w:lang w:val="en-US" w:eastAsia="zh-CN"/>
        </w:rPr>
        <w:t>KEGG enrichment of DAMs across induction times during rhBNP expression. (A) KEGG enrichment of DAMs at 0 h post-induction. (B) KEGG enrichment of DAMs at 12 h post-induction. (C)KEGG enrichment of DAMs at 24 h post-induction.</w:t>
      </w:r>
    </w:p>
    <w:p w14:paraId="190D81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s="Times New Roman"/>
          <w:b w:val="0"/>
          <w:bCs w:val="0"/>
          <w:lang w:val="en-US" w:eastAsia="zh-CN"/>
        </w:rPr>
      </w:pPr>
    </w:p>
    <w:p w14:paraId="04B678F5">
      <w:pPr>
        <w:jc w:val="both"/>
        <w:rPr>
          <w:rFonts w:hint="eastAsia" w:cs="Times New Roman"/>
          <w:b w:val="0"/>
          <w:bCs w:val="0"/>
          <w:lang w:val="en-US" w:eastAsia="zh-CN"/>
        </w:rPr>
      </w:pPr>
      <w:r>
        <w:rPr>
          <w:rFonts w:hint="eastAsia" w:cs="Times New Roman"/>
          <w:b w:val="0"/>
          <w:bCs w:val="0"/>
          <w:lang w:val="en-US" w:eastAsia="zh-CN"/>
        </w:rPr>
        <w:drawing>
          <wp:inline distT="0" distB="0" distL="114300" distR="114300">
            <wp:extent cx="5254625" cy="2967355"/>
            <wp:effectExtent l="0" t="0" r="3175" b="4445"/>
            <wp:docPr id="14" name="图片 14" descr="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总图"/>
                    <pic:cNvPicPr>
                      <a:picLocks noChangeAspect="1"/>
                    </pic:cNvPicPr>
                  </pic:nvPicPr>
                  <pic:blipFill>
                    <a:blip r:embed="rId13"/>
                    <a:stretch>
                      <a:fillRect/>
                    </a:stretch>
                  </pic:blipFill>
                  <pic:spPr>
                    <a:xfrm>
                      <a:off x="0" y="0"/>
                      <a:ext cx="5254625" cy="2967355"/>
                    </a:xfrm>
                    <a:prstGeom prst="rect">
                      <a:avLst/>
                    </a:prstGeom>
                  </pic:spPr>
                </pic:pic>
              </a:graphicData>
            </a:graphic>
          </wp:inline>
        </w:drawing>
      </w:r>
    </w:p>
    <w:p w14:paraId="27C80D8D">
      <w:pPr>
        <w:keepNext w:val="0"/>
        <w:keepLines w:val="0"/>
        <w:pageBreakBefore w:val="0"/>
        <w:widowControl w:val="0"/>
        <w:kinsoku/>
        <w:wordWrap/>
        <w:overflowPunct/>
        <w:topLinePunct w:val="0"/>
        <w:autoSpaceDE/>
        <w:autoSpaceDN/>
        <w:bidi w:val="0"/>
        <w:adjustRightInd/>
        <w:snapToGrid/>
        <w:spacing w:line="360" w:lineRule="auto"/>
        <w:jc w:val="both"/>
        <w:textAlignment w:val="auto"/>
        <w:rPr>
          <w:bCs/>
          <w:color w:val="000000" w:themeColor="text1"/>
          <w:szCs w:val="24"/>
          <w14:textFill>
            <w14:solidFill>
              <w14:schemeClr w14:val="tx1"/>
            </w14:solidFill>
          </w14:textFill>
        </w:rPr>
      </w:pPr>
      <w:r>
        <w:rPr>
          <w:rFonts w:hint="eastAsia" w:cs="Times New Roman"/>
          <w:b/>
          <w:bCs/>
          <w:lang w:val="en-US" w:eastAsia="zh-CN"/>
        </w:rPr>
        <w:t xml:space="preserve">Fig. S10. </w:t>
      </w:r>
      <w:r>
        <w:rPr>
          <w:rFonts w:hint="eastAsia" w:cs="Times New Roman"/>
          <w:b w:val="0"/>
          <w:bCs w:val="0"/>
          <w:lang w:val="en-US" w:eastAsia="zh-CN"/>
        </w:rPr>
        <w:t xml:space="preserve">SDS-PAGE result for cSAT-rhBNP after stepwise </w:t>
      </w:r>
      <w:r>
        <w:rPr>
          <w:rFonts w:hint="eastAsia" w:ascii="Times New Roman" w:hAnsi="Times New Roman" w:cs="Times New Roman"/>
          <w:b w:val="0"/>
          <w:bCs w:val="0"/>
          <w:sz w:val="24"/>
          <w:szCs w:val="24"/>
          <w:vertAlign w:val="baseline"/>
          <w:lang w:val="en-US" w:eastAsia="zh-CN"/>
        </w:rPr>
        <w:t>medium optimization.</w:t>
      </w:r>
      <w:r>
        <w:rPr>
          <w:rFonts w:hint="eastAsia" w:cs="Times New Roman"/>
          <w:b w:val="0"/>
          <w:bCs w:val="0"/>
          <w:sz w:val="24"/>
          <w:szCs w:val="24"/>
          <w:vertAlign w:val="baseline"/>
          <w:lang w:val="en-US" w:eastAsia="zh-CN"/>
        </w:rPr>
        <w:t xml:space="preserve"> (A) </w:t>
      </w:r>
      <w:r>
        <w:rPr>
          <w:rFonts w:hint="eastAsia" w:ascii="Times New Roman" w:hAnsi="Times New Roman" w:cs="Times New Roman"/>
          <w:b w:val="0"/>
          <w:bCs w:val="0"/>
          <w:sz w:val="24"/>
          <w:szCs w:val="24"/>
          <w:vertAlign w:val="baseline"/>
          <w:lang w:val="en-US" w:eastAsia="zh-CN"/>
        </w:rPr>
        <w:t xml:space="preserve">SDS-PAGE result for </w:t>
      </w:r>
      <w:r>
        <w:rPr>
          <w:rFonts w:hint="eastAsia" w:cs="Times New Roman"/>
          <w:b w:val="0"/>
          <w:bCs w:val="0"/>
          <w:sz w:val="24"/>
          <w:szCs w:val="24"/>
          <w:vertAlign w:val="baseline"/>
          <w:lang w:val="en-US" w:eastAsia="zh-CN"/>
        </w:rPr>
        <w:t>cSAT-</w:t>
      </w:r>
      <w:r>
        <w:rPr>
          <w:rFonts w:hint="eastAsia" w:ascii="Times New Roman" w:hAnsi="Times New Roman" w:cs="Times New Roman"/>
          <w:b w:val="0"/>
          <w:bCs w:val="0"/>
          <w:sz w:val="24"/>
          <w:szCs w:val="24"/>
          <w:vertAlign w:val="baseline"/>
          <w:lang w:val="en-US" w:eastAsia="zh-CN"/>
        </w:rPr>
        <w:t>rhBNP under different tryptone</w:t>
      </w:r>
      <w:r>
        <w:rPr>
          <w:rFonts w:hint="eastAsia" w:cs="Times New Roman"/>
          <w:b w:val="0"/>
          <w:bCs w:val="0"/>
          <w:sz w:val="24"/>
          <w:szCs w:val="24"/>
          <w:vertAlign w:val="baseline"/>
          <w:lang w:val="en-US" w:eastAsia="zh-CN"/>
        </w:rPr>
        <w:t>:</w:t>
      </w:r>
      <w:r>
        <w:rPr>
          <w:rFonts w:hint="eastAsia" w:ascii="Times New Roman" w:hAnsi="Times New Roman" w:cs="Times New Roman"/>
          <w:b w:val="0"/>
          <w:bCs w:val="0"/>
          <w:sz w:val="24"/>
          <w:szCs w:val="24"/>
          <w:vertAlign w:val="baseline"/>
          <w:lang w:val="en-US" w:eastAsia="zh-CN"/>
        </w:rPr>
        <w:t>yeast-extract ratio.</w:t>
      </w:r>
      <w:r>
        <w:rPr>
          <w:rFonts w:hint="eastAsia" w:cs="Times New Roman"/>
          <w:b w:val="0"/>
          <w:bCs w:val="0"/>
          <w:sz w:val="24"/>
          <w:szCs w:val="24"/>
          <w:vertAlign w:val="baseline"/>
          <w:lang w:val="en-US" w:eastAsia="zh-CN"/>
        </w:rPr>
        <w:t xml:space="preserve"> (B) </w:t>
      </w:r>
      <w:r>
        <w:rPr>
          <w:rFonts w:hint="eastAsia" w:ascii="Times New Roman" w:hAnsi="Times New Roman" w:cs="Times New Roman"/>
          <w:b w:val="0"/>
          <w:bCs w:val="0"/>
          <w:sz w:val="24"/>
          <w:szCs w:val="24"/>
          <w:vertAlign w:val="baseline"/>
          <w:lang w:val="en-US" w:eastAsia="zh-CN"/>
        </w:rPr>
        <w:t xml:space="preserve">SDS-PAGE results for </w:t>
      </w:r>
      <w:r>
        <w:rPr>
          <w:rFonts w:hint="eastAsia" w:cs="Times New Roman"/>
          <w:b w:val="0"/>
          <w:bCs w:val="0"/>
          <w:sz w:val="24"/>
          <w:szCs w:val="24"/>
          <w:vertAlign w:val="baseline"/>
          <w:lang w:val="en-US" w:eastAsia="zh-CN"/>
        </w:rPr>
        <w:t>cSAT-</w:t>
      </w:r>
      <w:r>
        <w:rPr>
          <w:rFonts w:hint="eastAsia" w:ascii="Times New Roman" w:hAnsi="Times New Roman" w:cs="Times New Roman"/>
          <w:b w:val="0"/>
          <w:bCs w:val="0"/>
          <w:sz w:val="24"/>
          <w:szCs w:val="24"/>
          <w:vertAlign w:val="baseline"/>
          <w:lang w:val="en-US" w:eastAsia="zh-CN"/>
        </w:rPr>
        <w:t>rhBNP under different phosphate buffer concentration.</w:t>
      </w:r>
      <w:r>
        <w:rPr>
          <w:rFonts w:hint="eastAsia" w:cs="Times New Roman"/>
          <w:b w:val="0"/>
          <w:bCs w:val="0"/>
          <w:sz w:val="24"/>
          <w:szCs w:val="24"/>
          <w:vertAlign w:val="baseline"/>
          <w:lang w:val="en-US" w:eastAsia="zh-CN"/>
        </w:rPr>
        <w:t xml:space="preserve"> (C) S</w:t>
      </w:r>
      <w:r>
        <w:rPr>
          <w:rFonts w:hint="eastAsia" w:ascii="Times New Roman" w:hAnsi="Times New Roman" w:cs="Times New Roman"/>
          <w:b w:val="0"/>
          <w:bCs w:val="0"/>
          <w:sz w:val="24"/>
          <w:szCs w:val="24"/>
          <w:vertAlign w:val="baseline"/>
          <w:lang w:val="en-US" w:eastAsia="zh-CN"/>
        </w:rPr>
        <w:t xml:space="preserve">DS-PAGE result for </w:t>
      </w:r>
      <w:r>
        <w:rPr>
          <w:rFonts w:hint="eastAsia" w:cs="Times New Roman"/>
          <w:b w:val="0"/>
          <w:bCs w:val="0"/>
          <w:sz w:val="24"/>
          <w:szCs w:val="24"/>
          <w:vertAlign w:val="baseline"/>
          <w:lang w:val="en-US" w:eastAsia="zh-CN"/>
        </w:rPr>
        <w:t>cSAT-</w:t>
      </w:r>
      <w:r>
        <w:rPr>
          <w:rFonts w:hint="eastAsia" w:ascii="Times New Roman" w:hAnsi="Times New Roman" w:cs="Times New Roman"/>
          <w:b w:val="0"/>
          <w:bCs w:val="0"/>
          <w:sz w:val="24"/>
          <w:szCs w:val="24"/>
          <w:vertAlign w:val="baseline"/>
          <w:lang w:val="en-US" w:eastAsia="zh-CN"/>
        </w:rPr>
        <w:t>rhBNP under different glucose concentration.</w:t>
      </w:r>
      <w:r>
        <w:rPr>
          <w:rFonts w:hint="eastAsia" w:cs="Times New Roman"/>
          <w:b w:val="0"/>
          <w:bCs w:val="0"/>
          <w:sz w:val="24"/>
          <w:szCs w:val="24"/>
          <w:vertAlign w:val="baseline"/>
          <w:lang w:val="en-US" w:eastAsia="zh-CN"/>
        </w:rPr>
        <w:t xml:space="preserve"> (D) </w:t>
      </w:r>
      <w:r>
        <w:rPr>
          <w:rFonts w:hint="eastAsia" w:ascii="Times New Roman" w:hAnsi="Times New Roman" w:cs="Times New Roman"/>
          <w:b w:val="0"/>
          <w:bCs w:val="0"/>
          <w:sz w:val="24"/>
          <w:szCs w:val="24"/>
          <w:vertAlign w:val="baseline"/>
          <w:lang w:val="en-US" w:eastAsia="zh-CN"/>
        </w:rPr>
        <w:t xml:space="preserve">SDS-PAGE results for </w:t>
      </w:r>
      <w:r>
        <w:rPr>
          <w:rFonts w:hint="eastAsia" w:cs="Times New Roman"/>
          <w:b w:val="0"/>
          <w:bCs w:val="0"/>
          <w:sz w:val="24"/>
          <w:szCs w:val="24"/>
          <w:vertAlign w:val="baseline"/>
          <w:lang w:val="en-US" w:eastAsia="zh-CN"/>
        </w:rPr>
        <w:t>cSAT-</w:t>
      </w:r>
      <w:r>
        <w:rPr>
          <w:rFonts w:hint="eastAsia" w:ascii="Times New Roman" w:hAnsi="Times New Roman" w:cs="Times New Roman"/>
          <w:b w:val="0"/>
          <w:bCs w:val="0"/>
          <w:sz w:val="24"/>
          <w:szCs w:val="24"/>
          <w:vertAlign w:val="baseline"/>
          <w:lang w:val="en-US" w:eastAsia="zh-CN"/>
        </w:rPr>
        <w:t>rhBNP under different ammonium sulfate concentration.</w:t>
      </w:r>
      <w:r>
        <w:rPr>
          <w:rFonts w:hint="eastAsia" w:cs="Times New Roman"/>
          <w:b w:val="0"/>
          <w:bCs w:val="0"/>
          <w:sz w:val="24"/>
          <w:szCs w:val="24"/>
          <w:vertAlign w:val="baseline"/>
          <w:lang w:val="en-US" w:eastAsia="zh-CN"/>
        </w:rPr>
        <w:t xml:space="preserve"> </w:t>
      </w:r>
      <w:r>
        <w:rPr>
          <w:bCs/>
          <w:color w:val="000000" w:themeColor="text1"/>
          <w:szCs w:val="24"/>
          <w14:textFill>
            <w14:solidFill>
              <w14:schemeClr w14:val="tx1"/>
            </w14:solidFill>
          </w14:textFill>
        </w:rPr>
        <w:t>EP: precipitate of the cell lysate after expression</w:t>
      </w:r>
      <w:r>
        <w:rPr>
          <w:rFonts w:hint="eastAsia"/>
          <w:bCs/>
          <w:color w:val="000000" w:themeColor="text1"/>
          <w:szCs w:val="24"/>
          <w:lang w:val="en-US" w:eastAsia="zh-CN"/>
          <w14:textFill>
            <w14:solidFill>
              <w14:schemeClr w14:val="tx1"/>
            </w14:solidFill>
          </w14:textFill>
        </w:rPr>
        <w:t>;</w:t>
      </w:r>
      <w:r>
        <w:rPr>
          <w:bCs/>
          <w:color w:val="000000" w:themeColor="text1"/>
          <w:szCs w:val="24"/>
          <w14:textFill>
            <w14:solidFill>
              <w14:schemeClr w14:val="tx1"/>
            </w14:solidFill>
          </w14:textFill>
        </w:rPr>
        <w:t xml:space="preserve"> CP: precipitate of intein-mediated cleavage</w:t>
      </w:r>
      <w:r>
        <w:rPr>
          <w:rFonts w:hint="eastAsia"/>
          <w:bCs/>
          <w:color w:val="000000" w:themeColor="text1"/>
          <w:szCs w:val="24"/>
          <w:lang w:val="en-US" w:eastAsia="zh-CN"/>
          <w14:textFill>
            <w14:solidFill>
              <w14:schemeClr w14:val="tx1"/>
            </w14:solidFill>
          </w14:textFill>
        </w:rPr>
        <w:t xml:space="preserve">; M: 10-180 kDa protein marker. </w:t>
      </w:r>
      <w:r>
        <w:rPr>
          <w:bCs/>
          <w:color w:val="000000" w:themeColor="text1"/>
          <w:szCs w:val="24"/>
          <w14:textFill>
            <w14:solidFill>
              <w14:schemeClr w14:val="tx1"/>
            </w14:solidFill>
          </w14:textFill>
        </w:rPr>
        <w:t>The BSA standard concentrations I-IV were</w:t>
      </w:r>
      <w:r>
        <w:rPr>
          <w:rFonts w:hint="eastAsia"/>
          <w:bCs/>
          <w:color w:val="000000" w:themeColor="text1"/>
          <w:szCs w:val="24"/>
          <w:lang w:val="en-US" w:eastAsia="zh-CN"/>
          <w14:textFill>
            <w14:solidFill>
              <w14:schemeClr w14:val="tx1"/>
            </w14:solidFill>
          </w14:textFill>
        </w:rPr>
        <w:t xml:space="preserve"> 2 mg/mL, 1 mg/mL, 0.5 mg/mL, 0.25 mg/mL, </w:t>
      </w:r>
      <w:r>
        <w:rPr>
          <w:bCs/>
          <w:color w:val="000000" w:themeColor="text1"/>
          <w:szCs w:val="24"/>
          <w14:textFill>
            <w14:solidFill>
              <w14:schemeClr w14:val="tx1"/>
            </w14:solidFill>
          </w14:textFill>
        </w:rPr>
        <w:t>respectively.</w:t>
      </w:r>
    </w:p>
    <w:p w14:paraId="1712DB11">
      <w:pPr>
        <w:keepNext w:val="0"/>
        <w:keepLines w:val="0"/>
        <w:pageBreakBefore w:val="0"/>
        <w:widowControl w:val="0"/>
        <w:kinsoku/>
        <w:wordWrap/>
        <w:overflowPunct/>
        <w:topLinePunct w:val="0"/>
        <w:autoSpaceDE/>
        <w:autoSpaceDN/>
        <w:bidi w:val="0"/>
        <w:adjustRightInd/>
        <w:snapToGrid/>
        <w:spacing w:line="360" w:lineRule="auto"/>
        <w:jc w:val="both"/>
        <w:textAlignment w:val="auto"/>
        <w:rPr>
          <w:bCs/>
          <w:color w:val="000000" w:themeColor="text1"/>
          <w:szCs w:val="24"/>
          <w14:textFill>
            <w14:solidFill>
              <w14:schemeClr w14:val="tx1"/>
            </w14:solidFill>
          </w14:textFill>
        </w:rPr>
      </w:pPr>
    </w:p>
    <w:p w14:paraId="748346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eastAsia="宋体"/>
          <w:bCs/>
          <w:color w:val="000000" w:themeColor="text1"/>
          <w:szCs w:val="24"/>
          <w:lang w:val="en-US" w:eastAsia="zh-CN"/>
          <w14:textFill>
            <w14:solidFill>
              <w14:schemeClr w14:val="tx1"/>
            </w14:solidFill>
          </w14:textFill>
        </w:rPr>
      </w:pPr>
      <w:r>
        <w:rPr>
          <w:rFonts w:hint="eastAsia" w:eastAsia="宋体"/>
          <w:bCs/>
          <w:color w:val="000000" w:themeColor="text1"/>
          <w:szCs w:val="24"/>
          <w:lang w:val="en-US" w:eastAsia="zh-CN"/>
          <w14:textFill>
            <w14:solidFill>
              <w14:schemeClr w14:val="tx1"/>
            </w14:solidFill>
          </w14:textFill>
        </w:rPr>
        <w:drawing>
          <wp:inline distT="0" distB="0" distL="114300" distR="114300">
            <wp:extent cx="5267960" cy="4157980"/>
            <wp:effectExtent l="0" t="0" r="2540" b="7620"/>
            <wp:docPr id="11" name="图片 11" descr="定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定量"/>
                    <pic:cNvPicPr>
                      <a:picLocks noChangeAspect="1"/>
                    </pic:cNvPicPr>
                  </pic:nvPicPr>
                  <pic:blipFill>
                    <a:blip r:embed="rId14"/>
                    <a:stretch>
                      <a:fillRect/>
                    </a:stretch>
                  </pic:blipFill>
                  <pic:spPr>
                    <a:xfrm>
                      <a:off x="0" y="0"/>
                      <a:ext cx="5267960" cy="4157980"/>
                    </a:xfrm>
                    <a:prstGeom prst="rect">
                      <a:avLst/>
                    </a:prstGeom>
                  </pic:spPr>
                </pic:pic>
              </a:graphicData>
            </a:graphic>
          </wp:inline>
        </w:drawing>
      </w:r>
    </w:p>
    <w:p w14:paraId="5A8D8D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r>
        <w:rPr>
          <w:rFonts w:hint="eastAsia"/>
          <w:b/>
          <w:bCs w:val="0"/>
          <w:color w:val="000000" w:themeColor="text1"/>
          <w:szCs w:val="24"/>
          <w:lang w:val="en-US" w:eastAsia="zh-CN"/>
          <w14:textFill>
            <w14:solidFill>
              <w14:schemeClr w14:val="tx1"/>
            </w14:solidFill>
          </w14:textFill>
        </w:rPr>
        <w:t>Fig. S11.</w:t>
      </w:r>
      <w:r>
        <w:rPr>
          <w:rFonts w:hint="eastAsia"/>
          <w:bCs/>
          <w:color w:val="000000" w:themeColor="text1"/>
          <w:szCs w:val="24"/>
          <w:lang w:val="en-US" w:eastAsia="zh-CN"/>
          <w14:textFill>
            <w14:solidFill>
              <w14:schemeClr w14:val="tx1"/>
            </w14:solidFill>
          </w14:textFill>
        </w:rPr>
        <w:t xml:space="preserve"> </w:t>
      </w:r>
      <w:r>
        <w:rPr>
          <w:rFonts w:hint="eastAsia" w:ascii="Times New Roman" w:hAnsi="Times New Roman" w:cs="Times New Roman"/>
          <w:b w:val="0"/>
          <w:bCs w:val="0"/>
          <w:sz w:val="24"/>
          <w:szCs w:val="24"/>
          <w:vertAlign w:val="baseline"/>
          <w:lang w:val="en-US" w:eastAsia="zh-CN"/>
        </w:rPr>
        <w:t xml:space="preserve">Yield of fusion </w:t>
      </w:r>
      <w:r>
        <w:rPr>
          <w:rFonts w:hint="eastAsia" w:cs="Times New Roman"/>
          <w:b w:val="0"/>
          <w:bCs w:val="0"/>
          <w:sz w:val="24"/>
          <w:szCs w:val="24"/>
          <w:vertAlign w:val="baseline"/>
          <w:lang w:val="en-US" w:eastAsia="zh-CN"/>
        </w:rPr>
        <w:t>cSAT-</w:t>
      </w:r>
      <w:r>
        <w:rPr>
          <w:rFonts w:hint="eastAsia" w:ascii="Times New Roman" w:hAnsi="Times New Roman" w:cs="Times New Roman"/>
          <w:b w:val="0"/>
          <w:bCs w:val="0"/>
          <w:sz w:val="24"/>
          <w:szCs w:val="24"/>
          <w:vertAlign w:val="baseline"/>
          <w:lang w:val="en-US" w:eastAsia="zh-CN"/>
        </w:rPr>
        <w:t>rhBNP and terminal pH of broth</w:t>
      </w:r>
      <w:r>
        <w:rPr>
          <w:rFonts w:hint="eastAsia" w:cs="Times New Roman"/>
          <w:b w:val="0"/>
          <w:bCs w:val="0"/>
          <w:sz w:val="24"/>
          <w:szCs w:val="24"/>
          <w:vertAlign w:val="baseline"/>
          <w:lang w:val="en-US" w:eastAsia="zh-CN"/>
        </w:rPr>
        <w:t xml:space="preserve"> after stepwise </w:t>
      </w:r>
      <w:r>
        <w:rPr>
          <w:rFonts w:hint="eastAsia" w:ascii="Times New Roman" w:hAnsi="Times New Roman" w:cs="Times New Roman"/>
          <w:b w:val="0"/>
          <w:bCs w:val="0"/>
          <w:sz w:val="24"/>
          <w:szCs w:val="24"/>
          <w:vertAlign w:val="baseline"/>
          <w:lang w:val="en-US" w:eastAsia="zh-CN"/>
        </w:rPr>
        <w:t>medium optimization.</w:t>
      </w:r>
      <w:r>
        <w:rPr>
          <w:rFonts w:hint="eastAsia" w:cs="Times New Roman"/>
          <w:b w:val="0"/>
          <w:bCs w:val="0"/>
          <w:sz w:val="24"/>
          <w:szCs w:val="24"/>
          <w:vertAlign w:val="baseline"/>
          <w:lang w:val="en-US" w:eastAsia="zh-CN"/>
        </w:rPr>
        <w:t xml:space="preserve"> (A) </w:t>
      </w:r>
      <w:r>
        <w:rPr>
          <w:rFonts w:hint="eastAsia" w:ascii="Times New Roman" w:hAnsi="Times New Roman" w:cs="Times New Roman"/>
          <w:b w:val="0"/>
          <w:bCs w:val="0"/>
          <w:sz w:val="24"/>
          <w:szCs w:val="24"/>
          <w:vertAlign w:val="baseline"/>
          <w:lang w:val="en-US" w:eastAsia="zh-CN"/>
        </w:rPr>
        <w:t xml:space="preserve">Yield of fusion </w:t>
      </w:r>
      <w:r>
        <w:rPr>
          <w:rFonts w:hint="eastAsia" w:cs="Times New Roman"/>
          <w:b w:val="0"/>
          <w:bCs w:val="0"/>
          <w:sz w:val="24"/>
          <w:szCs w:val="24"/>
          <w:vertAlign w:val="baseline"/>
          <w:lang w:val="en-US" w:eastAsia="zh-CN"/>
        </w:rPr>
        <w:t>cSAT-</w:t>
      </w:r>
      <w:r>
        <w:rPr>
          <w:rFonts w:hint="eastAsia" w:ascii="Times New Roman" w:hAnsi="Times New Roman" w:cs="Times New Roman"/>
          <w:b w:val="0"/>
          <w:bCs w:val="0"/>
          <w:sz w:val="24"/>
          <w:szCs w:val="24"/>
          <w:vertAlign w:val="baseline"/>
          <w:lang w:val="en-US" w:eastAsia="zh-CN"/>
        </w:rPr>
        <w:t>rhBNP and terminal pH of broth under different tryptone/yeast-extract ratio.</w:t>
      </w:r>
      <w:r>
        <w:rPr>
          <w:rFonts w:hint="eastAsia" w:cs="Times New Roman"/>
          <w:b w:val="0"/>
          <w:bCs w:val="0"/>
          <w:sz w:val="24"/>
          <w:szCs w:val="24"/>
          <w:vertAlign w:val="baseline"/>
          <w:lang w:val="en-US" w:eastAsia="zh-CN"/>
        </w:rPr>
        <w:t xml:space="preserve"> (B) </w:t>
      </w:r>
      <w:r>
        <w:rPr>
          <w:rFonts w:hint="eastAsia" w:ascii="Times New Roman" w:hAnsi="Times New Roman" w:cs="Times New Roman"/>
          <w:b w:val="0"/>
          <w:bCs w:val="0"/>
          <w:sz w:val="24"/>
          <w:szCs w:val="24"/>
          <w:vertAlign w:val="baseline"/>
          <w:lang w:val="en-US" w:eastAsia="zh-CN"/>
        </w:rPr>
        <w:t xml:space="preserve">Yield of fusion </w:t>
      </w:r>
      <w:r>
        <w:rPr>
          <w:rFonts w:hint="eastAsia" w:cs="Times New Roman"/>
          <w:b w:val="0"/>
          <w:bCs w:val="0"/>
          <w:sz w:val="24"/>
          <w:szCs w:val="24"/>
          <w:vertAlign w:val="baseline"/>
          <w:lang w:val="en-US" w:eastAsia="zh-CN"/>
        </w:rPr>
        <w:t>cSAT-</w:t>
      </w:r>
      <w:r>
        <w:rPr>
          <w:rFonts w:hint="eastAsia" w:ascii="Times New Roman" w:hAnsi="Times New Roman" w:cs="Times New Roman"/>
          <w:b w:val="0"/>
          <w:bCs w:val="0"/>
          <w:sz w:val="24"/>
          <w:szCs w:val="24"/>
          <w:vertAlign w:val="baseline"/>
          <w:lang w:val="en-US" w:eastAsia="zh-CN"/>
        </w:rPr>
        <w:t xml:space="preserve">rhBNP and terminal pH of broth under different phosphate buffer concentration. (G) Yield of fusion </w:t>
      </w:r>
      <w:r>
        <w:rPr>
          <w:rFonts w:hint="eastAsia" w:cs="Times New Roman"/>
          <w:b w:val="0"/>
          <w:bCs w:val="0"/>
          <w:sz w:val="24"/>
          <w:szCs w:val="24"/>
          <w:vertAlign w:val="baseline"/>
          <w:lang w:val="en-US" w:eastAsia="zh-CN"/>
        </w:rPr>
        <w:t>cSAT-</w:t>
      </w:r>
      <w:r>
        <w:rPr>
          <w:rFonts w:hint="eastAsia" w:ascii="Times New Roman" w:hAnsi="Times New Roman" w:cs="Times New Roman"/>
          <w:b w:val="0"/>
          <w:bCs w:val="0"/>
          <w:sz w:val="24"/>
          <w:szCs w:val="24"/>
          <w:vertAlign w:val="baseline"/>
          <w:lang w:val="en-US" w:eastAsia="zh-CN"/>
        </w:rPr>
        <w:t xml:space="preserve">rhBNP and terminal pH of broth under different glucose concentration. (H) Yield of fusion </w:t>
      </w:r>
      <w:r>
        <w:rPr>
          <w:rFonts w:hint="eastAsia" w:cs="Times New Roman"/>
          <w:b w:val="0"/>
          <w:bCs w:val="0"/>
          <w:sz w:val="24"/>
          <w:szCs w:val="24"/>
          <w:vertAlign w:val="baseline"/>
          <w:lang w:val="en-US" w:eastAsia="zh-CN"/>
        </w:rPr>
        <w:t>cSAT-</w:t>
      </w:r>
      <w:r>
        <w:rPr>
          <w:rFonts w:hint="eastAsia" w:ascii="Times New Roman" w:hAnsi="Times New Roman" w:cs="Times New Roman"/>
          <w:b w:val="0"/>
          <w:bCs w:val="0"/>
          <w:sz w:val="24"/>
          <w:szCs w:val="24"/>
          <w:vertAlign w:val="baseline"/>
          <w:lang w:val="en-US" w:eastAsia="zh-CN"/>
        </w:rPr>
        <w:t>rhBNP and terminal pH of broth under different ammonium sulfate concentration.</w:t>
      </w:r>
    </w:p>
    <w:p w14:paraId="1113D1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70472D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4E1050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2964E7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22F321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7ECE9E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3097C6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22B427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6DF370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r>
        <w:rPr>
          <w:rFonts w:hint="eastAsia" w:ascii="Times New Roman" w:hAnsi="Times New Roman" w:cs="Times New Roman"/>
          <w:b w:val="0"/>
          <w:bCs w:val="0"/>
          <w:sz w:val="24"/>
          <w:szCs w:val="24"/>
          <w:vertAlign w:val="baseline"/>
          <w:lang w:val="en-US" w:eastAsia="zh-CN"/>
        </w:rPr>
        <w:drawing>
          <wp:inline distT="0" distB="0" distL="114300" distR="114300">
            <wp:extent cx="5280025" cy="3635375"/>
            <wp:effectExtent l="0" t="0" r="3175" b="9525"/>
            <wp:docPr id="13" name="图片 13" descr="四步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四步优化"/>
                    <pic:cNvPicPr>
                      <a:picLocks noChangeAspect="1"/>
                    </pic:cNvPicPr>
                  </pic:nvPicPr>
                  <pic:blipFill>
                    <a:blip r:embed="rId15"/>
                    <a:srcRect t="2486"/>
                    <a:stretch>
                      <a:fillRect/>
                    </a:stretch>
                  </pic:blipFill>
                  <pic:spPr>
                    <a:xfrm>
                      <a:off x="0" y="0"/>
                      <a:ext cx="5280025" cy="3635375"/>
                    </a:xfrm>
                    <a:prstGeom prst="rect">
                      <a:avLst/>
                    </a:prstGeom>
                  </pic:spPr>
                </pic:pic>
              </a:graphicData>
            </a:graphic>
          </wp:inline>
        </w:drawing>
      </w:r>
    </w:p>
    <w:p w14:paraId="62CB63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r>
        <w:rPr>
          <w:rFonts w:hint="eastAsia" w:cs="Times New Roman"/>
          <w:b/>
          <w:bCs/>
          <w:sz w:val="24"/>
          <w:lang w:val="en-US" w:eastAsia="zh-CN"/>
        </w:rPr>
        <w:t>Fig. S12.</w:t>
      </w:r>
      <w:r>
        <w:rPr>
          <w:rFonts w:hint="eastAsia" w:cs="Times New Roman"/>
          <w:sz w:val="24"/>
          <w:lang w:val="en-US" w:eastAsia="zh-CN"/>
        </w:rPr>
        <w:t xml:space="preserve"> </w:t>
      </w:r>
      <w:r>
        <w:rPr>
          <w:rFonts w:hint="eastAsia" w:ascii="Times New Roman" w:hAnsi="Times New Roman" w:cs="Times New Roman"/>
          <w:sz w:val="24"/>
        </w:rPr>
        <w:t>SDS-PAGE result</w:t>
      </w:r>
      <w:r>
        <w:rPr>
          <w:rFonts w:hint="eastAsia" w:cs="Times New Roman"/>
          <w:sz w:val="24"/>
          <w:lang w:val="en-US" w:eastAsia="zh-CN"/>
        </w:rPr>
        <w:t>s</w:t>
      </w:r>
      <w:r>
        <w:rPr>
          <w:rFonts w:hint="eastAsia" w:ascii="Times New Roman" w:hAnsi="Times New Roman" w:cs="Times New Roman"/>
          <w:sz w:val="24"/>
        </w:rPr>
        <w:t xml:space="preserve"> for</w:t>
      </w:r>
      <w:r>
        <w:rPr>
          <w:rFonts w:hint="eastAsia" w:cs="Times New Roman"/>
          <w:sz w:val="24"/>
          <w:lang w:val="en-US" w:eastAsia="zh-CN"/>
        </w:rPr>
        <w:t xml:space="preserve"> </w:t>
      </w:r>
      <w:r>
        <w:rPr>
          <w:rFonts w:hint="eastAsia" w:ascii="Times New Roman" w:hAnsi="Times New Roman" w:cs="Times New Roman"/>
          <w:sz w:val="24"/>
        </w:rPr>
        <w:t>rhBNP after stepwise medium optimization.</w:t>
      </w:r>
      <w:r>
        <w:rPr>
          <w:rFonts w:hint="eastAsia" w:cs="Times New Roman"/>
          <w:sz w:val="24"/>
          <w:lang w:val="en-US" w:eastAsia="zh-CN"/>
        </w:rPr>
        <w:t xml:space="preserve"> </w:t>
      </w:r>
      <w:r>
        <w:rPr>
          <w:rFonts w:hint="eastAsia" w:ascii="Times New Roman" w:hAnsi="Times New Roman" w:cs="Times New Roman"/>
          <w:sz w:val="24"/>
        </w:rPr>
        <w:t>(A) SDS-PAGE result for rhBNP under different tryptone</w:t>
      </w:r>
      <w:r>
        <w:rPr>
          <w:rFonts w:hint="default" w:ascii="Times New Roman" w:hAnsi="Times New Roman" w:cs="Times New Roman"/>
          <w:b w:val="0"/>
          <w:bCs w:val="0"/>
          <w:sz w:val="24"/>
          <w:szCs w:val="24"/>
          <w:lang w:val="en-US" w:eastAsia="zh-CN"/>
        </w:rPr>
        <w:t>–</w:t>
      </w:r>
      <w:r>
        <w:rPr>
          <w:rFonts w:hint="eastAsia" w:ascii="Times New Roman" w:hAnsi="Times New Roman" w:cs="Times New Roman"/>
          <w:sz w:val="24"/>
        </w:rPr>
        <w:t>yeast</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extract ratio. (B) SDS-PAGE results for rhBNP under different phosphate buffer concentration. (C) SDS-PAGE result for rhBNP under different glucose concentration. (D) SDS-PAGE results for rhBNP under different ammonium sulfate concentration.</w:t>
      </w:r>
    </w:p>
    <w:p w14:paraId="4F5460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66B6C7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56F418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77B634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3A48E7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2127E2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7EFD7B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7F56AC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5525C0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107D47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22EFDA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0F521A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527FDA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r>
        <w:rPr>
          <w:rFonts w:hint="eastAsia" w:ascii="Times New Roman" w:hAnsi="Times New Roman" w:cs="Times New Roman"/>
          <w:b w:val="0"/>
          <w:bCs w:val="0"/>
          <w:sz w:val="24"/>
          <w:szCs w:val="24"/>
          <w:vertAlign w:val="baseline"/>
          <w:lang w:val="en-US" w:eastAsia="zh-CN"/>
        </w:rPr>
        <w:drawing>
          <wp:inline distT="0" distB="0" distL="114300" distR="114300">
            <wp:extent cx="5289550" cy="1762125"/>
            <wp:effectExtent l="0" t="0" r="6350" b="3175"/>
            <wp:docPr id="12" name="图片 12" descr="上罐蛋白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上罐蛋白总"/>
                    <pic:cNvPicPr>
                      <a:picLocks noChangeAspect="1"/>
                    </pic:cNvPicPr>
                  </pic:nvPicPr>
                  <pic:blipFill>
                    <a:blip r:embed="rId16"/>
                    <a:srcRect l="1995" t="4556" b="5741"/>
                    <a:stretch>
                      <a:fillRect/>
                    </a:stretch>
                  </pic:blipFill>
                  <pic:spPr>
                    <a:xfrm>
                      <a:off x="0" y="0"/>
                      <a:ext cx="5289550" cy="1762125"/>
                    </a:xfrm>
                    <a:prstGeom prst="rect">
                      <a:avLst/>
                    </a:prstGeom>
                  </pic:spPr>
                </pic:pic>
              </a:graphicData>
            </a:graphic>
          </wp:inline>
        </w:drawing>
      </w:r>
    </w:p>
    <w:p w14:paraId="50DCAB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b/>
          <w:bCs w:val="0"/>
          <w:color w:val="000000" w:themeColor="text1"/>
          <w:szCs w:val="24"/>
          <w:lang w:val="en-US" w:eastAsia="zh-CN"/>
          <w14:textFill>
            <w14:solidFill>
              <w14:schemeClr w14:val="tx1"/>
            </w14:solidFill>
          </w14:textFill>
        </w:rPr>
        <w:t xml:space="preserve">Fig. S13. </w:t>
      </w:r>
      <w:r>
        <w:rPr>
          <w:rFonts w:hint="eastAsia" w:cs="Times New Roman"/>
          <w:b w:val="0"/>
          <w:bCs w:val="0"/>
          <w:lang w:val="en-US" w:eastAsia="zh-CN"/>
        </w:rPr>
        <w:t xml:space="preserve">SDS-PAGE results for cSAT-rhBNP and rhBNP after 3-L fermentation. (A) SDS-PAGE result for cSAT-rhBNP after 3-L fermentation. (B) SDS-PAGE result for rhBNP after 3-L fermentation. MI, MII: </w:t>
      </w:r>
      <w:r>
        <w:rPr>
          <w:bCs/>
          <w:color w:val="000000" w:themeColor="text1"/>
          <w:szCs w:val="24"/>
          <w14:textFill>
            <w14:solidFill>
              <w14:schemeClr w14:val="tx1"/>
            </w14:solidFill>
          </w14:textFill>
        </w:rPr>
        <w:t>protein marker</w:t>
      </w:r>
      <w:r>
        <w:rPr>
          <w:rFonts w:hint="eastAsia"/>
          <w:bCs/>
          <w:color w:val="000000" w:themeColor="text1"/>
          <w:szCs w:val="24"/>
          <w:lang w:val="en-US" w:eastAsia="zh-CN"/>
          <w14:textFill>
            <w14:solidFill>
              <w14:schemeClr w14:val="tx1"/>
            </w14:solidFill>
          </w14:textFill>
        </w:rPr>
        <w:t xml:space="preserve">; </w:t>
      </w:r>
      <w:r>
        <w:rPr>
          <w:bCs/>
          <w:color w:val="000000" w:themeColor="text1"/>
          <w:szCs w:val="24"/>
          <w14:textFill>
            <w14:solidFill>
              <w14:schemeClr w14:val="tx1"/>
            </w14:solidFill>
          </w14:textFill>
        </w:rPr>
        <w:t>EP: precipitate of the cell lysate after expression</w:t>
      </w:r>
      <w:r>
        <w:rPr>
          <w:rFonts w:hint="eastAsia"/>
          <w:bCs/>
          <w:color w:val="000000" w:themeColor="text1"/>
          <w:szCs w:val="24"/>
          <w:lang w:val="en-US" w:eastAsia="zh-CN"/>
          <w14:textFill>
            <w14:solidFill>
              <w14:schemeClr w14:val="tx1"/>
            </w14:solidFill>
          </w14:textFill>
        </w:rPr>
        <w:t>;</w:t>
      </w:r>
      <w:r>
        <w:rPr>
          <w:bCs/>
          <w:color w:val="000000" w:themeColor="text1"/>
          <w:szCs w:val="24"/>
          <w14:textFill>
            <w14:solidFill>
              <w14:schemeClr w14:val="tx1"/>
            </w14:solidFill>
          </w14:textFill>
        </w:rPr>
        <w:t xml:space="preserve"> CP: precipitate of intein-mediated cleavage</w:t>
      </w:r>
      <w:r>
        <w:rPr>
          <w:rFonts w:hint="eastAsia"/>
          <w:bCs/>
          <w:color w:val="000000" w:themeColor="text1"/>
          <w:szCs w:val="24"/>
          <w:lang w:val="en-US" w:eastAsia="zh-CN"/>
          <w14:textFill>
            <w14:solidFill>
              <w14:schemeClr w14:val="tx1"/>
            </w14:solidFill>
          </w14:textFill>
        </w:rPr>
        <w:t>;</w:t>
      </w:r>
      <w:r>
        <w:rPr>
          <w:bCs/>
          <w:color w:val="000000" w:themeColor="text1"/>
          <w:szCs w:val="24"/>
          <w14:textFill>
            <w14:solidFill>
              <w14:schemeClr w14:val="tx1"/>
            </w14:solidFill>
          </w14:textFill>
        </w:rPr>
        <w:t xml:space="preserve"> CS: supernatant of intein-mediated cleavage</w:t>
      </w:r>
      <w:r>
        <w:rPr>
          <w:rFonts w:hint="eastAsia"/>
          <w:bCs/>
          <w:color w:val="000000" w:themeColor="text1"/>
          <w:szCs w:val="24"/>
          <w:lang w:val="en-US" w:eastAsia="zh-CN"/>
          <w14:textFill>
            <w14:solidFill>
              <w14:schemeClr w14:val="tx1"/>
            </w14:solidFill>
          </w14:textFill>
        </w:rPr>
        <w:t>; ES: supernatant of the cell lysate after expression. The BSA standard concentrations I-IV were 2.0 mg/mL, 1.0 mg/mL, 0.5mg/mL, 0.25mg/mL. The Aprotinin standard concentrations I-IV were 0.5 mg/mL, 0.25 mg/mL, 0.125 mg/mL, 0.0625mg/mL.</w:t>
      </w:r>
    </w:p>
    <w:p w14:paraId="7C3E2D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72AC1D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7218A9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0D1AA9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1A9EC5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70083F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15F2C4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737B5C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3A9B83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171BA8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567015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2C669F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31C43E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4AA743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488672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sz w:val="24"/>
          <w:szCs w:val="24"/>
          <w:vertAlign w:val="baseline"/>
          <w:lang w:val="en-US" w:eastAsia="zh-CN"/>
        </w:rPr>
      </w:pPr>
    </w:p>
    <w:p w14:paraId="765947F6">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0" w:firstLineChars="0"/>
        <w:jc w:val="both"/>
        <w:textAlignment w:val="auto"/>
        <w:rPr>
          <w:rFonts w:hint="default" w:ascii="Times New Roman" w:hAnsi="Times New Roman" w:cs="Times New Roman"/>
          <w:b/>
          <w:bCs/>
          <w:sz w:val="24"/>
          <w:szCs w:val="24"/>
          <w:vertAlign w:val="baseline"/>
          <w:lang w:val="en-US" w:eastAsia="zh-CN"/>
        </w:rPr>
      </w:pPr>
      <w:r>
        <w:rPr>
          <w:rFonts w:hint="eastAsia" w:cs="Times New Roman"/>
          <w:b/>
          <w:bCs/>
          <w:sz w:val="24"/>
          <w:szCs w:val="24"/>
          <w:vertAlign w:val="baseline"/>
          <w:lang w:val="en-US" w:eastAsia="zh-CN"/>
        </w:rPr>
        <w:t>Supplemental Tables</w:t>
      </w:r>
    </w:p>
    <w:p w14:paraId="384E8F7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r>
        <w:rPr>
          <w:rFonts w:hint="eastAsia" w:cs="Times New Roman"/>
          <w:b/>
          <w:bCs/>
          <w:sz w:val="24"/>
          <w:szCs w:val="24"/>
          <w:vertAlign w:val="baseline"/>
          <w:lang w:val="en-US" w:eastAsia="zh-CN"/>
        </w:rPr>
        <w:t>Table S1. Amino acid sequence used in this study.</w:t>
      </w:r>
    </w:p>
    <w:tbl>
      <w:tblPr>
        <w:tblStyle w:val="3"/>
        <w:tblW w:w="4591" w:type="pct"/>
        <w:jc w:val="center"/>
        <w:tblLayout w:type="fixed"/>
        <w:tblCellMar>
          <w:top w:w="0" w:type="dxa"/>
          <w:left w:w="108" w:type="dxa"/>
          <w:bottom w:w="0" w:type="dxa"/>
          <w:right w:w="108" w:type="dxa"/>
        </w:tblCellMar>
      </w:tblPr>
      <w:tblGrid>
        <w:gridCol w:w="1513"/>
        <w:gridCol w:w="5416"/>
        <w:gridCol w:w="896"/>
      </w:tblGrid>
      <w:tr w14:paraId="78AD2E9B">
        <w:tblPrEx>
          <w:tblCellMar>
            <w:top w:w="0" w:type="dxa"/>
            <w:left w:w="108" w:type="dxa"/>
            <w:bottom w:w="0" w:type="dxa"/>
            <w:right w:w="108" w:type="dxa"/>
          </w:tblCellMar>
        </w:tblPrEx>
        <w:trPr>
          <w:jc w:val="center"/>
        </w:trPr>
        <w:tc>
          <w:tcPr>
            <w:tcW w:w="966" w:type="pct"/>
            <w:tcBorders>
              <w:top w:val="single" w:color="auto" w:sz="12" w:space="0"/>
              <w:bottom w:val="single" w:color="auto" w:sz="12" w:space="0"/>
            </w:tcBorders>
            <w:shd w:val="clear" w:color="auto" w:fill="auto"/>
            <w:vAlign w:val="center"/>
          </w:tcPr>
          <w:p w14:paraId="48E15F43">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Protein name</w:t>
            </w:r>
          </w:p>
        </w:tc>
        <w:tc>
          <w:tcPr>
            <w:tcW w:w="3460" w:type="pct"/>
            <w:tcBorders>
              <w:top w:val="single" w:color="auto" w:sz="12" w:space="0"/>
              <w:bottom w:val="single" w:color="auto" w:sz="12" w:space="0"/>
            </w:tcBorders>
            <w:shd w:val="clear" w:color="auto" w:fill="auto"/>
            <w:vAlign w:val="center"/>
          </w:tcPr>
          <w:p w14:paraId="21AEFFD0">
            <w:pPr>
              <w:widowControl/>
              <w:spacing w:before="60" w:after="60"/>
              <w:jc w:val="both"/>
              <w:rPr>
                <w:rFonts w:hint="default"/>
                <w:color w:val="000000" w:themeColor="text1"/>
                <w:kern w:val="0"/>
                <w:szCs w:val="24"/>
                <w:lang w:val="en-US"/>
                <w14:textFill>
                  <w14:solidFill>
                    <w14:schemeClr w14:val="tx1"/>
                  </w14:solidFill>
                </w14:textFill>
              </w:rPr>
            </w:pPr>
            <w:r>
              <w:rPr>
                <w:rFonts w:hint="eastAsia" w:cs="Times New Roman"/>
                <w:color w:val="000000" w:themeColor="text1"/>
                <w:kern w:val="0"/>
                <w:szCs w:val="24"/>
                <w:lang w:val="en-US" w:eastAsia="zh-CN"/>
                <w14:textFill>
                  <w14:solidFill>
                    <w14:schemeClr w14:val="tx1"/>
                  </w14:solidFill>
                </w14:textFill>
              </w:rPr>
              <w:t>Sequence</w:t>
            </w:r>
          </w:p>
        </w:tc>
        <w:tc>
          <w:tcPr>
            <w:tcW w:w="572" w:type="pct"/>
            <w:tcBorders>
              <w:top w:val="single" w:color="auto" w:sz="12" w:space="0"/>
              <w:bottom w:val="single" w:color="auto" w:sz="12" w:space="0"/>
            </w:tcBorders>
            <w:shd w:val="clear" w:color="auto" w:fill="auto"/>
            <w:vAlign w:val="center"/>
          </w:tcPr>
          <w:p w14:paraId="27FD3DB0">
            <w:pPr>
              <w:widowControl/>
              <w:spacing w:before="60" w:after="60"/>
              <w:jc w:val="both"/>
              <w:rPr>
                <w:rFonts w:hint="default"/>
                <w:color w:val="000000" w:themeColor="text1"/>
                <w:kern w:val="0"/>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Source</w:t>
            </w:r>
          </w:p>
        </w:tc>
      </w:tr>
      <w:tr w14:paraId="298B726B">
        <w:tblPrEx>
          <w:tblCellMar>
            <w:top w:w="0" w:type="dxa"/>
            <w:left w:w="108" w:type="dxa"/>
            <w:bottom w:w="0" w:type="dxa"/>
            <w:right w:w="108" w:type="dxa"/>
          </w:tblCellMar>
        </w:tblPrEx>
        <w:trPr>
          <w:jc w:val="center"/>
        </w:trPr>
        <w:tc>
          <w:tcPr>
            <w:tcW w:w="966" w:type="pct"/>
            <w:tcBorders>
              <w:top w:val="single" w:color="auto" w:sz="12" w:space="0"/>
            </w:tcBorders>
            <w:shd w:val="clear" w:color="auto" w:fill="auto"/>
            <w:vAlign w:val="center"/>
          </w:tcPr>
          <w:p w14:paraId="40374202">
            <w:pPr>
              <w:widowControl/>
              <w:spacing w:before="60" w:after="60"/>
              <w:jc w:val="both"/>
              <w:rPr>
                <w:rFonts w:hint="default" w:eastAsia="宋体"/>
                <w:color w:val="000000" w:themeColor="text1"/>
                <w:szCs w:val="24"/>
                <w:vertAlign w:val="baseline"/>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L</w:t>
            </w:r>
            <w:r>
              <w:rPr>
                <w:rFonts w:hint="eastAsia"/>
                <w:color w:val="000000" w:themeColor="text1"/>
                <w:szCs w:val="24"/>
                <w:vertAlign w:val="subscript"/>
                <w:lang w:val="en-US" w:eastAsia="zh-CN"/>
                <w14:textFill>
                  <w14:solidFill>
                    <w14:schemeClr w14:val="tx1"/>
                  </w14:solidFill>
                </w14:textFill>
              </w:rPr>
              <w:t>6</w:t>
            </w:r>
            <w:r>
              <w:rPr>
                <w:rFonts w:hint="eastAsia"/>
                <w:color w:val="000000" w:themeColor="text1"/>
                <w:szCs w:val="24"/>
                <w:vertAlign w:val="baseline"/>
                <w:lang w:val="en-US" w:eastAsia="zh-CN"/>
                <w14:textFill>
                  <w14:solidFill>
                    <w14:schemeClr w14:val="tx1"/>
                  </w14:solidFill>
                </w14:textFill>
              </w:rPr>
              <w:t>KD</w:t>
            </w:r>
          </w:p>
        </w:tc>
        <w:tc>
          <w:tcPr>
            <w:tcW w:w="3460" w:type="pct"/>
            <w:tcBorders>
              <w:top w:val="single" w:color="auto" w:sz="12" w:space="0"/>
            </w:tcBorders>
            <w:shd w:val="clear" w:color="auto" w:fill="auto"/>
            <w:vAlign w:val="center"/>
          </w:tcPr>
          <w:p w14:paraId="361DE093">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LLLLLLKD</w:t>
            </w:r>
          </w:p>
        </w:tc>
        <w:tc>
          <w:tcPr>
            <w:tcW w:w="572" w:type="pct"/>
            <w:tcBorders>
              <w:top w:val="single" w:color="auto" w:sz="12" w:space="0"/>
            </w:tcBorders>
            <w:vAlign w:val="center"/>
          </w:tcPr>
          <w:p w14:paraId="5C8FC2E4">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w:t>
            </w:r>
          </w:p>
        </w:tc>
      </w:tr>
      <w:tr w14:paraId="0747DD26">
        <w:tblPrEx>
          <w:tblCellMar>
            <w:top w:w="0" w:type="dxa"/>
            <w:left w:w="108" w:type="dxa"/>
            <w:bottom w:w="0" w:type="dxa"/>
            <w:right w:w="108" w:type="dxa"/>
          </w:tblCellMar>
        </w:tblPrEx>
        <w:trPr>
          <w:jc w:val="center"/>
        </w:trPr>
        <w:tc>
          <w:tcPr>
            <w:tcW w:w="966" w:type="pct"/>
            <w:shd w:val="clear" w:color="auto" w:fill="auto"/>
            <w:vAlign w:val="center"/>
          </w:tcPr>
          <w:p w14:paraId="1AE1BF1E">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PT Linker</w:t>
            </w:r>
          </w:p>
        </w:tc>
        <w:tc>
          <w:tcPr>
            <w:tcW w:w="3460" w:type="pct"/>
            <w:shd w:val="clear" w:color="auto" w:fill="auto"/>
            <w:vAlign w:val="center"/>
          </w:tcPr>
          <w:p w14:paraId="433CFE24">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Ansi="Times New Roman"/>
              </w:rPr>
              <w:t>PTPPTTPTPPTTPTPTP</w:t>
            </w:r>
          </w:p>
        </w:tc>
        <w:tc>
          <w:tcPr>
            <w:tcW w:w="572" w:type="pct"/>
            <w:vAlign w:val="center"/>
          </w:tcPr>
          <w:p w14:paraId="17A40CB6">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[2]</w:t>
            </w:r>
          </w:p>
        </w:tc>
      </w:tr>
      <w:tr w14:paraId="332B4B8B">
        <w:tblPrEx>
          <w:tblCellMar>
            <w:top w:w="0" w:type="dxa"/>
            <w:left w:w="108" w:type="dxa"/>
            <w:bottom w:w="0" w:type="dxa"/>
            <w:right w:w="108" w:type="dxa"/>
          </w:tblCellMar>
        </w:tblPrEx>
        <w:trPr>
          <w:trHeight w:val="90" w:hRule="atLeast"/>
          <w:jc w:val="center"/>
        </w:trPr>
        <w:tc>
          <w:tcPr>
            <w:tcW w:w="966" w:type="pct"/>
            <w:shd w:val="clear" w:color="auto" w:fill="auto"/>
            <w:vAlign w:val="center"/>
          </w:tcPr>
          <w:p w14:paraId="230C44B4">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Mtu ΔI-CM intein</w:t>
            </w:r>
          </w:p>
        </w:tc>
        <w:tc>
          <w:tcPr>
            <w:tcW w:w="3460" w:type="pct"/>
            <w:shd w:val="clear" w:color="auto" w:fill="auto"/>
            <w:vAlign w:val="center"/>
          </w:tcPr>
          <w:p w14:paraId="5F9EA30D">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Ansi="Times New Roman"/>
              </w:rPr>
              <w:t>ALAEGTRIFDPVTGTTHRIEDVVDGRKPIHVVAAAKDGTLHARPVVSWFDQGTRDVIGLRIAGGAILWATPDHKVLTEYGWRAAGELRKGDRVAQPRRFDGFGDSAPIPARVQALADALDDKFLHDMLAEELRYSVIREVLPTRRARTFGLEVEELHTLVAEGVVVHN</w:t>
            </w:r>
          </w:p>
        </w:tc>
        <w:tc>
          <w:tcPr>
            <w:tcW w:w="572" w:type="pct"/>
            <w:vAlign w:val="center"/>
          </w:tcPr>
          <w:p w14:paraId="6CE7BC10">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[2]</w:t>
            </w:r>
          </w:p>
        </w:tc>
      </w:tr>
      <w:tr w14:paraId="4BB942EB">
        <w:tblPrEx>
          <w:tblCellMar>
            <w:top w:w="0" w:type="dxa"/>
            <w:left w:w="108" w:type="dxa"/>
            <w:bottom w:w="0" w:type="dxa"/>
            <w:right w:w="108" w:type="dxa"/>
          </w:tblCellMar>
        </w:tblPrEx>
        <w:trPr>
          <w:jc w:val="center"/>
        </w:trPr>
        <w:tc>
          <w:tcPr>
            <w:tcW w:w="966" w:type="pct"/>
            <w:tcBorders>
              <w:bottom w:val="single" w:color="auto" w:sz="12" w:space="0"/>
            </w:tcBorders>
            <w:shd w:val="clear" w:color="auto" w:fill="auto"/>
            <w:vAlign w:val="center"/>
          </w:tcPr>
          <w:p w14:paraId="64EAA7B9">
            <w:pPr>
              <w:widowControl/>
              <w:spacing w:before="60" w:after="60"/>
              <w:jc w:val="both"/>
              <w:rPr>
                <w:rFonts w:hint="default"/>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rhBNP</w:t>
            </w:r>
          </w:p>
        </w:tc>
        <w:tc>
          <w:tcPr>
            <w:tcW w:w="3460" w:type="pct"/>
            <w:tcBorders>
              <w:bottom w:val="single" w:color="auto" w:sz="12" w:space="0"/>
            </w:tcBorders>
            <w:shd w:val="clear" w:color="auto" w:fill="auto"/>
            <w:vAlign w:val="center"/>
          </w:tcPr>
          <w:p w14:paraId="35BA3F9E">
            <w:pPr>
              <w:widowControl/>
              <w:spacing w:before="60" w:after="60"/>
              <w:jc w:val="both"/>
              <w:rPr>
                <w:rFonts w:hint="default"/>
                <w:color w:val="000000" w:themeColor="text1"/>
                <w:szCs w:val="24"/>
                <w:lang w:val="en-US" w:eastAsia="zh-CN"/>
                <w14:textFill>
                  <w14:solidFill>
                    <w14:schemeClr w14:val="tx1"/>
                  </w14:solidFill>
                </w14:textFill>
              </w:rPr>
            </w:pPr>
            <w:r>
              <w:rPr>
                <w:rFonts w:hAnsi="Times New Roman"/>
              </w:rPr>
              <w:t>SPKMVQGSGCFGRKMDRISSSSGLGCKVLRRH</w:t>
            </w:r>
          </w:p>
        </w:tc>
        <w:tc>
          <w:tcPr>
            <w:tcW w:w="572" w:type="pct"/>
            <w:tcBorders>
              <w:bottom w:val="single" w:color="auto" w:sz="12" w:space="0"/>
            </w:tcBorders>
            <w:vAlign w:val="center"/>
          </w:tcPr>
          <w:p w14:paraId="692819C5">
            <w:pPr>
              <w:widowControl/>
              <w:spacing w:before="60" w:after="60"/>
              <w:jc w:val="both"/>
              <w:rPr>
                <w:rFonts w:hint="default"/>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[3]</w:t>
            </w:r>
          </w:p>
        </w:tc>
      </w:tr>
    </w:tbl>
    <w:p w14:paraId="73F01A5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11459C8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0C09E54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0FE191E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55A276E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2C5AC9B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28B4867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0C8002E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4C94FAB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0947F47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528FF2B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6605A48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6A96AD1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0ADE9A9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cs="Times New Roman"/>
          <w:b/>
          <w:bCs/>
          <w:sz w:val="24"/>
          <w:szCs w:val="24"/>
          <w:vertAlign w:val="baseline"/>
          <w:lang w:val="en-US" w:eastAsia="zh-CN"/>
        </w:rPr>
      </w:pPr>
    </w:p>
    <w:p w14:paraId="1271E4A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r>
        <w:rPr>
          <w:rFonts w:hint="eastAsia" w:cs="Times New Roman"/>
          <w:b/>
          <w:bCs/>
          <w:sz w:val="24"/>
          <w:szCs w:val="24"/>
          <w:vertAlign w:val="baseline"/>
          <w:lang w:val="en-US" w:eastAsia="zh-CN"/>
        </w:rPr>
        <w:t>Table S2. qPCR primers used in this study.</w:t>
      </w:r>
    </w:p>
    <w:tbl>
      <w:tblPr>
        <w:tblStyle w:val="3"/>
        <w:tblW w:w="9180" w:type="dxa"/>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76"/>
        <w:gridCol w:w="3969"/>
        <w:gridCol w:w="2835"/>
      </w:tblGrid>
      <w:tr w14:paraId="112555A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tcBorders>
              <w:top w:val="single" w:color="auto" w:sz="12" w:space="0"/>
              <w:bottom w:val="single" w:color="auto" w:sz="12" w:space="0"/>
            </w:tcBorders>
            <w:shd w:val="clear" w:color="auto" w:fill="auto"/>
            <w:noWrap/>
          </w:tcPr>
          <w:p w14:paraId="6A5071DF">
            <w:pPr>
              <w:widowControl/>
              <w:jc w:val="both"/>
              <w:rPr>
                <w:rFonts w:eastAsia="Times New Roman"/>
                <w:color w:val="000000" w:themeColor="text1"/>
                <w:kern w:val="0"/>
                <w:szCs w:val="24"/>
                <w14:textFill>
                  <w14:solidFill>
                    <w14:schemeClr w14:val="tx1"/>
                  </w14:solidFill>
                </w14:textFill>
              </w:rPr>
            </w:pPr>
            <w:r>
              <w:rPr>
                <w:rFonts w:eastAsia="Times New Roman"/>
                <w:color w:val="000000" w:themeColor="text1"/>
                <w:kern w:val="0"/>
                <w:szCs w:val="24"/>
                <w14:textFill>
                  <w14:solidFill>
                    <w14:schemeClr w14:val="tx1"/>
                  </w14:solidFill>
                </w14:textFill>
              </w:rPr>
              <w:t>Primer name</w:t>
            </w:r>
          </w:p>
        </w:tc>
        <w:tc>
          <w:tcPr>
            <w:tcW w:w="3969" w:type="dxa"/>
            <w:tcBorders>
              <w:top w:val="single" w:color="auto" w:sz="12" w:space="0"/>
              <w:bottom w:val="single" w:color="auto" w:sz="12" w:space="0"/>
            </w:tcBorders>
            <w:shd w:val="clear" w:color="auto" w:fill="auto"/>
            <w:noWrap/>
          </w:tcPr>
          <w:p w14:paraId="2B2D584C">
            <w:pPr>
              <w:widowControl/>
              <w:jc w:val="both"/>
              <w:rPr>
                <w:rFonts w:eastAsia="Times New Roman"/>
                <w:color w:val="000000" w:themeColor="text1"/>
                <w:kern w:val="0"/>
                <w:szCs w:val="24"/>
                <w14:textFill>
                  <w14:solidFill>
                    <w14:schemeClr w14:val="tx1"/>
                  </w14:solidFill>
                </w14:textFill>
              </w:rPr>
            </w:pPr>
            <w:r>
              <w:rPr>
                <w:rFonts w:eastAsia="Times New Roman"/>
                <w:color w:val="000000" w:themeColor="text1"/>
                <w:kern w:val="0"/>
                <w:szCs w:val="24"/>
                <w14:textFill>
                  <w14:solidFill>
                    <w14:schemeClr w14:val="tx1"/>
                  </w14:solidFill>
                </w14:textFill>
              </w:rPr>
              <w:t>Sequence (5’-3’)</w:t>
            </w:r>
          </w:p>
        </w:tc>
        <w:tc>
          <w:tcPr>
            <w:tcW w:w="2835" w:type="dxa"/>
            <w:tcBorders>
              <w:top w:val="single" w:color="auto" w:sz="12" w:space="0"/>
              <w:bottom w:val="single" w:color="auto" w:sz="12" w:space="0"/>
            </w:tcBorders>
            <w:shd w:val="clear" w:color="auto" w:fill="auto"/>
            <w:noWrap/>
          </w:tcPr>
          <w:p w14:paraId="05A11EC0">
            <w:pPr>
              <w:widowControl/>
              <w:jc w:val="both"/>
              <w:rPr>
                <w:rFonts w:eastAsia="Times New Roman"/>
                <w:color w:val="000000" w:themeColor="text1"/>
                <w:kern w:val="0"/>
                <w:szCs w:val="24"/>
                <w14:textFill>
                  <w14:solidFill>
                    <w14:schemeClr w14:val="tx1"/>
                  </w14:solidFill>
                </w14:textFill>
              </w:rPr>
            </w:pPr>
            <w:r>
              <w:rPr>
                <w:rFonts w:eastAsia="Times New Roman"/>
                <w:color w:val="000000" w:themeColor="text1"/>
                <w:kern w:val="0"/>
                <w:szCs w:val="24"/>
                <w14:textFill>
                  <w14:solidFill>
                    <w14:schemeClr w14:val="tx1"/>
                  </w14:solidFill>
                </w14:textFill>
              </w:rPr>
              <w:t>Description</w:t>
            </w:r>
          </w:p>
        </w:tc>
      </w:tr>
      <w:tr w14:paraId="4CFBB3D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2376" w:type="dxa"/>
            <w:tcBorders>
              <w:top w:val="single" w:color="auto" w:sz="12" w:space="0"/>
              <w:bottom w:val="nil"/>
            </w:tcBorders>
            <w:shd w:val="clear" w:color="auto" w:fill="auto"/>
            <w:noWrap/>
          </w:tcPr>
          <w:p w14:paraId="6053164B">
            <w:pPr>
              <w:widowControl/>
              <w:jc w:val="both"/>
              <w:rPr>
                <w:rFonts w:hint="default" w:eastAsia="宋体"/>
                <w:color w:val="000000" w:themeColor="text1"/>
                <w:kern w:val="0"/>
                <w:szCs w:val="24"/>
                <w:lang w:val="en-US" w:eastAsia="zh-CN"/>
                <w14:textFill>
                  <w14:solidFill>
                    <w14:schemeClr w14:val="tx1"/>
                  </w14:solidFill>
                </w14:textFill>
              </w:rPr>
            </w:pPr>
            <w:r>
              <w:rPr>
                <w:rFonts w:hint="eastAsia"/>
                <w:i/>
                <w:iCs/>
                <w:color w:val="000000" w:themeColor="text1"/>
                <w:kern w:val="0"/>
                <w:szCs w:val="24"/>
                <w:lang w:val="en-US" w:eastAsia="zh-CN"/>
                <w14:textFill>
                  <w14:solidFill>
                    <w14:schemeClr w14:val="tx1"/>
                  </w14:solidFill>
                </w14:textFill>
              </w:rPr>
              <w:t>E.coli</w:t>
            </w:r>
            <w:r>
              <w:rPr>
                <w:rFonts w:hint="eastAsia"/>
                <w:color w:val="000000" w:themeColor="text1"/>
                <w:kern w:val="0"/>
                <w:szCs w:val="24"/>
                <w:lang w:val="en-US" w:eastAsia="zh-CN"/>
                <w14:textFill>
                  <w14:solidFill>
                    <w14:schemeClr w14:val="tx1"/>
                  </w14:solidFill>
                </w14:textFill>
              </w:rPr>
              <w:t xml:space="preserve"> </w:t>
            </w:r>
            <w:r>
              <w:rPr>
                <w:rFonts w:hint="eastAsia"/>
                <w:i/>
                <w:iCs/>
                <w:color w:val="000000" w:themeColor="text1"/>
                <w:kern w:val="0"/>
                <w:szCs w:val="24"/>
                <w:lang w:val="en-US" w:eastAsia="zh-CN"/>
                <w14:textFill>
                  <w14:solidFill>
                    <w14:schemeClr w14:val="tx1"/>
                  </w14:solidFill>
                </w14:textFill>
              </w:rPr>
              <w:t>gyrA</w:t>
            </w:r>
            <w:r>
              <w:rPr>
                <w:rFonts w:hint="eastAsia"/>
                <w:color w:val="000000" w:themeColor="text1"/>
                <w:kern w:val="0"/>
                <w:szCs w:val="24"/>
                <w:lang w:val="en-US" w:eastAsia="zh-CN"/>
                <w14:textFill>
                  <w14:solidFill>
                    <w14:schemeClr w14:val="tx1"/>
                  </w14:solidFill>
                </w14:textFill>
              </w:rPr>
              <w:t>-F</w:t>
            </w:r>
          </w:p>
        </w:tc>
        <w:tc>
          <w:tcPr>
            <w:tcW w:w="3969" w:type="dxa"/>
            <w:tcBorders>
              <w:top w:val="single" w:color="auto" w:sz="12" w:space="0"/>
              <w:bottom w:val="nil"/>
            </w:tcBorders>
            <w:shd w:val="clear" w:color="auto" w:fill="auto"/>
            <w:noWrap/>
          </w:tcPr>
          <w:p w14:paraId="6E8B3168">
            <w:pPr>
              <w:widowControl/>
              <w:jc w:val="both"/>
              <w:rPr>
                <w:rFonts w:eastAsia="Times New Roman"/>
                <w:color w:val="000000" w:themeColor="text1"/>
                <w:kern w:val="0"/>
                <w:szCs w:val="24"/>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AATACCCAACCAAGTCGCGT</w:t>
            </w:r>
          </w:p>
        </w:tc>
        <w:tc>
          <w:tcPr>
            <w:tcW w:w="2835" w:type="dxa"/>
            <w:vMerge w:val="restart"/>
            <w:tcBorders>
              <w:top w:val="single" w:color="auto" w:sz="12" w:space="0"/>
              <w:bottom w:val="nil"/>
            </w:tcBorders>
            <w:shd w:val="clear" w:color="auto" w:fill="auto"/>
            <w:noWrap/>
          </w:tcPr>
          <w:p w14:paraId="6CF34DC7">
            <w:pPr>
              <w:widowControl/>
              <w:jc w:val="both"/>
              <w:rPr>
                <w:rFonts w:eastAsia="Times New Roman"/>
                <w:color w:val="000000" w:themeColor="text1"/>
                <w:kern w:val="0"/>
                <w:szCs w:val="24"/>
                <w14:textFill>
                  <w14:solidFill>
                    <w14:schemeClr w14:val="tx1"/>
                  </w14:solidFill>
                </w14:textFill>
              </w:rPr>
            </w:pPr>
            <w:r>
              <w:rPr>
                <w:rFonts w:hint="default" w:ascii="Times New Roman" w:hAnsi="Times New Roman" w:eastAsia="Times New Roman" w:cs="Times New Roman"/>
                <w:color w:val="000000" w:themeColor="text1"/>
                <w:kern w:val="0"/>
                <w:szCs w:val="24"/>
                <w14:textFill>
                  <w14:solidFill>
                    <w14:schemeClr w14:val="tx1"/>
                  </w14:solidFill>
                </w14:textFill>
              </w:rPr>
              <w:t>Reference (housekeeping) gene for ΔΔCq normalization</w:t>
            </w:r>
          </w:p>
        </w:tc>
      </w:tr>
      <w:tr w14:paraId="34EDC1B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2376" w:type="dxa"/>
            <w:tcBorders>
              <w:top w:val="nil"/>
            </w:tcBorders>
            <w:shd w:val="clear" w:color="auto" w:fill="auto"/>
            <w:noWrap/>
            <w:vAlign w:val="top"/>
          </w:tcPr>
          <w:p w14:paraId="6F2E41BF">
            <w:pPr>
              <w:widowControl/>
              <w:jc w:val="both"/>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i/>
                <w:iCs/>
                <w:color w:val="000000" w:themeColor="text1"/>
                <w:kern w:val="0"/>
                <w:szCs w:val="24"/>
                <w:lang w:val="en-US" w:eastAsia="zh-CN"/>
                <w14:textFill>
                  <w14:solidFill>
                    <w14:schemeClr w14:val="tx1"/>
                  </w14:solidFill>
                </w14:textFill>
              </w:rPr>
              <w:t>E.coli gyrA</w:t>
            </w:r>
            <w:r>
              <w:rPr>
                <w:rFonts w:hint="eastAsia"/>
                <w:color w:val="000000" w:themeColor="text1"/>
                <w:kern w:val="0"/>
                <w:szCs w:val="24"/>
                <w:lang w:val="en-US" w:eastAsia="zh-CN"/>
                <w14:textFill>
                  <w14:solidFill>
                    <w14:schemeClr w14:val="tx1"/>
                  </w14:solidFill>
                </w14:textFill>
              </w:rPr>
              <w:t>-R</w:t>
            </w:r>
          </w:p>
        </w:tc>
        <w:tc>
          <w:tcPr>
            <w:tcW w:w="3969" w:type="dxa"/>
            <w:tcBorders>
              <w:top w:val="nil"/>
            </w:tcBorders>
            <w:shd w:val="clear" w:color="auto" w:fill="auto"/>
            <w:noWrap/>
          </w:tcPr>
          <w:p w14:paraId="5C9D4102">
            <w:pPr>
              <w:widowControl/>
              <w:jc w:val="both"/>
              <w:rPr>
                <w:color w:val="000000" w:themeColor="text1"/>
                <w:szCs w:val="24"/>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TCGCAGTCATCTACCTGCAC</w:t>
            </w:r>
          </w:p>
        </w:tc>
        <w:tc>
          <w:tcPr>
            <w:tcW w:w="2835" w:type="dxa"/>
            <w:vMerge w:val="continue"/>
            <w:tcBorders>
              <w:top w:val="nil"/>
            </w:tcBorders>
            <w:shd w:val="clear" w:color="auto" w:fill="auto"/>
            <w:noWrap/>
          </w:tcPr>
          <w:p w14:paraId="17D3D70D">
            <w:pPr>
              <w:widowControl/>
              <w:jc w:val="both"/>
              <w:rPr>
                <w:rFonts w:eastAsia="Times New Roman"/>
                <w:caps/>
                <w:color w:val="000000" w:themeColor="text1"/>
                <w:kern w:val="0"/>
                <w:szCs w:val="24"/>
                <w14:textFill>
                  <w14:solidFill>
                    <w14:schemeClr w14:val="tx1"/>
                  </w14:solidFill>
                </w14:textFill>
              </w:rPr>
            </w:pPr>
          </w:p>
        </w:tc>
      </w:tr>
      <w:tr w14:paraId="357071E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trPr>
        <w:tc>
          <w:tcPr>
            <w:tcW w:w="2376" w:type="dxa"/>
            <w:shd w:val="clear" w:color="auto" w:fill="auto"/>
            <w:noWrap/>
          </w:tcPr>
          <w:p w14:paraId="202DB24C">
            <w:pPr>
              <w:widowControl/>
              <w:jc w:val="both"/>
              <w:rPr>
                <w:rFonts w:hint="default" w:eastAsia="宋体"/>
                <w:color w:val="000000" w:themeColor="text1"/>
                <w:kern w:val="0"/>
                <w:szCs w:val="24"/>
                <w:lang w:val="en-US" w:eastAsia="zh-CN"/>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gcvT</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141DCA28">
            <w:pPr>
              <w:widowControl/>
              <w:jc w:val="both"/>
              <w:rPr>
                <w:rFonts w:eastAsia="Times New Roman"/>
                <w:color w:val="000000" w:themeColor="text1"/>
                <w:kern w:val="0"/>
                <w:szCs w:val="24"/>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AACCGGCAGATCGTGACTTT</w:t>
            </w:r>
          </w:p>
        </w:tc>
        <w:tc>
          <w:tcPr>
            <w:tcW w:w="2835" w:type="dxa"/>
            <w:vMerge w:val="restart"/>
            <w:shd w:val="clear" w:color="auto" w:fill="auto"/>
            <w:noWrap/>
          </w:tcPr>
          <w:p w14:paraId="55E10B04">
            <w:pPr>
              <w:widowControl/>
              <w:jc w:val="both"/>
              <w:rPr>
                <w:rFonts w:eastAsia="Times New Roman"/>
                <w:color w:val="000000" w:themeColor="text1"/>
                <w:kern w:val="0"/>
                <w:szCs w:val="24"/>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aminomethyltransferase (GCS T-protein)</w:t>
            </w:r>
            <w:r>
              <w:rPr>
                <w:rFonts w:hint="default" w:ascii="Times New Roman" w:hAnsi="Times New Roman" w:eastAsia="宋体" w:cs="Times New Roman"/>
                <w:b w:val="0"/>
                <w:bCs w:val="0"/>
                <w:sz w:val="24"/>
                <w:szCs w:val="24"/>
              </w:rPr>
              <w:t xml:space="preserve"> to monitor </w:t>
            </w:r>
            <w:r>
              <w:rPr>
                <w:rStyle w:val="5"/>
                <w:rFonts w:hint="default" w:ascii="Times New Roman" w:hAnsi="Times New Roman" w:eastAsia="宋体" w:cs="Times New Roman"/>
                <w:b w:val="0"/>
                <w:bCs w:val="0"/>
                <w:sz w:val="24"/>
                <w:szCs w:val="24"/>
              </w:rPr>
              <w:t>glycine-cleavage flux</w:t>
            </w:r>
            <w:r>
              <w:rPr>
                <w:rFonts w:hint="default" w:ascii="Times New Roman" w:hAnsi="Times New Roman" w:eastAsia="宋体" w:cs="Times New Roman"/>
                <w:b w:val="0"/>
                <w:bCs w:val="0"/>
                <w:sz w:val="24"/>
                <w:szCs w:val="24"/>
              </w:rPr>
              <w:t xml:space="preserve"> linked to C/N rewiring and alkalinization</w:t>
            </w:r>
          </w:p>
        </w:tc>
      </w:tr>
      <w:tr w14:paraId="54D9961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tcPr>
          <w:p w14:paraId="35CF1991">
            <w:pPr>
              <w:widowControl/>
              <w:jc w:val="both"/>
              <w:rPr>
                <w:rFonts w:hint="default" w:eastAsia="Times New Roman"/>
                <w:color w:val="000000" w:themeColor="text1"/>
                <w:kern w:val="0"/>
                <w:szCs w:val="24"/>
                <w:lang w:val="en-US"/>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gcvT</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6514974E">
            <w:pPr>
              <w:widowControl/>
              <w:jc w:val="both"/>
              <w:rPr>
                <w:rFonts w:eastAsia="Times New Roman"/>
                <w:caps/>
                <w:color w:val="000000" w:themeColor="text1"/>
                <w:kern w:val="0"/>
                <w:szCs w:val="24"/>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TTACGCAGCACGCCTTTTTC</w:t>
            </w:r>
          </w:p>
        </w:tc>
        <w:tc>
          <w:tcPr>
            <w:tcW w:w="2835" w:type="dxa"/>
            <w:vMerge w:val="continue"/>
            <w:shd w:val="clear" w:color="auto" w:fill="auto"/>
            <w:noWrap/>
          </w:tcPr>
          <w:p w14:paraId="61FD7E0D">
            <w:pPr>
              <w:widowControl/>
              <w:jc w:val="both"/>
              <w:rPr>
                <w:rFonts w:eastAsia="Times New Roman"/>
                <w:caps/>
                <w:color w:val="000000" w:themeColor="text1"/>
                <w:kern w:val="0"/>
                <w:szCs w:val="24"/>
                <w14:textFill>
                  <w14:solidFill>
                    <w14:schemeClr w14:val="tx1"/>
                  </w14:solidFill>
                </w14:textFill>
              </w:rPr>
            </w:pPr>
          </w:p>
        </w:tc>
      </w:tr>
      <w:tr w14:paraId="417470A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2376" w:type="dxa"/>
            <w:shd w:val="clear" w:color="auto" w:fill="auto"/>
            <w:noWrap/>
          </w:tcPr>
          <w:p w14:paraId="3A5F89E8">
            <w:pPr>
              <w:widowControl/>
              <w:jc w:val="both"/>
              <w:rPr>
                <w:color w:val="000000" w:themeColor="text1"/>
                <w:szCs w:val="24"/>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gcvP</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7E3A60CB">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CCAGGTTAAAGCCGGTGTCT</w:t>
            </w:r>
          </w:p>
        </w:tc>
        <w:tc>
          <w:tcPr>
            <w:tcW w:w="2835" w:type="dxa"/>
            <w:vMerge w:val="restart"/>
            <w:shd w:val="clear" w:color="auto" w:fill="auto"/>
            <w:noWrap/>
          </w:tcPr>
          <w:p w14:paraId="20A051F2">
            <w:pPr>
              <w:jc w:val="both"/>
              <w:rPr>
                <w:color w:val="000000" w:themeColor="text1"/>
                <w:szCs w:val="24"/>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glycine decarboxylase P-protein</w:t>
            </w:r>
            <w:r>
              <w:rPr>
                <w:rFonts w:hint="default" w:ascii="Times New Roman" w:hAnsi="Times New Roman" w:eastAsia="宋体" w:cs="Times New Roman"/>
                <w:b w:val="0"/>
                <w:bCs w:val="0"/>
                <w:sz w:val="24"/>
                <w:szCs w:val="24"/>
              </w:rPr>
              <w:t xml:space="preserve"> to assess </w:t>
            </w:r>
            <w:r>
              <w:rPr>
                <w:rStyle w:val="5"/>
                <w:rFonts w:hint="default" w:ascii="Times New Roman" w:hAnsi="Times New Roman" w:eastAsia="宋体" w:cs="Times New Roman"/>
                <w:b w:val="0"/>
                <w:bCs w:val="0"/>
                <w:sz w:val="24"/>
                <w:szCs w:val="24"/>
              </w:rPr>
              <w:t>GCS entry step</w:t>
            </w:r>
            <w:r>
              <w:rPr>
                <w:rFonts w:hint="default" w:ascii="Times New Roman" w:hAnsi="Times New Roman" w:eastAsia="宋体" w:cs="Times New Roman"/>
                <w:b w:val="0"/>
                <w:bCs w:val="0"/>
                <w:sz w:val="24"/>
                <w:szCs w:val="24"/>
              </w:rPr>
              <w:t xml:space="preserve"> and its contribution to intracellular pH shift</w:t>
            </w:r>
          </w:p>
        </w:tc>
      </w:tr>
      <w:tr w14:paraId="424878D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vAlign w:val="top"/>
          </w:tcPr>
          <w:p w14:paraId="2B138CCB">
            <w:pPr>
              <w:widowControl/>
              <w:jc w:val="both"/>
              <w:rPr>
                <w:rFonts w:hint="default" w:ascii="Times New Roman" w:hAnsi="Times New Roman" w:eastAsia="Times New Roman" w:cs="Times New Roman"/>
                <w:color w:val="000000" w:themeColor="text1"/>
                <w:kern w:val="0"/>
                <w:sz w:val="24"/>
                <w:szCs w:val="24"/>
                <w:lang w:val="en-US" w:eastAsia="zh-CN" w:bidi="ar-SA"/>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gcvP</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vAlign w:val="center"/>
          </w:tcPr>
          <w:p w14:paraId="280D0976">
            <w:pPr>
              <w:keepNext w:val="0"/>
              <w:keepLines w:val="0"/>
              <w:widowControl/>
              <w:suppressLineNumbers w:val="0"/>
              <w:jc w:val="both"/>
              <w:textAlignment w:val="bottom"/>
              <w:rPr>
                <w:color w:val="000000" w:themeColor="text1"/>
                <w:szCs w:val="24"/>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ACTGCAACTTCACGGCTGTA</w:t>
            </w:r>
          </w:p>
        </w:tc>
        <w:tc>
          <w:tcPr>
            <w:tcW w:w="2835" w:type="dxa"/>
            <w:vMerge w:val="continue"/>
            <w:shd w:val="clear" w:color="auto" w:fill="auto"/>
            <w:noWrap/>
          </w:tcPr>
          <w:p w14:paraId="1730B2CF">
            <w:pPr>
              <w:widowControl/>
              <w:jc w:val="both"/>
              <w:rPr>
                <w:rFonts w:eastAsia="Times New Roman"/>
                <w:caps/>
                <w:color w:val="000000" w:themeColor="text1"/>
                <w:kern w:val="0"/>
                <w:szCs w:val="24"/>
                <w14:textFill>
                  <w14:solidFill>
                    <w14:schemeClr w14:val="tx1"/>
                  </w14:solidFill>
                </w14:textFill>
              </w:rPr>
            </w:pPr>
          </w:p>
        </w:tc>
      </w:tr>
      <w:tr w14:paraId="6B3C5E0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2376" w:type="dxa"/>
            <w:shd w:val="clear" w:color="auto" w:fill="auto"/>
            <w:noWrap/>
          </w:tcPr>
          <w:p w14:paraId="7151323D">
            <w:pPr>
              <w:widowControl/>
              <w:jc w:val="both"/>
              <w:rPr>
                <w:color w:val="000000" w:themeColor="text1"/>
                <w:szCs w:val="24"/>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gcvH</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53012F57">
            <w:pPr>
              <w:widowControl/>
              <w:jc w:val="both"/>
              <w:rPr>
                <w:color w:val="000000" w:themeColor="text1"/>
                <w:szCs w:val="24"/>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TAAACGACGCACTGAGCGAT</w:t>
            </w:r>
          </w:p>
        </w:tc>
        <w:tc>
          <w:tcPr>
            <w:tcW w:w="2835" w:type="dxa"/>
            <w:vMerge w:val="restart"/>
            <w:shd w:val="clear" w:color="auto" w:fill="auto"/>
            <w:noWrap/>
          </w:tcPr>
          <w:p w14:paraId="6F820D12">
            <w:pPr>
              <w:widowControl/>
              <w:jc w:val="both"/>
              <w:rPr>
                <w:rFonts w:hint="eastAsia" w:eastAsia="宋体"/>
                <w:caps/>
                <w:color w:val="000000" w:themeColor="text1"/>
                <w:kern w:val="0"/>
                <w:szCs w:val="24"/>
                <w:lang w:val="en-US" w:eastAsia="zh-CN"/>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lipoamide carrier (GCS H-protein)</w:t>
            </w:r>
            <w:r>
              <w:rPr>
                <w:rFonts w:hint="default" w:ascii="Times New Roman" w:hAnsi="Times New Roman" w:eastAsia="宋体" w:cs="Times New Roman"/>
                <w:b w:val="0"/>
                <w:bCs w:val="0"/>
                <w:sz w:val="24"/>
                <w:szCs w:val="24"/>
              </w:rPr>
              <w:t xml:space="preserve"> to track </w:t>
            </w:r>
            <w:r>
              <w:rPr>
                <w:rStyle w:val="5"/>
                <w:rFonts w:hint="default" w:ascii="Times New Roman" w:hAnsi="Times New Roman" w:eastAsia="宋体" w:cs="Times New Roman"/>
                <w:b w:val="0"/>
                <w:bCs w:val="0"/>
                <w:sz w:val="24"/>
                <w:szCs w:val="24"/>
              </w:rPr>
              <w:t>cofactor-shuttling capacity</w:t>
            </w:r>
            <w:r>
              <w:rPr>
                <w:rFonts w:hint="default" w:ascii="Times New Roman" w:hAnsi="Times New Roman" w:eastAsia="宋体" w:cs="Times New Roman"/>
                <w:b w:val="0"/>
                <w:bCs w:val="0"/>
                <w:sz w:val="24"/>
                <w:szCs w:val="24"/>
              </w:rPr>
              <w:t xml:space="preserve"> within the glycine-cleavage system</w:t>
            </w:r>
          </w:p>
        </w:tc>
      </w:tr>
      <w:tr w14:paraId="540E2C2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2376" w:type="dxa"/>
            <w:shd w:val="clear" w:color="auto" w:fill="auto"/>
            <w:noWrap/>
            <w:vAlign w:val="top"/>
          </w:tcPr>
          <w:p w14:paraId="05F0215E">
            <w:pPr>
              <w:widowControl/>
              <w:jc w:val="both"/>
              <w:rPr>
                <w:color w:val="000000" w:themeColor="text1"/>
                <w:szCs w:val="24"/>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gcvH</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vAlign w:val="center"/>
          </w:tcPr>
          <w:p w14:paraId="683CB923">
            <w:pPr>
              <w:keepNext w:val="0"/>
              <w:keepLines w:val="0"/>
              <w:widowControl/>
              <w:suppressLineNumbers w:val="0"/>
              <w:jc w:val="both"/>
              <w:textAlignment w:val="center"/>
              <w:rPr>
                <w:color w:val="000000" w:themeColor="text1"/>
                <w:szCs w:val="24"/>
                <w:lang w:val="en-GB" w:eastAsia="en-GB"/>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CAATGCTTCGTATGCGGTCG</w:t>
            </w:r>
          </w:p>
        </w:tc>
        <w:tc>
          <w:tcPr>
            <w:tcW w:w="2835" w:type="dxa"/>
            <w:vMerge w:val="continue"/>
            <w:shd w:val="clear" w:color="auto" w:fill="auto"/>
            <w:noWrap/>
          </w:tcPr>
          <w:p w14:paraId="7C975112">
            <w:pPr>
              <w:widowControl/>
              <w:jc w:val="both"/>
              <w:rPr>
                <w:rFonts w:eastAsia="Times New Roman"/>
                <w:caps/>
                <w:color w:val="000000" w:themeColor="text1"/>
                <w:kern w:val="0"/>
                <w:szCs w:val="24"/>
                <w14:textFill>
                  <w14:solidFill>
                    <w14:schemeClr w14:val="tx1"/>
                  </w14:solidFill>
                </w14:textFill>
              </w:rPr>
            </w:pPr>
          </w:p>
        </w:tc>
      </w:tr>
      <w:tr w14:paraId="64F9A24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376" w:type="dxa"/>
            <w:shd w:val="clear" w:color="auto" w:fill="auto"/>
            <w:noWrap/>
          </w:tcPr>
          <w:p w14:paraId="3EC1B84D">
            <w:pPr>
              <w:widowControl/>
              <w:jc w:val="both"/>
              <w:rPr>
                <w:color w:val="000000" w:themeColor="text1"/>
                <w:szCs w:val="24"/>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aspA</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28C848C7">
            <w:pPr>
              <w:widowControl/>
              <w:jc w:val="both"/>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CGGTCTGGAACTGATGGGTC</w:t>
            </w:r>
          </w:p>
        </w:tc>
        <w:tc>
          <w:tcPr>
            <w:tcW w:w="2835" w:type="dxa"/>
            <w:vMerge w:val="restart"/>
            <w:shd w:val="clear" w:color="auto" w:fill="auto"/>
            <w:noWrap/>
          </w:tcPr>
          <w:p w14:paraId="269CB5DD">
            <w:pPr>
              <w:jc w:val="both"/>
              <w:rPr>
                <w:rFonts w:eastAsia="Times New Roman"/>
                <w:caps/>
                <w:color w:val="000000" w:themeColor="text1"/>
                <w:kern w:val="0"/>
                <w:szCs w:val="24"/>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aspartate ammonia-lyase</w:t>
            </w:r>
            <w:r>
              <w:rPr>
                <w:rFonts w:hint="default" w:ascii="Times New Roman" w:hAnsi="Times New Roman" w:eastAsia="宋体" w:cs="Times New Roman"/>
                <w:b w:val="0"/>
                <w:bCs w:val="0"/>
                <w:sz w:val="24"/>
                <w:szCs w:val="24"/>
              </w:rPr>
              <w:t xml:space="preserve"> (Asp → fumarate + NH</w:t>
            </w:r>
            <w:r>
              <w:rPr>
                <w:rFonts w:hint="eastAsia" w:cs="Times New Roman"/>
                <w:b w:val="0"/>
                <w:bCs w:val="0"/>
                <w:sz w:val="24"/>
                <w:szCs w:val="24"/>
                <w:vertAlign w:val="subscript"/>
                <w:lang w:val="en-US" w:eastAsia="zh-CN"/>
              </w:rPr>
              <w:t>3</w:t>
            </w:r>
            <w:r>
              <w:rPr>
                <w:rFonts w:hint="default" w:ascii="Times New Roman" w:hAnsi="Times New Roman" w:eastAsia="宋体" w:cs="Times New Roman"/>
                <w:b w:val="0"/>
                <w:bCs w:val="0"/>
                <w:sz w:val="24"/>
                <w:szCs w:val="24"/>
              </w:rPr>
              <w:t xml:space="preserve">) to gauge </w:t>
            </w:r>
            <w:r>
              <w:rPr>
                <w:rStyle w:val="5"/>
                <w:rFonts w:hint="default" w:ascii="Times New Roman" w:hAnsi="Times New Roman" w:eastAsia="宋体" w:cs="Times New Roman"/>
                <w:b w:val="0"/>
                <w:bCs w:val="0"/>
                <w:sz w:val="24"/>
                <w:szCs w:val="24"/>
              </w:rPr>
              <w:t>TCA influx and ammonia release</w:t>
            </w:r>
            <w:r>
              <w:rPr>
                <w:rFonts w:hint="default" w:ascii="Times New Roman" w:hAnsi="Times New Roman" w:eastAsia="宋体" w:cs="Times New Roman"/>
                <w:b w:val="0"/>
                <w:bCs w:val="0"/>
                <w:sz w:val="24"/>
                <w:szCs w:val="24"/>
              </w:rPr>
              <w:t xml:space="preserve"> under induction</w:t>
            </w:r>
          </w:p>
        </w:tc>
      </w:tr>
      <w:tr w14:paraId="580FBA4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tcPr>
          <w:p w14:paraId="57D319BD">
            <w:pPr>
              <w:widowControl/>
              <w:jc w:val="both"/>
              <w:rPr>
                <w:color w:val="000000" w:themeColor="text1"/>
                <w:szCs w:val="24"/>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aspA</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588F5E58">
            <w:pPr>
              <w:widowControl/>
              <w:jc w:val="both"/>
              <w:rPr>
                <w:color w:val="000000" w:themeColor="text1"/>
                <w:szCs w:val="24"/>
                <w14:textFill>
                  <w14:solidFill>
                    <w14:schemeClr w14:val="tx1"/>
                  </w14:solidFill>
                </w14:textFill>
              </w:rPr>
            </w:pPr>
            <w:r>
              <w:rPr>
                <w:rFonts w:hint="eastAsia"/>
                <w:color w:val="000000" w:themeColor="text1"/>
                <w:szCs w:val="24"/>
                <w:lang w:val="en-GB" w:eastAsia="en-GB"/>
                <w14:textFill>
                  <w14:solidFill>
                    <w14:schemeClr w14:val="tx1"/>
                  </w14:solidFill>
                </w14:textFill>
              </w:rPr>
              <w:t>AGCCTTCACGCAGTTGGTTA</w:t>
            </w:r>
          </w:p>
        </w:tc>
        <w:tc>
          <w:tcPr>
            <w:tcW w:w="2835" w:type="dxa"/>
            <w:vMerge w:val="continue"/>
            <w:shd w:val="clear" w:color="auto" w:fill="auto"/>
            <w:noWrap/>
          </w:tcPr>
          <w:p w14:paraId="0F234B62">
            <w:pPr>
              <w:widowControl/>
              <w:jc w:val="both"/>
              <w:rPr>
                <w:rFonts w:eastAsia="Times New Roman"/>
                <w:caps/>
                <w:color w:val="000000" w:themeColor="text1"/>
                <w:kern w:val="0"/>
                <w:szCs w:val="24"/>
                <w14:textFill>
                  <w14:solidFill>
                    <w14:schemeClr w14:val="tx1"/>
                  </w14:solidFill>
                </w14:textFill>
              </w:rPr>
            </w:pPr>
          </w:p>
        </w:tc>
      </w:tr>
      <w:tr w14:paraId="58BD694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2376" w:type="dxa"/>
            <w:shd w:val="clear" w:color="auto" w:fill="auto"/>
            <w:noWrap/>
          </w:tcPr>
          <w:p w14:paraId="6E6A212A">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dadA</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78872D42">
            <w:pPr>
              <w:widowControl/>
              <w:jc w:val="both"/>
              <w:rPr>
                <w:color w:val="000000" w:themeColor="text1"/>
                <w:szCs w:val="24"/>
                <w:lang w:val="en-GB" w:eastAsia="en-GB"/>
                <w14:textFill>
                  <w14:solidFill>
                    <w14:schemeClr w14:val="tx1"/>
                  </w14:solidFill>
                </w14:textFill>
              </w:rPr>
            </w:pPr>
            <w:r>
              <w:rPr>
                <w:rFonts w:hint="eastAsia"/>
                <w:sz w:val="24"/>
                <w:szCs w:val="24"/>
                <w:lang w:val="en-US" w:eastAsia="zh-CN"/>
              </w:rPr>
              <w:t>TGAAACCGGAGACTGTCAGC</w:t>
            </w:r>
          </w:p>
        </w:tc>
        <w:tc>
          <w:tcPr>
            <w:tcW w:w="2835" w:type="dxa"/>
            <w:vMerge w:val="restart"/>
            <w:shd w:val="clear" w:color="auto" w:fill="auto"/>
            <w:noWrap/>
          </w:tcPr>
          <w:p w14:paraId="74E0377B">
            <w:pPr>
              <w:widowControl/>
              <w:jc w:val="both"/>
              <w:rPr>
                <w:rFonts w:eastAsia="Times New Roman"/>
                <w:caps/>
                <w:color w:val="000000" w:themeColor="text1"/>
                <w:kern w:val="0"/>
                <w:szCs w:val="24"/>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D-amino-acid dehydrogenase (FAD-dependent)</w:t>
            </w:r>
            <w:r>
              <w:rPr>
                <w:rFonts w:hint="default" w:ascii="Times New Roman" w:hAnsi="Times New Roman" w:eastAsia="宋体" w:cs="Times New Roman"/>
                <w:b w:val="0"/>
                <w:bCs w:val="0"/>
                <w:sz w:val="24"/>
                <w:szCs w:val="24"/>
              </w:rPr>
              <w:t xml:space="preserve"> to monitor </w:t>
            </w:r>
            <w:r>
              <w:rPr>
                <w:rStyle w:val="5"/>
                <w:rFonts w:hint="default" w:ascii="Times New Roman" w:hAnsi="Times New Roman" w:eastAsia="宋体" w:cs="Times New Roman"/>
                <w:b w:val="0"/>
                <w:bCs w:val="0"/>
                <w:sz w:val="24"/>
                <w:szCs w:val="24"/>
              </w:rPr>
              <w:t>amino-acid deamination/NH</w:t>
            </w:r>
            <w:r>
              <w:rPr>
                <w:rStyle w:val="5"/>
                <w:rFonts w:hint="eastAsia" w:cs="Times New Roman"/>
                <w:b w:val="0"/>
                <w:bCs w:val="0"/>
                <w:sz w:val="24"/>
                <w:szCs w:val="24"/>
                <w:vertAlign w:val="subscript"/>
                <w:lang w:val="en-US" w:eastAsia="zh-CN"/>
              </w:rPr>
              <w:t>3</w:t>
            </w:r>
            <w:r>
              <w:rPr>
                <w:rStyle w:val="5"/>
                <w:rFonts w:hint="default" w:ascii="Times New Roman" w:hAnsi="Times New Roman" w:eastAsia="宋体" w:cs="Times New Roman"/>
                <w:b w:val="0"/>
                <w:bCs w:val="0"/>
                <w:sz w:val="24"/>
                <w:szCs w:val="24"/>
              </w:rPr>
              <w:t xml:space="preserve"> generation</w:t>
            </w:r>
            <w:r>
              <w:rPr>
                <w:rFonts w:hint="default" w:ascii="Times New Roman" w:hAnsi="Times New Roman" w:eastAsia="宋体" w:cs="Times New Roman"/>
                <w:b w:val="0"/>
                <w:bCs w:val="0"/>
                <w:sz w:val="24"/>
                <w:szCs w:val="24"/>
              </w:rPr>
              <w:t xml:space="preserve"> impacting proton balance</w:t>
            </w:r>
          </w:p>
        </w:tc>
      </w:tr>
      <w:tr w14:paraId="0CBD6B0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tcPr>
          <w:p w14:paraId="757CFC3E">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dadA</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56E5D7D9">
            <w:pPr>
              <w:widowControl/>
              <w:jc w:val="both"/>
              <w:rPr>
                <w:color w:val="000000" w:themeColor="text1"/>
                <w:szCs w:val="24"/>
                <w:lang w:val="en-GB" w:eastAsia="en-GB"/>
                <w14:textFill>
                  <w14:solidFill>
                    <w14:schemeClr w14:val="tx1"/>
                  </w14:solidFill>
                </w14:textFill>
              </w:rPr>
            </w:pPr>
            <w:r>
              <w:rPr>
                <w:rFonts w:hint="eastAsia"/>
                <w:sz w:val="24"/>
                <w:szCs w:val="24"/>
                <w:lang w:val="en-US" w:eastAsia="zh-CN"/>
              </w:rPr>
              <w:t>ATCACATACGCATCGGCCTT</w:t>
            </w:r>
          </w:p>
        </w:tc>
        <w:tc>
          <w:tcPr>
            <w:tcW w:w="2835" w:type="dxa"/>
            <w:vMerge w:val="continue"/>
            <w:shd w:val="clear" w:color="auto" w:fill="auto"/>
            <w:noWrap/>
          </w:tcPr>
          <w:p w14:paraId="4A968D74">
            <w:pPr>
              <w:widowControl/>
              <w:jc w:val="both"/>
              <w:rPr>
                <w:rFonts w:eastAsia="Times New Roman"/>
                <w:caps/>
                <w:color w:val="000000" w:themeColor="text1"/>
                <w:kern w:val="0"/>
                <w:szCs w:val="24"/>
                <w14:textFill>
                  <w14:solidFill>
                    <w14:schemeClr w14:val="tx1"/>
                  </w14:solidFill>
                </w14:textFill>
              </w:rPr>
            </w:pPr>
          </w:p>
        </w:tc>
      </w:tr>
      <w:tr w14:paraId="7461E88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4" w:hRule="atLeast"/>
        </w:trPr>
        <w:tc>
          <w:tcPr>
            <w:tcW w:w="2376" w:type="dxa"/>
            <w:shd w:val="clear" w:color="auto" w:fill="auto"/>
            <w:noWrap/>
            <w:vAlign w:val="top"/>
          </w:tcPr>
          <w:p w14:paraId="59BF440E">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astB</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19A2B17E">
            <w:pPr>
              <w:widowControl/>
              <w:jc w:val="both"/>
              <w:rPr>
                <w:color w:val="000000" w:themeColor="text1"/>
                <w:szCs w:val="24"/>
                <w:lang w:val="en-GB" w:eastAsia="en-GB"/>
                <w14:textFill>
                  <w14:solidFill>
                    <w14:schemeClr w14:val="tx1"/>
                  </w14:solidFill>
                </w14:textFill>
              </w:rPr>
            </w:pPr>
            <w:r>
              <w:rPr>
                <w:rFonts w:hint="eastAsia"/>
                <w:sz w:val="24"/>
                <w:szCs w:val="24"/>
                <w:lang w:val="en-US" w:eastAsia="zh-CN"/>
              </w:rPr>
              <w:t>TACCCGTCACCGTTTTCAGG</w:t>
            </w:r>
          </w:p>
        </w:tc>
        <w:tc>
          <w:tcPr>
            <w:tcW w:w="2835" w:type="dxa"/>
            <w:vMerge w:val="restart"/>
            <w:shd w:val="clear" w:color="auto" w:fill="auto"/>
            <w:noWrap/>
          </w:tcPr>
          <w:p w14:paraId="117FF18A">
            <w:pPr>
              <w:widowControl/>
              <w:jc w:val="both"/>
              <w:rPr>
                <w:rFonts w:eastAsia="Times New Roman"/>
                <w:caps/>
                <w:color w:val="000000" w:themeColor="text1"/>
                <w:kern w:val="0"/>
                <w:szCs w:val="24"/>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succinylornithine transaminase (Arginine succinyltransferase pathway)</w:t>
            </w:r>
            <w:r>
              <w:rPr>
                <w:rFonts w:hint="default" w:ascii="Times New Roman" w:hAnsi="Times New Roman" w:eastAsia="宋体" w:cs="Times New Roman"/>
                <w:b w:val="0"/>
                <w:bCs w:val="0"/>
                <w:sz w:val="24"/>
                <w:szCs w:val="24"/>
              </w:rPr>
              <w:t xml:space="preserve"> to track </w:t>
            </w:r>
            <w:r>
              <w:rPr>
                <w:rStyle w:val="5"/>
                <w:rFonts w:hint="default" w:ascii="Times New Roman" w:hAnsi="Times New Roman" w:eastAsia="宋体" w:cs="Times New Roman"/>
                <w:b w:val="0"/>
                <w:bCs w:val="0"/>
                <w:sz w:val="24"/>
                <w:szCs w:val="24"/>
              </w:rPr>
              <w:t>Arg-catabolism → succinate</w:t>
            </w:r>
            <w:r>
              <w:rPr>
                <w:rFonts w:hint="default" w:ascii="Times New Roman" w:hAnsi="Times New Roman" w:eastAsia="宋体" w:cs="Times New Roman"/>
                <w:b w:val="0"/>
                <w:bCs w:val="0"/>
                <w:sz w:val="24"/>
                <w:szCs w:val="24"/>
              </w:rPr>
              <w:t xml:space="preserve"> coupling</w:t>
            </w:r>
          </w:p>
        </w:tc>
      </w:tr>
      <w:tr w14:paraId="222E04E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vAlign w:val="top"/>
          </w:tcPr>
          <w:p w14:paraId="6B22D2D1">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astB</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31FE904A">
            <w:pPr>
              <w:widowControl/>
              <w:jc w:val="both"/>
              <w:rPr>
                <w:color w:val="000000" w:themeColor="text1"/>
                <w:szCs w:val="24"/>
                <w:lang w:val="en-GB" w:eastAsia="en-GB"/>
                <w14:textFill>
                  <w14:solidFill>
                    <w14:schemeClr w14:val="tx1"/>
                  </w14:solidFill>
                </w14:textFill>
              </w:rPr>
            </w:pPr>
            <w:r>
              <w:rPr>
                <w:rFonts w:hint="eastAsia"/>
                <w:sz w:val="24"/>
                <w:szCs w:val="24"/>
                <w:lang w:val="en-US" w:eastAsia="zh-CN"/>
              </w:rPr>
              <w:t>GACGCAGCACCGGAATAAAC</w:t>
            </w:r>
          </w:p>
        </w:tc>
        <w:tc>
          <w:tcPr>
            <w:tcW w:w="2835" w:type="dxa"/>
            <w:vMerge w:val="continue"/>
            <w:shd w:val="clear" w:color="auto" w:fill="auto"/>
            <w:noWrap/>
          </w:tcPr>
          <w:p w14:paraId="0DF2442C">
            <w:pPr>
              <w:widowControl/>
              <w:jc w:val="both"/>
              <w:rPr>
                <w:rFonts w:eastAsia="Times New Roman"/>
                <w:caps/>
                <w:color w:val="000000" w:themeColor="text1"/>
                <w:kern w:val="0"/>
                <w:szCs w:val="24"/>
                <w14:textFill>
                  <w14:solidFill>
                    <w14:schemeClr w14:val="tx1"/>
                  </w14:solidFill>
                </w14:textFill>
              </w:rPr>
            </w:pPr>
          </w:p>
        </w:tc>
      </w:tr>
      <w:tr w14:paraId="2747C20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8" w:hRule="atLeast"/>
        </w:trPr>
        <w:tc>
          <w:tcPr>
            <w:tcW w:w="2376" w:type="dxa"/>
            <w:shd w:val="clear" w:color="auto" w:fill="auto"/>
            <w:noWrap/>
            <w:vAlign w:val="top"/>
          </w:tcPr>
          <w:p w14:paraId="5A7FFA19">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gdhA</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7AAA708A">
            <w:pPr>
              <w:widowControl/>
              <w:jc w:val="both"/>
              <w:rPr>
                <w:color w:val="000000" w:themeColor="text1"/>
                <w:szCs w:val="24"/>
                <w:lang w:val="en-GB" w:eastAsia="en-GB"/>
                <w14:textFill>
                  <w14:solidFill>
                    <w14:schemeClr w14:val="tx1"/>
                  </w14:solidFill>
                </w14:textFill>
              </w:rPr>
            </w:pPr>
            <w:r>
              <w:rPr>
                <w:rFonts w:hint="eastAsia"/>
                <w:sz w:val="24"/>
                <w:szCs w:val="24"/>
                <w:lang w:val="en-US" w:eastAsia="zh-CN"/>
              </w:rPr>
              <w:t>AAATGCCCTGACTACCCTGC</w:t>
            </w:r>
          </w:p>
        </w:tc>
        <w:tc>
          <w:tcPr>
            <w:tcW w:w="2835" w:type="dxa"/>
            <w:vMerge w:val="restart"/>
            <w:shd w:val="clear" w:color="auto" w:fill="auto"/>
            <w:noWrap/>
          </w:tcPr>
          <w:p w14:paraId="77AC47B4">
            <w:pPr>
              <w:widowControl/>
              <w:jc w:val="both"/>
              <w:rPr>
                <w:rFonts w:hint="default" w:ascii="Times New Roman" w:hAnsi="Times New Roman" w:eastAsia="Times New Roman" w:cs="Times New Roman"/>
                <w:b w:val="0"/>
                <w:bCs w:val="0"/>
                <w:caps/>
                <w:color w:val="000000" w:themeColor="text1"/>
                <w:kern w:val="0"/>
                <w:szCs w:val="24"/>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NADP-dependent glutamate dehydrogenase</w:t>
            </w:r>
            <w:r>
              <w:rPr>
                <w:rFonts w:hint="default" w:ascii="Times New Roman" w:hAnsi="Times New Roman" w:eastAsia="宋体" w:cs="Times New Roman"/>
                <w:b w:val="0"/>
                <w:bCs w:val="0"/>
                <w:sz w:val="24"/>
                <w:szCs w:val="24"/>
              </w:rPr>
              <w:t xml:space="preserve"> to assess </w:t>
            </w:r>
            <w:r>
              <w:rPr>
                <w:rStyle w:val="5"/>
                <w:rFonts w:hint="default" w:ascii="Times New Roman" w:hAnsi="Times New Roman" w:eastAsia="宋体" w:cs="Times New Roman"/>
                <w:b w:val="0"/>
                <w:bCs w:val="0"/>
                <w:sz w:val="24"/>
                <w:szCs w:val="24"/>
              </w:rPr>
              <w:t>NH₄⁺ assimilation (α-KG→Glu) and NADPH demand</w:t>
            </w:r>
            <w:r>
              <w:rPr>
                <w:rFonts w:hint="default" w:ascii="Times New Roman" w:hAnsi="Times New Roman" w:eastAsia="宋体" w:cs="Times New Roman"/>
                <w:b w:val="0"/>
                <w:bCs w:val="0"/>
                <w:sz w:val="24"/>
                <w:szCs w:val="24"/>
              </w:rPr>
              <w:t xml:space="preserve"> relevant to pH homeostasis</w:t>
            </w:r>
          </w:p>
        </w:tc>
      </w:tr>
      <w:tr w14:paraId="52F4AC7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vAlign w:val="top"/>
          </w:tcPr>
          <w:p w14:paraId="06EC115E">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gdhA</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2962EFCF">
            <w:pPr>
              <w:widowControl/>
              <w:jc w:val="both"/>
              <w:rPr>
                <w:color w:val="000000" w:themeColor="text1"/>
                <w:szCs w:val="24"/>
                <w:lang w:val="en-GB" w:eastAsia="en-GB"/>
                <w14:textFill>
                  <w14:solidFill>
                    <w14:schemeClr w14:val="tx1"/>
                  </w14:solidFill>
                </w14:textFill>
              </w:rPr>
            </w:pPr>
            <w:r>
              <w:rPr>
                <w:rFonts w:hint="eastAsia"/>
                <w:sz w:val="24"/>
                <w:szCs w:val="24"/>
                <w:lang w:val="en-US" w:eastAsia="zh-CN"/>
              </w:rPr>
              <w:t>GCTTTTTCATCATCCCCGCC</w:t>
            </w:r>
          </w:p>
        </w:tc>
        <w:tc>
          <w:tcPr>
            <w:tcW w:w="2835" w:type="dxa"/>
            <w:vMerge w:val="continue"/>
            <w:shd w:val="clear" w:color="auto" w:fill="auto"/>
            <w:noWrap/>
          </w:tcPr>
          <w:p w14:paraId="53969591">
            <w:pPr>
              <w:widowControl/>
              <w:jc w:val="both"/>
              <w:rPr>
                <w:rFonts w:eastAsia="Times New Roman"/>
                <w:caps/>
                <w:color w:val="000000" w:themeColor="text1"/>
                <w:kern w:val="0"/>
                <w:szCs w:val="24"/>
                <w14:textFill>
                  <w14:solidFill>
                    <w14:schemeClr w14:val="tx1"/>
                  </w14:solidFill>
                </w14:textFill>
              </w:rPr>
            </w:pPr>
          </w:p>
        </w:tc>
      </w:tr>
      <w:tr w14:paraId="7F9ECFD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vAlign w:val="top"/>
          </w:tcPr>
          <w:p w14:paraId="0F888A47">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glcD</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042D78C0">
            <w:pPr>
              <w:widowControl/>
              <w:jc w:val="both"/>
              <w:rPr>
                <w:color w:val="000000" w:themeColor="text1"/>
                <w:szCs w:val="24"/>
                <w:lang w:val="en-GB" w:eastAsia="en-GB"/>
                <w14:textFill>
                  <w14:solidFill>
                    <w14:schemeClr w14:val="tx1"/>
                  </w14:solidFill>
                </w14:textFill>
              </w:rPr>
            </w:pPr>
            <w:r>
              <w:rPr>
                <w:rFonts w:hint="eastAsia"/>
                <w:color w:val="000000" w:themeColor="text1"/>
                <w:szCs w:val="24"/>
                <w:lang w:val="en-GB" w:eastAsia="en-GB"/>
                <w14:textFill>
                  <w14:solidFill>
                    <w14:schemeClr w14:val="tx1"/>
                  </w14:solidFill>
                </w14:textFill>
              </w:rPr>
              <w:t>GGTGTGTTGTTGGTGATGGC</w:t>
            </w:r>
          </w:p>
        </w:tc>
        <w:tc>
          <w:tcPr>
            <w:tcW w:w="2835" w:type="dxa"/>
            <w:vMerge w:val="restart"/>
            <w:shd w:val="clear" w:color="auto" w:fill="auto"/>
            <w:noWrap/>
          </w:tcPr>
          <w:p w14:paraId="5F7DFEA4">
            <w:pPr>
              <w:widowControl/>
              <w:jc w:val="both"/>
              <w:rPr>
                <w:rFonts w:hint="eastAsia" w:eastAsia="宋体"/>
                <w:caps/>
                <w:color w:val="000000" w:themeColor="text1"/>
                <w:kern w:val="0"/>
                <w:szCs w:val="24"/>
                <w:lang w:val="en-US" w:eastAsia="zh-CN"/>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Fonts w:hint="default" w:ascii="Times New Roman" w:hAnsi="Times New Roman" w:eastAsia="宋体" w:cs="Times New Roman"/>
                <w:sz w:val="24"/>
                <w:szCs w:val="24"/>
              </w:rPr>
              <w:t>glycolate oxidase flavoprotein subunit to track C</w:t>
            </w:r>
            <w:r>
              <w:rPr>
                <w:rFonts w:hint="eastAsia" w:cs="Times New Roman"/>
                <w:sz w:val="24"/>
                <w:szCs w:val="24"/>
                <w:vertAlign w:val="subscript"/>
                <w:lang w:val="en-US" w:eastAsia="zh-CN"/>
              </w:rPr>
              <w:t>2</w:t>
            </w:r>
            <w:r>
              <w:rPr>
                <w:rFonts w:hint="default" w:ascii="Times New Roman" w:hAnsi="Times New Roman" w:eastAsia="宋体" w:cs="Times New Roman"/>
                <w:sz w:val="24"/>
                <w:szCs w:val="24"/>
              </w:rPr>
              <w:t xml:space="preserve"> flux into the glyoxylate shunt</w:t>
            </w:r>
          </w:p>
        </w:tc>
      </w:tr>
      <w:tr w14:paraId="145A18C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vAlign w:val="top"/>
          </w:tcPr>
          <w:p w14:paraId="0A975088">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glcD</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69F92F85">
            <w:pPr>
              <w:widowControl/>
              <w:jc w:val="both"/>
              <w:rPr>
                <w:color w:val="000000" w:themeColor="text1"/>
                <w:szCs w:val="24"/>
                <w:lang w:val="en-GB" w:eastAsia="en-GB"/>
                <w14:textFill>
                  <w14:solidFill>
                    <w14:schemeClr w14:val="tx1"/>
                  </w14:solidFill>
                </w14:textFill>
              </w:rPr>
            </w:pPr>
            <w:r>
              <w:rPr>
                <w:rFonts w:hint="eastAsia"/>
              </w:rPr>
              <w:t>CGTTCAGCGTTTGCACTTCA</w:t>
            </w:r>
          </w:p>
        </w:tc>
        <w:tc>
          <w:tcPr>
            <w:tcW w:w="2835" w:type="dxa"/>
            <w:vMerge w:val="continue"/>
            <w:shd w:val="clear" w:color="auto" w:fill="auto"/>
            <w:noWrap/>
          </w:tcPr>
          <w:p w14:paraId="17A0F169">
            <w:pPr>
              <w:widowControl/>
              <w:jc w:val="both"/>
              <w:rPr>
                <w:rFonts w:eastAsia="Times New Roman"/>
                <w:caps/>
                <w:color w:val="000000" w:themeColor="text1"/>
                <w:kern w:val="0"/>
                <w:szCs w:val="24"/>
                <w14:textFill>
                  <w14:solidFill>
                    <w14:schemeClr w14:val="tx1"/>
                  </w14:solidFill>
                </w14:textFill>
              </w:rPr>
            </w:pPr>
          </w:p>
        </w:tc>
      </w:tr>
      <w:tr w14:paraId="7A0BD83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6" w:hRule="atLeast"/>
        </w:trPr>
        <w:tc>
          <w:tcPr>
            <w:tcW w:w="2376" w:type="dxa"/>
            <w:shd w:val="clear" w:color="auto" w:fill="auto"/>
            <w:noWrap/>
          </w:tcPr>
          <w:p w14:paraId="5F7600CE">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frdA</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4D09CF9A">
            <w:pPr>
              <w:widowControl/>
              <w:jc w:val="both"/>
              <w:rPr>
                <w:color w:val="000000" w:themeColor="text1"/>
                <w:szCs w:val="24"/>
                <w:lang w:val="en-GB" w:eastAsia="en-GB"/>
                <w14:textFill>
                  <w14:solidFill>
                    <w14:schemeClr w14:val="tx1"/>
                  </w14:solidFill>
                </w14:textFill>
              </w:rPr>
            </w:pPr>
            <w:r>
              <w:rPr>
                <w:rFonts w:hint="eastAsia"/>
                <w:sz w:val="24"/>
                <w:szCs w:val="24"/>
                <w:lang w:val="en-US" w:eastAsia="zh-CN"/>
              </w:rPr>
              <w:t>GGGCGAGCCGAAAAACAAAT</w:t>
            </w:r>
          </w:p>
        </w:tc>
        <w:tc>
          <w:tcPr>
            <w:tcW w:w="2835" w:type="dxa"/>
            <w:vMerge w:val="restart"/>
            <w:shd w:val="clear" w:color="auto" w:fill="auto"/>
            <w:noWrap/>
          </w:tcPr>
          <w:p w14:paraId="0C6E2EF3">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fumarate reductase flavoprotein subunit</w:t>
            </w:r>
            <w:r>
              <w:rPr>
                <w:rFonts w:hint="default" w:ascii="Times New Roman" w:hAnsi="Times New Roman" w:eastAsia="宋体" w:cs="Times New Roman"/>
                <w:b w:val="0"/>
                <w:bCs w:val="0"/>
                <w:sz w:val="24"/>
                <w:szCs w:val="24"/>
              </w:rPr>
              <w:t xml:space="preserve"> to track the </w:t>
            </w:r>
            <w:r>
              <w:rPr>
                <w:rStyle w:val="5"/>
                <w:rFonts w:hint="default" w:ascii="Times New Roman" w:hAnsi="Times New Roman" w:eastAsia="宋体" w:cs="Times New Roman"/>
                <w:b w:val="0"/>
                <w:bCs w:val="0"/>
                <w:sz w:val="24"/>
                <w:szCs w:val="24"/>
              </w:rPr>
              <w:t>anaerobic fumarate-respiration branch</w:t>
            </w:r>
            <w:r>
              <w:rPr>
                <w:rFonts w:hint="default" w:ascii="Times New Roman" w:hAnsi="Times New Roman" w:eastAsia="宋体" w:cs="Times New Roman"/>
                <w:b w:val="0"/>
                <w:bCs w:val="0"/>
                <w:sz w:val="24"/>
                <w:szCs w:val="24"/>
              </w:rPr>
              <w:t xml:space="preserve"> and succinate formation</w:t>
            </w:r>
          </w:p>
        </w:tc>
      </w:tr>
      <w:tr w14:paraId="610E245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tcPr>
          <w:p w14:paraId="3373DD07">
            <w:pPr>
              <w:widowControl/>
              <w:jc w:val="both"/>
              <w:rPr>
                <w:rFonts w:hint="default"/>
                <w:color w:val="000000" w:themeColor="text1"/>
                <w:szCs w:val="24"/>
                <w:lang w:val="en-US"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frdA</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7EF31DFF">
            <w:pPr>
              <w:widowControl/>
              <w:jc w:val="both"/>
              <w:rPr>
                <w:color w:val="000000" w:themeColor="text1"/>
                <w:szCs w:val="24"/>
                <w:lang w:val="en-GB" w:eastAsia="en-GB"/>
                <w14:textFill>
                  <w14:solidFill>
                    <w14:schemeClr w14:val="tx1"/>
                  </w14:solidFill>
                </w14:textFill>
              </w:rPr>
            </w:pPr>
            <w:r>
              <w:rPr>
                <w:rFonts w:hint="eastAsia"/>
                <w:sz w:val="24"/>
                <w:szCs w:val="24"/>
                <w:lang w:val="en-US" w:eastAsia="zh-CN"/>
              </w:rPr>
              <w:t>CTTTCGCCAGTTCGCAGATG</w:t>
            </w:r>
          </w:p>
        </w:tc>
        <w:tc>
          <w:tcPr>
            <w:tcW w:w="2835" w:type="dxa"/>
            <w:vMerge w:val="continue"/>
            <w:shd w:val="clear" w:color="auto" w:fill="auto"/>
            <w:noWrap/>
          </w:tcPr>
          <w:p w14:paraId="4FD2B247">
            <w:pPr>
              <w:widowControl/>
              <w:jc w:val="both"/>
              <w:rPr>
                <w:color w:val="000000" w:themeColor="text1"/>
                <w:szCs w:val="24"/>
                <w:lang w:val="en-GB" w:eastAsia="en-GB"/>
                <w14:textFill>
                  <w14:solidFill>
                    <w14:schemeClr w14:val="tx1"/>
                  </w14:solidFill>
                </w14:textFill>
              </w:rPr>
            </w:pPr>
          </w:p>
        </w:tc>
      </w:tr>
      <w:tr w14:paraId="6072B39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3" w:hRule="atLeast"/>
        </w:trPr>
        <w:tc>
          <w:tcPr>
            <w:tcW w:w="2376" w:type="dxa"/>
            <w:shd w:val="clear" w:color="auto" w:fill="auto"/>
            <w:noWrap/>
          </w:tcPr>
          <w:p w14:paraId="7694C936">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sucA</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44F811E1">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GCAGTTTGCTCACGTCAAGG</w:t>
            </w:r>
          </w:p>
        </w:tc>
        <w:tc>
          <w:tcPr>
            <w:tcW w:w="2835" w:type="dxa"/>
            <w:vMerge w:val="restart"/>
            <w:shd w:val="clear" w:color="auto" w:fill="auto"/>
            <w:noWrap/>
          </w:tcPr>
          <w:p w14:paraId="7BD2C8EA">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OGDH E1 (decarboxylase)</w:t>
            </w:r>
            <w:r>
              <w:rPr>
                <w:rFonts w:hint="default" w:ascii="Times New Roman" w:hAnsi="Times New Roman" w:eastAsia="宋体" w:cs="Times New Roman"/>
                <w:b w:val="0"/>
                <w:bCs w:val="0"/>
                <w:sz w:val="24"/>
                <w:szCs w:val="24"/>
              </w:rPr>
              <w:t xml:space="preserve"> to track NADH-producing flux at the α-KG→succinyl-CoA step</w:t>
            </w:r>
          </w:p>
        </w:tc>
      </w:tr>
      <w:tr w14:paraId="6723251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2376" w:type="dxa"/>
            <w:shd w:val="clear" w:color="auto" w:fill="auto"/>
            <w:noWrap/>
          </w:tcPr>
          <w:p w14:paraId="2B6087FD">
            <w:pPr>
              <w:widowControl/>
              <w:jc w:val="both"/>
              <w:rPr>
                <w:rFonts w:hint="default"/>
                <w:color w:val="000000" w:themeColor="text1"/>
                <w:szCs w:val="24"/>
                <w:lang w:val="en-US"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sucA</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314DD079">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CATAACGCAGAGAAGCCCCA</w:t>
            </w:r>
          </w:p>
        </w:tc>
        <w:tc>
          <w:tcPr>
            <w:tcW w:w="2835" w:type="dxa"/>
            <w:vMerge w:val="continue"/>
            <w:shd w:val="clear" w:color="auto" w:fill="auto"/>
            <w:noWrap/>
          </w:tcPr>
          <w:p w14:paraId="11438A73">
            <w:pPr>
              <w:widowControl/>
              <w:jc w:val="both"/>
              <w:rPr>
                <w:color w:val="000000" w:themeColor="text1"/>
                <w:szCs w:val="24"/>
                <w:lang w:val="en-GB" w:eastAsia="en-GB"/>
                <w14:textFill>
                  <w14:solidFill>
                    <w14:schemeClr w14:val="tx1"/>
                  </w14:solidFill>
                </w14:textFill>
              </w:rPr>
            </w:pPr>
          </w:p>
        </w:tc>
      </w:tr>
      <w:tr w14:paraId="2D057CA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trPr>
        <w:tc>
          <w:tcPr>
            <w:tcW w:w="2376" w:type="dxa"/>
            <w:shd w:val="clear" w:color="auto" w:fill="auto"/>
            <w:noWrap/>
          </w:tcPr>
          <w:p w14:paraId="4A537A03">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aceB</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5F2ADEA6">
            <w:pPr>
              <w:jc w:val="both"/>
              <w:rPr>
                <w:rFonts w:hint="eastAsia"/>
                <w:sz w:val="24"/>
                <w:szCs w:val="24"/>
                <w:lang w:val="en-US" w:eastAsia="zh-CN"/>
              </w:rPr>
            </w:pPr>
            <w:r>
              <w:rPr>
                <w:rFonts w:hint="eastAsia"/>
                <w:sz w:val="24"/>
                <w:szCs w:val="24"/>
                <w:lang w:val="en-US" w:eastAsia="zh-CN"/>
              </w:rPr>
              <w:t>TTGCTGATTGAAACGCTGCC</w:t>
            </w:r>
          </w:p>
          <w:p w14:paraId="7BE0552D">
            <w:pPr>
              <w:widowControl/>
              <w:jc w:val="both"/>
              <w:rPr>
                <w:color w:val="000000" w:themeColor="text1"/>
                <w:szCs w:val="24"/>
                <w:lang w:val="en-GB" w:eastAsia="en-GB"/>
                <w14:textFill>
                  <w14:solidFill>
                    <w14:schemeClr w14:val="tx1"/>
                  </w14:solidFill>
                </w14:textFill>
              </w:rPr>
            </w:pPr>
          </w:p>
        </w:tc>
        <w:tc>
          <w:tcPr>
            <w:tcW w:w="2835" w:type="dxa"/>
            <w:vMerge w:val="restart"/>
            <w:shd w:val="clear" w:color="auto" w:fill="auto"/>
            <w:noWrap/>
          </w:tcPr>
          <w:p w14:paraId="6DE95F9A">
            <w:pPr>
              <w:widowControl/>
              <w:jc w:val="both"/>
              <w:rPr>
                <w:rFonts w:hint="default" w:ascii="Times New Roman" w:hAnsi="Times New Roman" w:cs="Times New Roman"/>
                <w:b w:val="0"/>
                <w:bCs w:val="0"/>
                <w:color w:val="000000" w:themeColor="text1"/>
                <w:szCs w:val="24"/>
                <w:lang w:val="en-GB" w:eastAsia="en-GB"/>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malate synthase A</w:t>
            </w:r>
            <w:r>
              <w:rPr>
                <w:rFonts w:hint="default" w:ascii="Times New Roman" w:hAnsi="Times New Roman" w:eastAsia="宋体" w:cs="Times New Roman"/>
                <w:b w:val="0"/>
                <w:bCs w:val="0"/>
                <w:sz w:val="24"/>
                <w:szCs w:val="24"/>
              </w:rPr>
              <w:t xml:space="preserve"> (terminal step of the glyoxylate shunt) to gauge bypass flux</w:t>
            </w:r>
          </w:p>
        </w:tc>
      </w:tr>
      <w:tr w14:paraId="02577E4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tcPr>
          <w:p w14:paraId="468ACC55">
            <w:pPr>
              <w:widowControl/>
              <w:jc w:val="both"/>
              <w:rPr>
                <w:rFonts w:hint="default"/>
                <w:color w:val="000000" w:themeColor="text1"/>
                <w:szCs w:val="24"/>
                <w:lang w:val="en-US"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aceB</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72CAF86B">
            <w:pPr>
              <w:jc w:val="both"/>
              <w:rPr>
                <w:rFonts w:hint="default"/>
                <w:sz w:val="24"/>
                <w:szCs w:val="24"/>
                <w:lang w:val="en-US" w:eastAsia="zh-CN"/>
              </w:rPr>
            </w:pPr>
            <w:r>
              <w:rPr>
                <w:rFonts w:hint="eastAsia"/>
                <w:sz w:val="24"/>
                <w:szCs w:val="24"/>
                <w:lang w:val="en-US" w:eastAsia="zh-CN"/>
              </w:rPr>
              <w:t>CATCGTCACTGCCTGTCTGT</w:t>
            </w:r>
          </w:p>
          <w:p w14:paraId="46EC8CB3">
            <w:pPr>
              <w:widowControl/>
              <w:jc w:val="both"/>
              <w:rPr>
                <w:color w:val="000000" w:themeColor="text1"/>
                <w:szCs w:val="24"/>
                <w:lang w:val="en-GB" w:eastAsia="en-GB"/>
                <w14:textFill>
                  <w14:solidFill>
                    <w14:schemeClr w14:val="tx1"/>
                  </w14:solidFill>
                </w14:textFill>
              </w:rPr>
            </w:pPr>
          </w:p>
        </w:tc>
        <w:tc>
          <w:tcPr>
            <w:tcW w:w="2835" w:type="dxa"/>
            <w:vMerge w:val="continue"/>
            <w:shd w:val="clear" w:color="auto" w:fill="auto"/>
            <w:noWrap/>
          </w:tcPr>
          <w:p w14:paraId="50706174">
            <w:pPr>
              <w:widowControl/>
              <w:jc w:val="both"/>
              <w:rPr>
                <w:color w:val="000000" w:themeColor="text1"/>
                <w:szCs w:val="24"/>
                <w:lang w:val="en-GB" w:eastAsia="en-GB"/>
                <w14:textFill>
                  <w14:solidFill>
                    <w14:schemeClr w14:val="tx1"/>
                  </w14:solidFill>
                </w14:textFill>
              </w:rPr>
            </w:pPr>
          </w:p>
        </w:tc>
      </w:tr>
      <w:tr w14:paraId="3A5C23F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2376" w:type="dxa"/>
            <w:shd w:val="clear" w:color="auto" w:fill="auto"/>
            <w:noWrap/>
          </w:tcPr>
          <w:p w14:paraId="71951DAC">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dnaK</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00A03731">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AGCTGGTACAGACTCGCAAC</w:t>
            </w:r>
          </w:p>
        </w:tc>
        <w:tc>
          <w:tcPr>
            <w:tcW w:w="2835" w:type="dxa"/>
            <w:vMerge w:val="restart"/>
            <w:shd w:val="clear" w:color="auto" w:fill="auto"/>
            <w:noWrap/>
          </w:tcPr>
          <w:p w14:paraId="1D7205FB">
            <w:pPr>
              <w:widowControl/>
              <w:jc w:val="both"/>
              <w:rPr>
                <w:rFonts w:hint="default" w:ascii="Times New Roman" w:hAnsi="Times New Roman" w:cs="Times New Roman"/>
                <w:b w:val="0"/>
                <w:bCs w:val="0"/>
                <w:color w:val="000000" w:themeColor="text1"/>
                <w:szCs w:val="24"/>
                <w:lang w:val="en-GB" w:eastAsia="en-GB"/>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Hsp70 chaperone DnaK</w:t>
            </w:r>
            <w:r>
              <w:rPr>
                <w:rFonts w:hint="default" w:ascii="Times New Roman" w:hAnsi="Times New Roman" w:eastAsia="宋体" w:cs="Times New Roman"/>
                <w:b w:val="0"/>
                <w:bCs w:val="0"/>
                <w:sz w:val="24"/>
                <w:szCs w:val="24"/>
              </w:rPr>
              <w:t xml:space="preserve"> to assess protein-folding stress and aggregation pressure under induction</w:t>
            </w:r>
          </w:p>
        </w:tc>
      </w:tr>
      <w:tr w14:paraId="7796294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tcPr>
          <w:p w14:paraId="7BDD498E">
            <w:pPr>
              <w:widowControl/>
              <w:jc w:val="both"/>
              <w:rPr>
                <w:rFonts w:hint="default"/>
                <w:color w:val="000000" w:themeColor="text1"/>
                <w:szCs w:val="24"/>
                <w:lang w:val="en-US"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dnaK</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735BCE5C">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GCAGTCAGTGCAGACTCGAT</w:t>
            </w:r>
          </w:p>
        </w:tc>
        <w:tc>
          <w:tcPr>
            <w:tcW w:w="2835" w:type="dxa"/>
            <w:vMerge w:val="continue"/>
            <w:shd w:val="clear" w:color="auto" w:fill="auto"/>
            <w:noWrap/>
          </w:tcPr>
          <w:p w14:paraId="24089057">
            <w:pPr>
              <w:widowControl/>
              <w:jc w:val="both"/>
              <w:rPr>
                <w:color w:val="000000" w:themeColor="text1"/>
                <w:szCs w:val="24"/>
                <w:lang w:val="en-GB" w:eastAsia="en-GB"/>
                <w14:textFill>
                  <w14:solidFill>
                    <w14:schemeClr w14:val="tx1"/>
                  </w14:solidFill>
                </w14:textFill>
              </w:rPr>
            </w:pPr>
          </w:p>
        </w:tc>
      </w:tr>
      <w:tr w14:paraId="5F01965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2376" w:type="dxa"/>
            <w:shd w:val="clear" w:color="auto" w:fill="auto"/>
            <w:noWrap/>
          </w:tcPr>
          <w:p w14:paraId="56B97FAC">
            <w:pPr>
              <w:widowControl/>
              <w:jc w:val="both"/>
              <w:rPr>
                <w:color w:val="000000" w:themeColor="text1"/>
                <w:szCs w:val="24"/>
                <w:lang w:val="en-GB"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clpB</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2563DA67">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ATTTCTGACGAGGCGCTGAA</w:t>
            </w:r>
          </w:p>
        </w:tc>
        <w:tc>
          <w:tcPr>
            <w:tcW w:w="2835" w:type="dxa"/>
            <w:vMerge w:val="restart"/>
            <w:shd w:val="clear" w:color="auto" w:fill="auto"/>
            <w:noWrap/>
          </w:tcPr>
          <w:p w14:paraId="02BE70FF">
            <w:pPr>
              <w:widowControl/>
              <w:jc w:val="both"/>
              <w:rPr>
                <w:rFonts w:hint="default" w:ascii="Times New Roman" w:hAnsi="Times New Roman" w:cs="Times New Roman"/>
                <w:b w:val="0"/>
                <w:bCs w:val="0"/>
                <w:color w:val="000000" w:themeColor="text1"/>
                <w:szCs w:val="24"/>
                <w:lang w:val="en-GB" w:eastAsia="en-GB"/>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 xml:space="preserve">AAA+ disaggregase </w:t>
            </w:r>
            <w:r>
              <w:rPr>
                <w:rStyle w:val="5"/>
                <w:rFonts w:hint="eastAsia" w:cs="Times New Roman"/>
                <w:b w:val="0"/>
                <w:bCs w:val="0"/>
                <w:i/>
                <w:iCs/>
                <w:sz w:val="24"/>
                <w:szCs w:val="24"/>
                <w:lang w:val="en-US" w:eastAsia="zh-CN"/>
              </w:rPr>
              <w:t>c</w:t>
            </w:r>
            <w:r>
              <w:rPr>
                <w:rStyle w:val="5"/>
                <w:rFonts w:hint="default" w:ascii="Times New Roman" w:hAnsi="Times New Roman" w:eastAsia="宋体" w:cs="Times New Roman"/>
                <w:b w:val="0"/>
                <w:bCs w:val="0"/>
                <w:i/>
                <w:iCs/>
                <w:sz w:val="24"/>
                <w:szCs w:val="24"/>
              </w:rPr>
              <w:t>lpB</w:t>
            </w:r>
            <w:r>
              <w:rPr>
                <w:rFonts w:hint="default" w:ascii="Times New Roman" w:hAnsi="Times New Roman" w:eastAsia="宋体" w:cs="Times New Roman"/>
                <w:b w:val="0"/>
                <w:bCs w:val="0"/>
                <w:sz w:val="24"/>
                <w:szCs w:val="24"/>
              </w:rPr>
              <w:t xml:space="preserve"> to evaluate inclusion-body stress in cooperation with the </w:t>
            </w:r>
            <w:r>
              <w:rPr>
                <w:rFonts w:hint="eastAsia" w:cs="Times New Roman"/>
                <w:b w:val="0"/>
                <w:bCs w:val="0"/>
                <w:i/>
                <w:iCs/>
                <w:sz w:val="24"/>
                <w:szCs w:val="24"/>
                <w:lang w:val="en-US" w:eastAsia="zh-CN"/>
              </w:rPr>
              <w:t>d</w:t>
            </w:r>
            <w:r>
              <w:rPr>
                <w:rFonts w:hint="default" w:ascii="Times New Roman" w:hAnsi="Times New Roman" w:eastAsia="宋体" w:cs="Times New Roman"/>
                <w:b w:val="0"/>
                <w:bCs w:val="0"/>
                <w:i/>
                <w:iCs/>
                <w:sz w:val="24"/>
                <w:szCs w:val="24"/>
              </w:rPr>
              <w:t>naK</w:t>
            </w:r>
            <w:r>
              <w:rPr>
                <w:rFonts w:hint="default" w:ascii="Times New Roman" w:hAnsi="Times New Roman" w:eastAsia="宋体" w:cs="Times New Roman"/>
                <w:b w:val="0"/>
                <w:bCs w:val="0"/>
                <w:sz w:val="24"/>
                <w:szCs w:val="24"/>
              </w:rPr>
              <w:t xml:space="preserve"> system</w:t>
            </w:r>
          </w:p>
        </w:tc>
      </w:tr>
      <w:tr w14:paraId="52CBB75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tcPr>
          <w:p w14:paraId="5AF262AD">
            <w:pPr>
              <w:widowControl/>
              <w:jc w:val="both"/>
              <w:rPr>
                <w:rFonts w:hint="default"/>
                <w:color w:val="000000" w:themeColor="text1"/>
                <w:szCs w:val="24"/>
                <w:lang w:val="en-US"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clpB</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1FC05F1E">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CCCGGAACCAATTCACCAGA</w:t>
            </w:r>
          </w:p>
        </w:tc>
        <w:tc>
          <w:tcPr>
            <w:tcW w:w="2835" w:type="dxa"/>
            <w:vMerge w:val="continue"/>
            <w:shd w:val="clear" w:color="auto" w:fill="auto"/>
            <w:noWrap/>
          </w:tcPr>
          <w:p w14:paraId="320DB454">
            <w:pPr>
              <w:widowControl/>
              <w:jc w:val="both"/>
              <w:rPr>
                <w:color w:val="000000" w:themeColor="text1"/>
                <w:szCs w:val="24"/>
                <w:lang w:val="en-GB" w:eastAsia="en-GB"/>
                <w14:textFill>
                  <w14:solidFill>
                    <w14:schemeClr w14:val="tx1"/>
                  </w14:solidFill>
                </w14:textFill>
              </w:rPr>
            </w:pPr>
          </w:p>
        </w:tc>
      </w:tr>
      <w:tr w14:paraId="76ED75E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vAlign w:val="top"/>
          </w:tcPr>
          <w:p w14:paraId="6C460AC7">
            <w:pPr>
              <w:widowControl/>
              <w:jc w:val="both"/>
              <w:rPr>
                <w:rFonts w:ascii="Times New Roman" w:hAnsi="Times New Roman" w:eastAsia="宋体" w:cs="Times New Roman"/>
                <w:color w:val="000000" w:themeColor="text1"/>
                <w:kern w:val="2"/>
                <w:sz w:val="24"/>
                <w:szCs w:val="24"/>
                <w:lang w:val="en-GB" w:eastAsia="en-GB" w:bidi="ar-SA"/>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aceA</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561863A3">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TTCCAGTTCATCACCCTGGC</w:t>
            </w:r>
          </w:p>
        </w:tc>
        <w:tc>
          <w:tcPr>
            <w:tcW w:w="2835" w:type="dxa"/>
            <w:vMerge w:val="restart"/>
            <w:shd w:val="clear" w:color="auto" w:fill="auto"/>
            <w:noWrap/>
          </w:tcPr>
          <w:p w14:paraId="00B33B10">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isocitrate lyase</w:t>
            </w:r>
            <w:r>
              <w:rPr>
                <w:rFonts w:hint="default" w:ascii="Times New Roman" w:hAnsi="Times New Roman" w:eastAsia="宋体" w:cs="Times New Roman"/>
                <w:b w:val="0"/>
                <w:bCs w:val="0"/>
                <w:sz w:val="24"/>
                <w:szCs w:val="24"/>
              </w:rPr>
              <w:t xml:space="preserve"> (glyoxylate-shunt initiation) to track bypass activation</w:t>
            </w:r>
          </w:p>
        </w:tc>
      </w:tr>
      <w:tr w14:paraId="550A58C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tcPr>
          <w:p w14:paraId="0ED2103E">
            <w:pPr>
              <w:widowControl/>
              <w:jc w:val="both"/>
              <w:rPr>
                <w:rFonts w:hint="default"/>
                <w:color w:val="000000" w:themeColor="text1"/>
                <w:szCs w:val="24"/>
                <w:lang w:val="en-US"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aceA</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2BC5E561">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GGCTGCTGCACTTTCTCAAC</w:t>
            </w:r>
          </w:p>
        </w:tc>
        <w:tc>
          <w:tcPr>
            <w:tcW w:w="2835" w:type="dxa"/>
            <w:vMerge w:val="continue"/>
            <w:shd w:val="clear" w:color="auto" w:fill="auto"/>
            <w:noWrap/>
          </w:tcPr>
          <w:p w14:paraId="61FD7F52">
            <w:pPr>
              <w:widowControl/>
              <w:jc w:val="both"/>
              <w:rPr>
                <w:color w:val="000000" w:themeColor="text1"/>
                <w:szCs w:val="24"/>
                <w:lang w:val="en-GB" w:eastAsia="en-GB"/>
                <w14:textFill>
                  <w14:solidFill>
                    <w14:schemeClr w14:val="tx1"/>
                  </w14:solidFill>
                </w14:textFill>
              </w:rPr>
            </w:pPr>
          </w:p>
        </w:tc>
      </w:tr>
      <w:tr w14:paraId="30CE567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vAlign w:val="top"/>
          </w:tcPr>
          <w:p w14:paraId="08FC00DE">
            <w:pPr>
              <w:widowControl/>
              <w:jc w:val="both"/>
              <w:rPr>
                <w:rFonts w:ascii="Times New Roman" w:hAnsi="Times New Roman" w:eastAsia="宋体" w:cs="Times New Roman"/>
                <w:color w:val="000000" w:themeColor="text1"/>
                <w:kern w:val="2"/>
                <w:sz w:val="24"/>
                <w:szCs w:val="24"/>
                <w:lang w:val="en-GB" w:eastAsia="en-GB" w:bidi="ar-SA"/>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garK</w:t>
            </w:r>
            <w:r>
              <w:rPr>
                <w:rFonts w:hint="eastAsia" w:eastAsia="等线"/>
                <w:color w:val="000000" w:themeColor="text1"/>
                <w:szCs w:val="24"/>
                <w:lang w:val="en-US" w:eastAsia="zh-CN"/>
                <w14:textFill>
                  <w14:solidFill>
                    <w14:schemeClr w14:val="tx1"/>
                  </w14:solidFill>
                </w14:textFill>
              </w:rPr>
              <w:t>-F</w:t>
            </w:r>
          </w:p>
        </w:tc>
        <w:tc>
          <w:tcPr>
            <w:tcW w:w="3969" w:type="dxa"/>
            <w:shd w:val="clear" w:color="auto" w:fill="auto"/>
            <w:noWrap/>
          </w:tcPr>
          <w:p w14:paraId="46B9F7D3">
            <w:pPr>
              <w:widowControl/>
              <w:jc w:val="both"/>
              <w:rPr>
                <w:color w:val="000000" w:themeColor="text1"/>
                <w:szCs w:val="24"/>
                <w:lang w:val="en-GB" w:eastAsia="en-GB"/>
                <w14:textFill>
                  <w14:solidFill>
                    <w14:schemeClr w14:val="tx1"/>
                  </w14:solidFill>
                </w14:textFill>
              </w:rPr>
            </w:pPr>
            <w:r>
              <w:rPr>
                <w:rFonts w:hint="eastAsia"/>
                <w:color w:val="000000" w:themeColor="text1"/>
                <w:szCs w:val="24"/>
                <w:lang w:val="en-GB" w:eastAsia="en-GB"/>
                <w14:textFill>
                  <w14:solidFill>
                    <w14:schemeClr w14:val="tx1"/>
                  </w14:solidFill>
                </w14:textFill>
              </w:rPr>
              <w:t>GCGCAGGCGATAGAAAAAGG</w:t>
            </w:r>
          </w:p>
        </w:tc>
        <w:tc>
          <w:tcPr>
            <w:tcW w:w="2835" w:type="dxa"/>
            <w:vMerge w:val="restart"/>
            <w:shd w:val="clear" w:color="auto" w:fill="auto"/>
            <w:noWrap/>
          </w:tcPr>
          <w:p w14:paraId="676535D0">
            <w:pPr>
              <w:widowControl/>
              <w:jc w:val="both"/>
              <w:rPr>
                <w:color w:val="000000" w:themeColor="text1"/>
                <w:szCs w:val="24"/>
                <w:lang w:val="en-GB" w:eastAsia="en-GB"/>
                <w14:textFill>
                  <w14:solidFill>
                    <w14:schemeClr w14:val="tx1"/>
                  </w14:solidFill>
                </w14:textFill>
              </w:rPr>
            </w:pPr>
            <w:r>
              <w:rPr>
                <w:rFonts w:hint="default" w:ascii="Times New Roman" w:hAnsi="Times New Roman" w:eastAsia="宋体" w:cs="Times New Roman"/>
                <w:b w:val="0"/>
                <w:bCs w:val="0"/>
                <w:sz w:val="24"/>
                <w:szCs w:val="24"/>
              </w:rPr>
              <w:t xml:space="preserve">qPCR of </w:t>
            </w:r>
            <w:r>
              <w:rPr>
                <w:rStyle w:val="5"/>
                <w:rFonts w:hint="default" w:ascii="Times New Roman" w:hAnsi="Times New Roman" w:eastAsia="宋体" w:cs="Times New Roman"/>
                <w:b w:val="0"/>
                <w:bCs w:val="0"/>
                <w:sz w:val="24"/>
                <w:szCs w:val="24"/>
              </w:rPr>
              <w:t>glycerate kinase</w:t>
            </w:r>
            <w:r>
              <w:rPr>
                <w:rFonts w:hint="default" w:ascii="Times New Roman" w:hAnsi="Times New Roman" w:eastAsia="宋体" w:cs="Times New Roman"/>
                <w:b w:val="0"/>
                <w:bCs w:val="0"/>
                <w:sz w:val="24"/>
                <w:szCs w:val="24"/>
              </w:rPr>
              <w:t xml:space="preserve"> (glycerate → 2-phosphoglycerate) to monitor routing of glyoxylate-derived carbon back to glycolysis</w:t>
            </w:r>
          </w:p>
        </w:tc>
      </w:tr>
      <w:tr w14:paraId="29E622A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2376" w:type="dxa"/>
            <w:shd w:val="clear" w:color="auto" w:fill="auto"/>
            <w:noWrap/>
          </w:tcPr>
          <w:p w14:paraId="76D6D369">
            <w:pPr>
              <w:widowControl/>
              <w:jc w:val="both"/>
              <w:rPr>
                <w:rFonts w:hint="default"/>
                <w:color w:val="000000" w:themeColor="text1"/>
                <w:szCs w:val="24"/>
                <w:lang w:val="en-US" w:eastAsia="en-GB"/>
                <w14:textFill>
                  <w14:solidFill>
                    <w14:schemeClr w14:val="tx1"/>
                  </w14:solidFill>
                </w14:textFill>
              </w:rPr>
            </w:pPr>
            <w:r>
              <w:rPr>
                <w:rFonts w:hint="eastAsia" w:eastAsia="等线"/>
                <w:i/>
                <w:iCs/>
                <w:color w:val="000000" w:themeColor="text1"/>
                <w:szCs w:val="24"/>
                <w:lang w:val="en-US" w:eastAsia="zh-CN"/>
                <w14:textFill>
                  <w14:solidFill>
                    <w14:schemeClr w14:val="tx1"/>
                  </w14:solidFill>
                </w14:textFill>
              </w:rPr>
              <w:t>E.coli garK</w:t>
            </w:r>
            <w:r>
              <w:rPr>
                <w:rFonts w:hint="eastAsia" w:eastAsia="等线"/>
                <w:color w:val="000000" w:themeColor="text1"/>
                <w:szCs w:val="24"/>
                <w:lang w:val="en-US" w:eastAsia="zh-CN"/>
                <w14:textFill>
                  <w14:solidFill>
                    <w14:schemeClr w14:val="tx1"/>
                  </w14:solidFill>
                </w14:textFill>
              </w:rPr>
              <w:t>-R</w:t>
            </w:r>
          </w:p>
        </w:tc>
        <w:tc>
          <w:tcPr>
            <w:tcW w:w="3969" w:type="dxa"/>
            <w:shd w:val="clear" w:color="auto" w:fill="auto"/>
            <w:noWrap/>
          </w:tcPr>
          <w:p w14:paraId="2A796359">
            <w:pPr>
              <w:widowControl/>
              <w:jc w:val="both"/>
              <w:rPr>
                <w:color w:val="000000" w:themeColor="text1"/>
                <w:szCs w:val="24"/>
                <w:lang w:val="en-GB" w:eastAsia="en-GB"/>
                <w14:textFill>
                  <w14:solidFill>
                    <w14:schemeClr w14:val="tx1"/>
                  </w14:solidFill>
                </w14:textFill>
              </w:rPr>
            </w:pPr>
            <w:r>
              <w:rPr>
                <w:rFonts w:hint="eastAsia"/>
                <w:color w:val="000000" w:themeColor="text1"/>
                <w:szCs w:val="24"/>
                <w:lang w:val="en-GB" w:eastAsia="en-GB"/>
                <w14:textFill>
                  <w14:solidFill>
                    <w14:schemeClr w14:val="tx1"/>
                  </w14:solidFill>
                </w14:textFill>
              </w:rPr>
              <w:t>GATCCCCCAACTGGCATTCA</w:t>
            </w:r>
          </w:p>
        </w:tc>
        <w:tc>
          <w:tcPr>
            <w:tcW w:w="2835" w:type="dxa"/>
            <w:vMerge w:val="continue"/>
            <w:shd w:val="clear" w:color="auto" w:fill="auto"/>
            <w:noWrap/>
          </w:tcPr>
          <w:p w14:paraId="0DE51F15">
            <w:pPr>
              <w:widowControl/>
              <w:jc w:val="both"/>
              <w:rPr>
                <w:color w:val="000000" w:themeColor="text1"/>
                <w:szCs w:val="24"/>
                <w:lang w:val="en-GB" w:eastAsia="en-GB"/>
                <w14:textFill>
                  <w14:solidFill>
                    <w14:schemeClr w14:val="tx1"/>
                  </w14:solidFill>
                </w14:textFill>
              </w:rPr>
            </w:pPr>
          </w:p>
        </w:tc>
      </w:tr>
    </w:tbl>
    <w:p w14:paraId="049758C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44EE2BE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7477708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4BF2B0F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1A43D08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1B06BE5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7864F2C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586B6C4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4948451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2386726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073E5B7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6B432F4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7845FD3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780ABA1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28DAC85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3F613E3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66ADB56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07C17CE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5F88B95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4B9858C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7EBE94B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r>
        <w:rPr>
          <w:rFonts w:hint="eastAsia" w:cs="Times New Roman"/>
          <w:b/>
          <w:bCs/>
          <w:sz w:val="24"/>
          <w:szCs w:val="24"/>
          <w:vertAlign w:val="baseline"/>
          <w:lang w:val="en-US" w:eastAsia="zh-CN"/>
        </w:rPr>
        <w:t>Table S3. Results of tryptone:yeast extract ratio optimization (yield, terminal OD</w:t>
      </w:r>
      <w:r>
        <w:rPr>
          <w:rFonts w:hint="eastAsia" w:cs="Times New Roman"/>
          <w:b/>
          <w:bCs/>
          <w:sz w:val="24"/>
          <w:szCs w:val="24"/>
          <w:vertAlign w:val="subscript"/>
          <w:lang w:val="en-US" w:eastAsia="zh-CN"/>
        </w:rPr>
        <w:t>600</w:t>
      </w:r>
      <w:r>
        <w:rPr>
          <w:rFonts w:hint="eastAsia" w:cs="Times New Roman"/>
          <w:b/>
          <w:bCs/>
          <w:sz w:val="24"/>
          <w:szCs w:val="24"/>
          <w:vertAlign w:val="baseline"/>
          <w:lang w:val="en-US" w:eastAsia="zh-CN"/>
        </w:rPr>
        <w:t>, terminal broth pH).</w:t>
      </w:r>
    </w:p>
    <w:tbl>
      <w:tblPr>
        <w:tblStyle w:val="3"/>
        <w:tblW w:w="4638" w:type="pct"/>
        <w:jc w:val="center"/>
        <w:tblLayout w:type="fixed"/>
        <w:tblCellMar>
          <w:top w:w="0" w:type="dxa"/>
          <w:left w:w="108" w:type="dxa"/>
          <w:bottom w:w="0" w:type="dxa"/>
          <w:right w:w="108" w:type="dxa"/>
        </w:tblCellMar>
      </w:tblPr>
      <w:tblGrid>
        <w:gridCol w:w="2135"/>
        <w:gridCol w:w="1344"/>
        <w:gridCol w:w="1475"/>
        <w:gridCol w:w="1343"/>
        <w:gridCol w:w="1609"/>
      </w:tblGrid>
      <w:tr w14:paraId="3FF418D9">
        <w:tblPrEx>
          <w:tblCellMar>
            <w:top w:w="0" w:type="dxa"/>
            <w:left w:w="108" w:type="dxa"/>
            <w:bottom w:w="0" w:type="dxa"/>
            <w:right w:w="108" w:type="dxa"/>
          </w:tblCellMar>
        </w:tblPrEx>
        <w:trPr>
          <w:jc w:val="center"/>
        </w:trPr>
        <w:tc>
          <w:tcPr>
            <w:tcW w:w="1350" w:type="pct"/>
            <w:tcBorders>
              <w:top w:val="single" w:color="auto" w:sz="12" w:space="0"/>
              <w:bottom w:val="single" w:color="auto" w:sz="12" w:space="0"/>
            </w:tcBorders>
            <w:shd w:val="clear" w:color="auto" w:fill="auto"/>
            <w:vAlign w:val="center"/>
          </w:tcPr>
          <w:p w14:paraId="31F8CF09">
            <w:pPr>
              <w:widowControl/>
              <w:spacing w:before="60" w:after="60"/>
              <w:jc w:val="both"/>
              <w:rPr>
                <w:color w:val="000000" w:themeColor="text1"/>
                <w:kern w:val="0"/>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Try</w:t>
            </w:r>
            <w:r>
              <w:rPr>
                <w:rFonts w:hint="eastAsia"/>
                <w:color w:val="000000" w:themeColor="text1"/>
                <w:szCs w:val="24"/>
                <w14:textFill>
                  <w14:solidFill>
                    <w14:schemeClr w14:val="tx1"/>
                  </w14:solidFill>
                </w14:textFill>
              </w:rPr>
              <w:t>ptone</w:t>
            </w:r>
            <w:r>
              <w:rPr>
                <w:rFonts w:hint="eastAsia"/>
                <w:color w:val="000000" w:themeColor="text1"/>
                <w:szCs w:val="24"/>
                <w:lang w:val="en-US" w:eastAsia="zh-CN"/>
                <w14:textFill>
                  <w14:solidFill>
                    <w14:schemeClr w14:val="tx1"/>
                  </w14:solidFill>
                </w14:textFill>
              </w:rPr>
              <w:t>:</w:t>
            </w:r>
            <w:r>
              <w:rPr>
                <w:rFonts w:hint="eastAsia"/>
                <w:color w:val="000000" w:themeColor="text1"/>
                <w:szCs w:val="24"/>
                <w14:textFill>
                  <w14:solidFill>
                    <w14:schemeClr w14:val="tx1"/>
                  </w14:solidFill>
                </w14:textFill>
              </w:rPr>
              <w:t>yeast extract ratio</w:t>
            </w:r>
          </w:p>
        </w:tc>
        <w:tc>
          <w:tcPr>
            <w:tcW w:w="849" w:type="pct"/>
            <w:tcBorders>
              <w:top w:val="single" w:color="auto" w:sz="12" w:space="0"/>
              <w:bottom w:val="single" w:color="auto" w:sz="12" w:space="0"/>
            </w:tcBorders>
            <w:shd w:val="clear" w:color="auto" w:fill="auto"/>
            <w:vAlign w:val="center"/>
          </w:tcPr>
          <w:p w14:paraId="312B5CF8">
            <w:pPr>
              <w:widowControl/>
              <w:spacing w:before="60" w:after="60"/>
              <w:jc w:val="both"/>
              <w:rPr>
                <w:color w:val="000000" w:themeColor="text1"/>
                <w:kern w:val="0"/>
                <w:szCs w:val="24"/>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 xml:space="preserve">cSAT-rhBNP </w:t>
            </w:r>
            <w:r>
              <w:rPr>
                <w:color w:val="000000" w:themeColor="text1"/>
                <w:kern w:val="0"/>
                <w:szCs w:val="24"/>
                <w14:textFill>
                  <w14:solidFill>
                    <w14:schemeClr w14:val="tx1"/>
                  </w14:solidFill>
                </w14:textFill>
              </w:rPr>
              <w:t>yield</w:t>
            </w:r>
          </w:p>
          <w:p w14:paraId="679A619F">
            <w:pPr>
              <w:widowControl/>
              <w:spacing w:before="60" w:after="60"/>
              <w:jc w:val="both"/>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(mg/L medium)</w:t>
            </w:r>
          </w:p>
        </w:tc>
        <w:tc>
          <w:tcPr>
            <w:tcW w:w="932" w:type="pct"/>
            <w:tcBorders>
              <w:top w:val="single" w:color="auto" w:sz="12" w:space="0"/>
              <w:bottom w:val="single" w:color="auto" w:sz="12" w:space="0"/>
            </w:tcBorders>
            <w:shd w:val="clear" w:color="auto" w:fill="auto"/>
            <w:vAlign w:val="center"/>
          </w:tcPr>
          <w:p w14:paraId="289FEE33">
            <w:pPr>
              <w:widowControl/>
              <w:spacing w:before="60" w:after="60"/>
              <w:jc w:val="both"/>
              <w:rPr>
                <w:color w:val="000000" w:themeColor="text1"/>
                <w:kern w:val="0"/>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rh</w:t>
            </w:r>
            <w:r>
              <w:rPr>
                <w:color w:val="000000" w:themeColor="text1"/>
                <w:szCs w:val="24"/>
                <w14:textFill>
                  <w14:solidFill>
                    <w14:schemeClr w14:val="tx1"/>
                  </w14:solidFill>
                </w14:textFill>
              </w:rPr>
              <w:t>BNP</w:t>
            </w:r>
            <w:r>
              <w:rPr>
                <w:color w:val="000000" w:themeColor="text1"/>
                <w:kern w:val="0"/>
                <w:szCs w:val="24"/>
                <w14:textFill>
                  <w14:solidFill>
                    <w14:schemeClr w14:val="tx1"/>
                  </w14:solidFill>
                </w14:textFill>
              </w:rPr>
              <w:t xml:space="preserve"> yield</w:t>
            </w:r>
          </w:p>
          <w:p w14:paraId="1A81E16A">
            <w:pPr>
              <w:widowControl/>
              <w:spacing w:before="60" w:after="60"/>
              <w:jc w:val="both"/>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(mg/L medium)</w:t>
            </w:r>
          </w:p>
        </w:tc>
        <w:tc>
          <w:tcPr>
            <w:tcW w:w="849" w:type="pct"/>
            <w:tcBorders>
              <w:top w:val="single" w:color="auto" w:sz="12" w:space="0"/>
              <w:bottom w:val="single" w:color="auto" w:sz="12" w:space="0"/>
            </w:tcBorders>
            <w:vAlign w:val="center"/>
          </w:tcPr>
          <w:p w14:paraId="03B14C8B">
            <w:pPr>
              <w:widowControl/>
              <w:spacing w:before="60" w:after="60"/>
              <w:jc w:val="both"/>
              <w:rPr>
                <w:rFonts w:hint="default" w:eastAsia="宋体"/>
                <w:color w:val="000000" w:themeColor="text1"/>
                <w:kern w:val="0"/>
                <w:szCs w:val="24"/>
                <w:vertAlign w:val="subscript"/>
                <w:lang w:val="en-US" w:eastAsia="zh-CN"/>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Terminal OD</w:t>
            </w:r>
            <w:r>
              <w:rPr>
                <w:rFonts w:hint="eastAsia"/>
                <w:color w:val="000000" w:themeColor="text1"/>
                <w:kern w:val="0"/>
                <w:szCs w:val="24"/>
                <w:vertAlign w:val="subscript"/>
                <w:lang w:val="en-US" w:eastAsia="zh-CN"/>
                <w14:textFill>
                  <w14:solidFill>
                    <w14:schemeClr w14:val="tx1"/>
                  </w14:solidFill>
                </w14:textFill>
              </w:rPr>
              <w:t>600</w:t>
            </w:r>
          </w:p>
        </w:tc>
        <w:tc>
          <w:tcPr>
            <w:tcW w:w="1017" w:type="pct"/>
            <w:tcBorders>
              <w:top w:val="single" w:color="auto" w:sz="12" w:space="0"/>
              <w:bottom w:val="single" w:color="auto" w:sz="12" w:space="0"/>
            </w:tcBorders>
            <w:shd w:val="clear" w:color="auto" w:fill="auto"/>
            <w:vAlign w:val="center"/>
          </w:tcPr>
          <w:p w14:paraId="43D22A57">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Terminal pH (broth)</w:t>
            </w:r>
          </w:p>
        </w:tc>
      </w:tr>
      <w:tr w14:paraId="1AFD4E56">
        <w:tblPrEx>
          <w:tblCellMar>
            <w:top w:w="0" w:type="dxa"/>
            <w:left w:w="108" w:type="dxa"/>
            <w:bottom w:w="0" w:type="dxa"/>
            <w:right w:w="108" w:type="dxa"/>
          </w:tblCellMar>
        </w:tblPrEx>
        <w:trPr>
          <w:jc w:val="center"/>
        </w:trPr>
        <w:tc>
          <w:tcPr>
            <w:tcW w:w="1350" w:type="pct"/>
            <w:tcBorders>
              <w:top w:val="single" w:color="auto" w:sz="12" w:space="0"/>
            </w:tcBorders>
            <w:shd w:val="clear" w:color="auto" w:fill="auto"/>
            <w:vAlign w:val="center"/>
          </w:tcPr>
          <w:p w14:paraId="126A1E18">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2:1 (LB medium)</w:t>
            </w:r>
          </w:p>
        </w:tc>
        <w:tc>
          <w:tcPr>
            <w:tcW w:w="849" w:type="pct"/>
            <w:tcBorders>
              <w:top w:val="single" w:color="auto" w:sz="12" w:space="0"/>
            </w:tcBorders>
            <w:shd w:val="clear" w:color="auto" w:fill="auto"/>
            <w:vAlign w:val="center"/>
          </w:tcPr>
          <w:p w14:paraId="0C11295B">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563</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28</w:t>
            </w:r>
          </w:p>
        </w:tc>
        <w:tc>
          <w:tcPr>
            <w:tcW w:w="932" w:type="pct"/>
            <w:tcBorders>
              <w:top w:val="single" w:color="auto" w:sz="12" w:space="0"/>
            </w:tcBorders>
            <w:vAlign w:val="center"/>
          </w:tcPr>
          <w:p w14:paraId="096C491A">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39.5</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1.7</w:t>
            </w:r>
          </w:p>
        </w:tc>
        <w:tc>
          <w:tcPr>
            <w:tcW w:w="849" w:type="pct"/>
            <w:tcBorders>
              <w:top w:val="single" w:color="auto" w:sz="12" w:space="0"/>
            </w:tcBorders>
            <w:shd w:val="clear" w:color="auto" w:fill="auto"/>
            <w:vAlign w:val="center"/>
          </w:tcPr>
          <w:p w14:paraId="1A3D1109">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6.0</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05</w:t>
            </w:r>
          </w:p>
        </w:tc>
        <w:tc>
          <w:tcPr>
            <w:tcW w:w="1017" w:type="pct"/>
            <w:tcBorders>
              <w:top w:val="single" w:color="auto" w:sz="12" w:space="0"/>
            </w:tcBorders>
            <w:shd w:val="clear" w:color="auto" w:fill="auto"/>
            <w:vAlign w:val="center"/>
          </w:tcPr>
          <w:p w14:paraId="33C34EA7">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8.58</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0.03</w:t>
            </w:r>
          </w:p>
        </w:tc>
      </w:tr>
      <w:tr w14:paraId="393FF5D4">
        <w:tblPrEx>
          <w:tblCellMar>
            <w:top w:w="0" w:type="dxa"/>
            <w:left w:w="108" w:type="dxa"/>
            <w:bottom w:w="0" w:type="dxa"/>
            <w:right w:w="108" w:type="dxa"/>
          </w:tblCellMar>
        </w:tblPrEx>
        <w:trPr>
          <w:jc w:val="center"/>
        </w:trPr>
        <w:tc>
          <w:tcPr>
            <w:tcW w:w="1350" w:type="pct"/>
            <w:shd w:val="clear" w:color="auto" w:fill="auto"/>
            <w:vAlign w:val="center"/>
          </w:tcPr>
          <w:p w14:paraId="02B2FCE8">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1:1</w:t>
            </w:r>
          </w:p>
        </w:tc>
        <w:tc>
          <w:tcPr>
            <w:tcW w:w="849" w:type="pct"/>
            <w:shd w:val="clear" w:color="auto" w:fill="auto"/>
            <w:vAlign w:val="center"/>
          </w:tcPr>
          <w:p w14:paraId="279D0495">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780</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22</w:t>
            </w:r>
          </w:p>
        </w:tc>
        <w:tc>
          <w:tcPr>
            <w:tcW w:w="932" w:type="pct"/>
            <w:vAlign w:val="center"/>
          </w:tcPr>
          <w:p w14:paraId="4DC599BA">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67.9</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4.2</w:t>
            </w:r>
          </w:p>
        </w:tc>
        <w:tc>
          <w:tcPr>
            <w:tcW w:w="849" w:type="pct"/>
            <w:shd w:val="clear" w:color="auto" w:fill="auto"/>
            <w:vAlign w:val="center"/>
          </w:tcPr>
          <w:p w14:paraId="30A75DFF">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8.8</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0.2</w:t>
            </w:r>
          </w:p>
        </w:tc>
        <w:tc>
          <w:tcPr>
            <w:tcW w:w="1017" w:type="pct"/>
            <w:shd w:val="clear" w:color="auto" w:fill="auto"/>
            <w:vAlign w:val="center"/>
          </w:tcPr>
          <w:p w14:paraId="1FCDC8EB">
            <w:pPr>
              <w:widowControl/>
              <w:spacing w:before="60" w:after="60"/>
              <w:jc w:val="both"/>
              <w:rPr>
                <w:rFonts w:hint="default"/>
                <w:color w:val="000000" w:themeColor="text1"/>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8.87</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0.02</w:t>
            </w:r>
          </w:p>
        </w:tc>
      </w:tr>
      <w:tr w14:paraId="17C35021">
        <w:tblPrEx>
          <w:tblCellMar>
            <w:top w:w="0" w:type="dxa"/>
            <w:left w:w="108" w:type="dxa"/>
            <w:bottom w:w="0" w:type="dxa"/>
            <w:right w:w="108" w:type="dxa"/>
          </w:tblCellMar>
        </w:tblPrEx>
        <w:trPr>
          <w:jc w:val="center"/>
        </w:trPr>
        <w:tc>
          <w:tcPr>
            <w:tcW w:w="1350" w:type="pct"/>
            <w:shd w:val="clear" w:color="auto" w:fill="auto"/>
            <w:vAlign w:val="center"/>
          </w:tcPr>
          <w:p w14:paraId="65C68E2B">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1:1.5</w:t>
            </w:r>
          </w:p>
        </w:tc>
        <w:tc>
          <w:tcPr>
            <w:tcW w:w="849" w:type="pct"/>
            <w:shd w:val="clear" w:color="auto" w:fill="auto"/>
            <w:vAlign w:val="center"/>
          </w:tcPr>
          <w:p w14:paraId="0D4904C1">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964</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23</w:t>
            </w:r>
          </w:p>
        </w:tc>
        <w:tc>
          <w:tcPr>
            <w:tcW w:w="932" w:type="pct"/>
            <w:vAlign w:val="center"/>
          </w:tcPr>
          <w:p w14:paraId="454820A0">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70.8</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2.8</w:t>
            </w:r>
          </w:p>
        </w:tc>
        <w:tc>
          <w:tcPr>
            <w:tcW w:w="849" w:type="pct"/>
            <w:shd w:val="clear" w:color="auto" w:fill="auto"/>
            <w:vAlign w:val="center"/>
          </w:tcPr>
          <w:p w14:paraId="7B188305">
            <w:pPr>
              <w:widowControl/>
              <w:spacing w:before="60" w:after="60"/>
              <w:jc w:val="both"/>
              <w:rPr>
                <w:rFonts w:hint="eastAsia"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11.2</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2</w:t>
            </w:r>
          </w:p>
        </w:tc>
        <w:tc>
          <w:tcPr>
            <w:tcW w:w="1017" w:type="pct"/>
            <w:shd w:val="clear" w:color="auto" w:fill="auto"/>
            <w:vAlign w:val="center"/>
          </w:tcPr>
          <w:p w14:paraId="76676268">
            <w:pPr>
              <w:widowControl/>
              <w:spacing w:before="60" w:after="60"/>
              <w:jc w:val="both"/>
              <w:rPr>
                <w:rFonts w:hint="default"/>
                <w:color w:val="000000" w:themeColor="text1"/>
                <w:kern w:val="0"/>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8.87</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0.03</w:t>
            </w:r>
          </w:p>
        </w:tc>
      </w:tr>
      <w:tr w14:paraId="21388542">
        <w:tblPrEx>
          <w:tblCellMar>
            <w:top w:w="0" w:type="dxa"/>
            <w:left w:w="108" w:type="dxa"/>
            <w:bottom w:w="0" w:type="dxa"/>
            <w:right w:w="108" w:type="dxa"/>
          </w:tblCellMar>
        </w:tblPrEx>
        <w:trPr>
          <w:jc w:val="center"/>
        </w:trPr>
        <w:tc>
          <w:tcPr>
            <w:tcW w:w="1350" w:type="pct"/>
            <w:shd w:val="clear" w:color="auto" w:fill="auto"/>
            <w:vAlign w:val="center"/>
          </w:tcPr>
          <w:p w14:paraId="3AE5BF5B">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1:2</w:t>
            </w:r>
          </w:p>
        </w:tc>
        <w:tc>
          <w:tcPr>
            <w:tcW w:w="849" w:type="pct"/>
            <w:shd w:val="clear" w:color="auto" w:fill="auto"/>
            <w:vAlign w:val="center"/>
          </w:tcPr>
          <w:p w14:paraId="1AEAD6D5">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854</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38</w:t>
            </w:r>
          </w:p>
        </w:tc>
        <w:tc>
          <w:tcPr>
            <w:tcW w:w="932" w:type="pct"/>
            <w:vAlign w:val="center"/>
          </w:tcPr>
          <w:p w14:paraId="3E407BE0">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39.4</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2.4</w:t>
            </w:r>
          </w:p>
        </w:tc>
        <w:tc>
          <w:tcPr>
            <w:tcW w:w="849" w:type="pct"/>
            <w:shd w:val="clear" w:color="auto" w:fill="auto"/>
            <w:vAlign w:val="center"/>
          </w:tcPr>
          <w:p w14:paraId="4ADD19B0">
            <w:pPr>
              <w:widowControl/>
              <w:spacing w:before="60" w:after="60"/>
              <w:jc w:val="both"/>
              <w:rPr>
                <w:rFonts w:hint="eastAsia"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12.3</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3</w:t>
            </w:r>
          </w:p>
        </w:tc>
        <w:tc>
          <w:tcPr>
            <w:tcW w:w="1017" w:type="pct"/>
            <w:shd w:val="clear" w:color="auto" w:fill="auto"/>
            <w:vAlign w:val="center"/>
          </w:tcPr>
          <w:p w14:paraId="1F2F628F">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8.63</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0.06</w:t>
            </w:r>
          </w:p>
        </w:tc>
      </w:tr>
      <w:tr w14:paraId="0E5D1D8A">
        <w:tblPrEx>
          <w:tblCellMar>
            <w:top w:w="0" w:type="dxa"/>
            <w:left w:w="108" w:type="dxa"/>
            <w:bottom w:w="0" w:type="dxa"/>
            <w:right w:w="108" w:type="dxa"/>
          </w:tblCellMar>
        </w:tblPrEx>
        <w:trPr>
          <w:jc w:val="center"/>
        </w:trPr>
        <w:tc>
          <w:tcPr>
            <w:tcW w:w="1350" w:type="pct"/>
            <w:tcBorders>
              <w:bottom w:val="single" w:color="auto" w:sz="12" w:space="0"/>
            </w:tcBorders>
            <w:shd w:val="clear" w:color="auto" w:fill="auto"/>
            <w:vAlign w:val="center"/>
          </w:tcPr>
          <w:p w14:paraId="5E33FB4E">
            <w:pPr>
              <w:widowControl/>
              <w:spacing w:before="60" w:after="60"/>
              <w:jc w:val="both"/>
              <w:rPr>
                <w:rFonts w:hint="default"/>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1.5:1</w:t>
            </w:r>
          </w:p>
        </w:tc>
        <w:tc>
          <w:tcPr>
            <w:tcW w:w="849" w:type="pct"/>
            <w:tcBorders>
              <w:bottom w:val="single" w:color="auto" w:sz="12" w:space="0"/>
            </w:tcBorders>
            <w:shd w:val="clear" w:color="auto" w:fill="auto"/>
            <w:vAlign w:val="center"/>
          </w:tcPr>
          <w:p w14:paraId="6E655BA8">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850</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16</w:t>
            </w:r>
          </w:p>
        </w:tc>
        <w:tc>
          <w:tcPr>
            <w:tcW w:w="932" w:type="pct"/>
            <w:tcBorders>
              <w:bottom w:val="single" w:color="auto" w:sz="12" w:space="0"/>
            </w:tcBorders>
            <w:vAlign w:val="center"/>
          </w:tcPr>
          <w:p w14:paraId="74F2BCDB">
            <w:pPr>
              <w:widowControl/>
              <w:spacing w:before="60" w:after="60"/>
              <w:jc w:val="both"/>
              <w:rPr>
                <w:color w:val="000000" w:themeColor="text1"/>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57.8</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2.4</w:t>
            </w:r>
          </w:p>
        </w:tc>
        <w:tc>
          <w:tcPr>
            <w:tcW w:w="849" w:type="pct"/>
            <w:tcBorders>
              <w:bottom w:val="single" w:color="auto" w:sz="12" w:space="0"/>
            </w:tcBorders>
            <w:shd w:val="clear" w:color="auto" w:fill="auto"/>
            <w:vAlign w:val="center"/>
          </w:tcPr>
          <w:p w14:paraId="1EAEDE5D">
            <w:pPr>
              <w:widowControl/>
              <w:spacing w:before="60" w:after="60"/>
              <w:jc w:val="both"/>
              <w:rPr>
                <w:color w:val="000000" w:themeColor="text1"/>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10.5</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3</w:t>
            </w:r>
          </w:p>
        </w:tc>
        <w:tc>
          <w:tcPr>
            <w:tcW w:w="1017" w:type="pct"/>
            <w:tcBorders>
              <w:bottom w:val="single" w:color="auto" w:sz="12" w:space="0"/>
            </w:tcBorders>
            <w:shd w:val="clear" w:color="auto" w:fill="auto"/>
            <w:vAlign w:val="center"/>
          </w:tcPr>
          <w:p w14:paraId="44079ECF">
            <w:pPr>
              <w:widowControl/>
              <w:spacing w:before="60" w:after="60"/>
              <w:jc w:val="both"/>
              <w:rPr>
                <w:rFonts w:hint="default"/>
                <w:color w:val="000000" w:themeColor="text1"/>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8.77</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0.04</w:t>
            </w:r>
          </w:p>
        </w:tc>
      </w:tr>
    </w:tbl>
    <w:p w14:paraId="5631F8E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6877B40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5F7A386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70EA0B5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1830C6F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23572BE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24A46D7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1D1ACC4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22D708B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06F2017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5338436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2812B18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2AF63A0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6EFF86D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3119AAF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r>
        <w:rPr>
          <w:rFonts w:hint="eastAsia" w:cs="Times New Roman"/>
          <w:b/>
          <w:bCs/>
          <w:sz w:val="24"/>
          <w:szCs w:val="24"/>
          <w:vertAlign w:val="baseline"/>
          <w:lang w:val="en-US" w:eastAsia="zh-CN"/>
        </w:rPr>
        <w:t xml:space="preserve">Table S4. </w:t>
      </w:r>
      <w:r>
        <w:rPr>
          <w:rFonts w:hint="default" w:ascii="Times New Roman" w:hAnsi="Times New Roman" w:eastAsia="宋体" w:cs="Times New Roman"/>
          <w:b/>
          <w:bCs/>
          <w:sz w:val="24"/>
          <w:szCs w:val="24"/>
        </w:rPr>
        <w:t>Results of phosphate concentration optimization</w:t>
      </w:r>
      <w:r>
        <w:rPr>
          <w:rFonts w:hint="eastAsia" w:cs="Times New Roman"/>
          <w:b/>
          <w:bCs/>
          <w:sz w:val="24"/>
          <w:szCs w:val="24"/>
          <w:lang w:val="en-US" w:eastAsia="zh-CN"/>
        </w:rPr>
        <w:t xml:space="preserve"> </w:t>
      </w:r>
      <w:r>
        <w:rPr>
          <w:rFonts w:hint="eastAsia" w:cs="Times New Roman"/>
          <w:b/>
          <w:bCs/>
          <w:sz w:val="24"/>
          <w:szCs w:val="24"/>
          <w:vertAlign w:val="baseline"/>
          <w:lang w:val="en-US" w:eastAsia="zh-CN"/>
        </w:rPr>
        <w:t>(yield, terminal OD</w:t>
      </w:r>
      <w:r>
        <w:rPr>
          <w:rFonts w:hint="eastAsia" w:cs="Times New Roman"/>
          <w:b/>
          <w:bCs/>
          <w:sz w:val="24"/>
          <w:szCs w:val="24"/>
          <w:vertAlign w:val="subscript"/>
          <w:lang w:val="en-US" w:eastAsia="zh-CN"/>
        </w:rPr>
        <w:t>600</w:t>
      </w:r>
      <w:r>
        <w:rPr>
          <w:rFonts w:hint="eastAsia" w:cs="Times New Roman"/>
          <w:b/>
          <w:bCs/>
          <w:sz w:val="24"/>
          <w:szCs w:val="24"/>
          <w:vertAlign w:val="baseline"/>
          <w:lang w:val="en-US" w:eastAsia="zh-CN"/>
        </w:rPr>
        <w:t>, terminal broth pH).</w:t>
      </w:r>
    </w:p>
    <w:tbl>
      <w:tblPr>
        <w:tblStyle w:val="3"/>
        <w:tblW w:w="4638" w:type="pct"/>
        <w:jc w:val="center"/>
        <w:tblLayout w:type="fixed"/>
        <w:tblCellMar>
          <w:top w:w="0" w:type="dxa"/>
          <w:left w:w="108" w:type="dxa"/>
          <w:bottom w:w="0" w:type="dxa"/>
          <w:right w:w="108" w:type="dxa"/>
        </w:tblCellMar>
      </w:tblPr>
      <w:tblGrid>
        <w:gridCol w:w="2135"/>
        <w:gridCol w:w="1344"/>
        <w:gridCol w:w="1475"/>
        <w:gridCol w:w="1343"/>
        <w:gridCol w:w="1609"/>
      </w:tblGrid>
      <w:tr w14:paraId="320C2B84">
        <w:tblPrEx>
          <w:tblCellMar>
            <w:top w:w="0" w:type="dxa"/>
            <w:left w:w="108" w:type="dxa"/>
            <w:bottom w:w="0" w:type="dxa"/>
            <w:right w:w="108" w:type="dxa"/>
          </w:tblCellMar>
        </w:tblPrEx>
        <w:trPr>
          <w:jc w:val="center"/>
        </w:trPr>
        <w:tc>
          <w:tcPr>
            <w:tcW w:w="1350" w:type="pct"/>
            <w:tcBorders>
              <w:top w:val="single" w:color="auto" w:sz="12" w:space="0"/>
              <w:bottom w:val="single" w:color="auto" w:sz="12" w:space="0"/>
            </w:tcBorders>
            <w:shd w:val="clear" w:color="auto" w:fill="auto"/>
            <w:vAlign w:val="center"/>
          </w:tcPr>
          <w:p w14:paraId="5AE0FC9D">
            <w:pPr>
              <w:widowControl/>
              <w:spacing w:before="60" w:after="60"/>
              <w:jc w:val="both"/>
              <w:rPr>
                <w:rFonts w:hint="eastAsia"/>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Phosphate</w:t>
            </w:r>
          </w:p>
          <w:p w14:paraId="47505BAF">
            <w:pPr>
              <w:widowControl/>
              <w:spacing w:before="60" w:after="60"/>
              <w:jc w:val="both"/>
              <w:rPr>
                <w:color w:val="000000" w:themeColor="text1"/>
                <w:kern w:val="0"/>
                <w:szCs w:val="24"/>
                <w14:textFill>
                  <w14:solidFill>
                    <w14:schemeClr w14:val="tx1"/>
                  </w14:solidFill>
                </w14:textFill>
              </w:rPr>
            </w:pPr>
            <w:r>
              <w:rPr>
                <w:rFonts w:hint="eastAsia"/>
                <w:color w:val="000000" w:themeColor="text1"/>
                <w:szCs w:val="24"/>
                <w14:textFill>
                  <w14:solidFill>
                    <w14:schemeClr w14:val="tx1"/>
                  </w14:solidFill>
                </w14:textFill>
              </w:rPr>
              <w:t>(total, mM)</w:t>
            </w:r>
          </w:p>
        </w:tc>
        <w:tc>
          <w:tcPr>
            <w:tcW w:w="849" w:type="pct"/>
            <w:tcBorders>
              <w:top w:val="single" w:color="auto" w:sz="12" w:space="0"/>
              <w:bottom w:val="single" w:color="auto" w:sz="12" w:space="0"/>
            </w:tcBorders>
            <w:shd w:val="clear" w:color="auto" w:fill="auto"/>
            <w:vAlign w:val="center"/>
          </w:tcPr>
          <w:p w14:paraId="2860E261">
            <w:pPr>
              <w:widowControl/>
              <w:spacing w:before="60" w:after="60"/>
              <w:jc w:val="both"/>
              <w:rPr>
                <w:color w:val="000000" w:themeColor="text1"/>
                <w:kern w:val="0"/>
                <w:szCs w:val="24"/>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 xml:space="preserve">cSAT-rhBNP </w:t>
            </w:r>
            <w:r>
              <w:rPr>
                <w:color w:val="000000" w:themeColor="text1"/>
                <w:kern w:val="0"/>
                <w:szCs w:val="24"/>
                <w14:textFill>
                  <w14:solidFill>
                    <w14:schemeClr w14:val="tx1"/>
                  </w14:solidFill>
                </w14:textFill>
              </w:rPr>
              <w:t>yield</w:t>
            </w:r>
          </w:p>
          <w:p w14:paraId="0EEF646C">
            <w:pPr>
              <w:widowControl/>
              <w:spacing w:before="60" w:after="60"/>
              <w:jc w:val="both"/>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(mg/L medium)</w:t>
            </w:r>
          </w:p>
        </w:tc>
        <w:tc>
          <w:tcPr>
            <w:tcW w:w="932" w:type="pct"/>
            <w:tcBorders>
              <w:top w:val="single" w:color="auto" w:sz="12" w:space="0"/>
              <w:bottom w:val="single" w:color="auto" w:sz="12" w:space="0"/>
            </w:tcBorders>
            <w:shd w:val="clear" w:color="auto" w:fill="auto"/>
            <w:vAlign w:val="center"/>
          </w:tcPr>
          <w:p w14:paraId="540AF733">
            <w:pPr>
              <w:widowControl/>
              <w:spacing w:before="60" w:after="60"/>
              <w:jc w:val="both"/>
              <w:rPr>
                <w:color w:val="000000" w:themeColor="text1"/>
                <w:kern w:val="0"/>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rh</w:t>
            </w:r>
            <w:r>
              <w:rPr>
                <w:color w:val="000000" w:themeColor="text1"/>
                <w:szCs w:val="24"/>
                <w14:textFill>
                  <w14:solidFill>
                    <w14:schemeClr w14:val="tx1"/>
                  </w14:solidFill>
                </w14:textFill>
              </w:rPr>
              <w:t>BNP</w:t>
            </w:r>
            <w:r>
              <w:rPr>
                <w:color w:val="000000" w:themeColor="text1"/>
                <w:kern w:val="0"/>
                <w:szCs w:val="24"/>
                <w14:textFill>
                  <w14:solidFill>
                    <w14:schemeClr w14:val="tx1"/>
                  </w14:solidFill>
                </w14:textFill>
              </w:rPr>
              <w:t xml:space="preserve"> yield</w:t>
            </w:r>
          </w:p>
          <w:p w14:paraId="17B77A40">
            <w:pPr>
              <w:widowControl/>
              <w:spacing w:before="60" w:after="60"/>
              <w:jc w:val="both"/>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(mg/L medium)</w:t>
            </w:r>
          </w:p>
        </w:tc>
        <w:tc>
          <w:tcPr>
            <w:tcW w:w="849" w:type="pct"/>
            <w:tcBorders>
              <w:top w:val="single" w:color="auto" w:sz="12" w:space="0"/>
              <w:bottom w:val="single" w:color="auto" w:sz="12" w:space="0"/>
            </w:tcBorders>
            <w:vAlign w:val="center"/>
          </w:tcPr>
          <w:p w14:paraId="6E240FA5">
            <w:pPr>
              <w:widowControl/>
              <w:spacing w:before="60" w:after="60"/>
              <w:jc w:val="both"/>
              <w:rPr>
                <w:rFonts w:hint="default" w:eastAsia="宋体"/>
                <w:color w:val="000000" w:themeColor="text1"/>
                <w:kern w:val="0"/>
                <w:szCs w:val="24"/>
                <w:vertAlign w:val="subscript"/>
                <w:lang w:val="en-US" w:eastAsia="zh-CN"/>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Terminal OD</w:t>
            </w:r>
            <w:r>
              <w:rPr>
                <w:rFonts w:hint="eastAsia"/>
                <w:color w:val="000000" w:themeColor="text1"/>
                <w:kern w:val="0"/>
                <w:szCs w:val="24"/>
                <w:vertAlign w:val="subscript"/>
                <w:lang w:val="en-US" w:eastAsia="zh-CN"/>
                <w14:textFill>
                  <w14:solidFill>
                    <w14:schemeClr w14:val="tx1"/>
                  </w14:solidFill>
                </w14:textFill>
              </w:rPr>
              <w:t>600</w:t>
            </w:r>
          </w:p>
        </w:tc>
        <w:tc>
          <w:tcPr>
            <w:tcW w:w="1017" w:type="pct"/>
            <w:tcBorders>
              <w:top w:val="single" w:color="auto" w:sz="12" w:space="0"/>
              <w:bottom w:val="single" w:color="auto" w:sz="12" w:space="0"/>
            </w:tcBorders>
            <w:shd w:val="clear" w:color="auto" w:fill="auto"/>
            <w:vAlign w:val="center"/>
          </w:tcPr>
          <w:p w14:paraId="6CF47CA9">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Terminal pH (broth)</w:t>
            </w:r>
          </w:p>
        </w:tc>
      </w:tr>
      <w:tr w14:paraId="56A2EE1A">
        <w:tblPrEx>
          <w:tblCellMar>
            <w:top w:w="0" w:type="dxa"/>
            <w:left w:w="108" w:type="dxa"/>
            <w:bottom w:w="0" w:type="dxa"/>
            <w:right w:w="108" w:type="dxa"/>
          </w:tblCellMar>
        </w:tblPrEx>
        <w:trPr>
          <w:jc w:val="center"/>
        </w:trPr>
        <w:tc>
          <w:tcPr>
            <w:tcW w:w="1350" w:type="pct"/>
            <w:tcBorders>
              <w:top w:val="single" w:color="auto" w:sz="12" w:space="0"/>
            </w:tcBorders>
            <w:shd w:val="clear" w:color="auto" w:fill="auto"/>
            <w:vAlign w:val="center"/>
          </w:tcPr>
          <w:p w14:paraId="23C887A1">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0 (LB medium)</w:t>
            </w:r>
          </w:p>
        </w:tc>
        <w:tc>
          <w:tcPr>
            <w:tcW w:w="849" w:type="pct"/>
            <w:tcBorders>
              <w:top w:val="single" w:color="auto" w:sz="12" w:space="0"/>
            </w:tcBorders>
            <w:shd w:val="clear" w:color="auto" w:fill="auto"/>
            <w:vAlign w:val="center"/>
          </w:tcPr>
          <w:p w14:paraId="76D3D388">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977</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14</w:t>
            </w:r>
          </w:p>
        </w:tc>
        <w:tc>
          <w:tcPr>
            <w:tcW w:w="932" w:type="pct"/>
            <w:tcBorders>
              <w:top w:val="single" w:color="auto" w:sz="12" w:space="0"/>
            </w:tcBorders>
            <w:vAlign w:val="center"/>
          </w:tcPr>
          <w:p w14:paraId="5C29F8F6">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70.4</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2.7</w:t>
            </w:r>
          </w:p>
        </w:tc>
        <w:tc>
          <w:tcPr>
            <w:tcW w:w="849" w:type="pct"/>
            <w:tcBorders>
              <w:top w:val="single" w:color="auto" w:sz="12" w:space="0"/>
            </w:tcBorders>
            <w:shd w:val="clear" w:color="auto" w:fill="auto"/>
            <w:vAlign w:val="center"/>
          </w:tcPr>
          <w:p w14:paraId="47B866F4">
            <w:pPr>
              <w:widowControl/>
              <w:spacing w:before="60" w:after="60"/>
              <w:jc w:val="both"/>
              <w:rPr>
                <w:rFonts w:hint="eastAsia"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11.7</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3</w:t>
            </w:r>
          </w:p>
        </w:tc>
        <w:tc>
          <w:tcPr>
            <w:tcW w:w="1017" w:type="pct"/>
            <w:tcBorders>
              <w:top w:val="single" w:color="auto" w:sz="12" w:space="0"/>
            </w:tcBorders>
            <w:shd w:val="clear" w:color="auto" w:fill="auto"/>
            <w:vAlign w:val="center"/>
          </w:tcPr>
          <w:p w14:paraId="02F6EE99">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8.89</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0.04</w:t>
            </w:r>
          </w:p>
        </w:tc>
      </w:tr>
      <w:tr w14:paraId="39D03F81">
        <w:tblPrEx>
          <w:tblCellMar>
            <w:top w:w="0" w:type="dxa"/>
            <w:left w:w="108" w:type="dxa"/>
            <w:bottom w:w="0" w:type="dxa"/>
            <w:right w:w="108" w:type="dxa"/>
          </w:tblCellMar>
        </w:tblPrEx>
        <w:trPr>
          <w:jc w:val="center"/>
        </w:trPr>
        <w:tc>
          <w:tcPr>
            <w:tcW w:w="1350" w:type="pct"/>
            <w:shd w:val="clear" w:color="auto" w:fill="auto"/>
            <w:vAlign w:val="center"/>
          </w:tcPr>
          <w:p w14:paraId="120DBFA0">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10</w:t>
            </w:r>
          </w:p>
        </w:tc>
        <w:tc>
          <w:tcPr>
            <w:tcW w:w="849" w:type="pct"/>
            <w:shd w:val="clear" w:color="auto" w:fill="auto"/>
            <w:vAlign w:val="center"/>
          </w:tcPr>
          <w:p w14:paraId="2C2E0B7A">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1327</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69</w:t>
            </w:r>
          </w:p>
        </w:tc>
        <w:tc>
          <w:tcPr>
            <w:tcW w:w="932" w:type="pct"/>
            <w:vAlign w:val="center"/>
          </w:tcPr>
          <w:p w14:paraId="4741EB34">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115.6</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5.2</w:t>
            </w:r>
          </w:p>
        </w:tc>
        <w:tc>
          <w:tcPr>
            <w:tcW w:w="849" w:type="pct"/>
            <w:shd w:val="clear" w:color="auto" w:fill="auto"/>
            <w:vAlign w:val="center"/>
          </w:tcPr>
          <w:p w14:paraId="641941A5">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 xml:space="preserve">12.4 </w:t>
            </w:r>
            <w:r>
              <w:rPr>
                <w:color w:val="000000" w:themeColor="text1"/>
                <w:szCs w:val="24"/>
                <w14:textFill>
                  <w14:solidFill>
                    <w14:schemeClr w14:val="tx1"/>
                  </w14:solidFill>
                </w14:textFill>
              </w:rPr>
              <w:t xml:space="preserve">± </w:t>
            </w:r>
            <w:r>
              <w:rPr>
                <w:rFonts w:hint="eastAsia"/>
                <w:color w:val="000000" w:themeColor="text1"/>
                <w:szCs w:val="24"/>
                <w:lang w:val="en-US" w:eastAsia="zh-CN"/>
                <w14:textFill>
                  <w14:solidFill>
                    <w14:schemeClr w14:val="tx1"/>
                  </w14:solidFill>
                </w14:textFill>
              </w:rPr>
              <w:t>0.2</w:t>
            </w:r>
          </w:p>
        </w:tc>
        <w:tc>
          <w:tcPr>
            <w:tcW w:w="1017" w:type="pct"/>
            <w:shd w:val="clear" w:color="auto" w:fill="auto"/>
            <w:vAlign w:val="center"/>
          </w:tcPr>
          <w:p w14:paraId="7E18AD43">
            <w:pPr>
              <w:widowControl/>
              <w:spacing w:before="60" w:after="60"/>
              <w:jc w:val="both"/>
              <w:rPr>
                <w:rFonts w:hint="default"/>
                <w:color w:val="000000" w:themeColor="text1"/>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8.88</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0.03</w:t>
            </w:r>
          </w:p>
        </w:tc>
      </w:tr>
      <w:tr w14:paraId="1941D81B">
        <w:tblPrEx>
          <w:tblCellMar>
            <w:top w:w="0" w:type="dxa"/>
            <w:left w:w="108" w:type="dxa"/>
            <w:bottom w:w="0" w:type="dxa"/>
            <w:right w:w="108" w:type="dxa"/>
          </w:tblCellMar>
        </w:tblPrEx>
        <w:trPr>
          <w:jc w:val="center"/>
        </w:trPr>
        <w:tc>
          <w:tcPr>
            <w:tcW w:w="1350" w:type="pct"/>
            <w:shd w:val="clear" w:color="auto" w:fill="auto"/>
            <w:vAlign w:val="center"/>
          </w:tcPr>
          <w:p w14:paraId="6BEBBC79">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20</w:t>
            </w:r>
          </w:p>
        </w:tc>
        <w:tc>
          <w:tcPr>
            <w:tcW w:w="849" w:type="pct"/>
            <w:shd w:val="clear" w:color="auto" w:fill="auto"/>
            <w:vAlign w:val="center"/>
          </w:tcPr>
          <w:p w14:paraId="5D421630">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1188</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80</w:t>
            </w:r>
          </w:p>
        </w:tc>
        <w:tc>
          <w:tcPr>
            <w:tcW w:w="932" w:type="pct"/>
            <w:vAlign w:val="center"/>
          </w:tcPr>
          <w:p w14:paraId="77E80D4F">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98.9</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2.1</w:t>
            </w:r>
          </w:p>
        </w:tc>
        <w:tc>
          <w:tcPr>
            <w:tcW w:w="849" w:type="pct"/>
            <w:shd w:val="clear" w:color="auto" w:fill="auto"/>
            <w:vAlign w:val="center"/>
          </w:tcPr>
          <w:p w14:paraId="7A463A5F">
            <w:pPr>
              <w:widowControl/>
              <w:spacing w:before="60" w:after="60"/>
              <w:jc w:val="both"/>
              <w:rPr>
                <w:rFonts w:hint="eastAsia"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14.3</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3</w:t>
            </w:r>
          </w:p>
        </w:tc>
        <w:tc>
          <w:tcPr>
            <w:tcW w:w="1017" w:type="pct"/>
            <w:shd w:val="clear" w:color="auto" w:fill="auto"/>
            <w:vAlign w:val="center"/>
          </w:tcPr>
          <w:p w14:paraId="4EA9BDB2">
            <w:pPr>
              <w:widowControl/>
              <w:spacing w:before="60" w:after="60"/>
              <w:jc w:val="both"/>
              <w:rPr>
                <w:rFonts w:hint="default"/>
                <w:color w:val="000000" w:themeColor="text1"/>
                <w:kern w:val="0"/>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8.78</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0.04</w:t>
            </w:r>
          </w:p>
        </w:tc>
      </w:tr>
      <w:tr w14:paraId="76C3454C">
        <w:tblPrEx>
          <w:tblCellMar>
            <w:top w:w="0" w:type="dxa"/>
            <w:left w:w="108" w:type="dxa"/>
            <w:bottom w:w="0" w:type="dxa"/>
            <w:right w:w="108" w:type="dxa"/>
          </w:tblCellMar>
        </w:tblPrEx>
        <w:trPr>
          <w:jc w:val="center"/>
        </w:trPr>
        <w:tc>
          <w:tcPr>
            <w:tcW w:w="1350" w:type="pct"/>
            <w:shd w:val="clear" w:color="auto" w:fill="auto"/>
            <w:vAlign w:val="center"/>
          </w:tcPr>
          <w:p w14:paraId="4C25FD9B">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50</w:t>
            </w:r>
          </w:p>
        </w:tc>
        <w:tc>
          <w:tcPr>
            <w:tcW w:w="849" w:type="pct"/>
            <w:shd w:val="clear" w:color="auto" w:fill="auto"/>
            <w:vAlign w:val="center"/>
          </w:tcPr>
          <w:p w14:paraId="5566B503">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1090</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42</w:t>
            </w:r>
          </w:p>
        </w:tc>
        <w:tc>
          <w:tcPr>
            <w:tcW w:w="932" w:type="pct"/>
            <w:vAlign w:val="center"/>
          </w:tcPr>
          <w:p w14:paraId="0DCD5FF7">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83.5</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5.1</w:t>
            </w:r>
          </w:p>
        </w:tc>
        <w:tc>
          <w:tcPr>
            <w:tcW w:w="849" w:type="pct"/>
            <w:shd w:val="clear" w:color="auto" w:fill="auto"/>
            <w:vAlign w:val="center"/>
          </w:tcPr>
          <w:p w14:paraId="4B966D6D">
            <w:pPr>
              <w:widowControl/>
              <w:spacing w:before="60" w:after="60"/>
              <w:jc w:val="both"/>
              <w:rPr>
                <w:rFonts w:hint="eastAsia"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13.5</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2</w:t>
            </w:r>
          </w:p>
        </w:tc>
        <w:tc>
          <w:tcPr>
            <w:tcW w:w="1017" w:type="pct"/>
            <w:shd w:val="clear" w:color="auto" w:fill="auto"/>
            <w:vAlign w:val="center"/>
          </w:tcPr>
          <w:p w14:paraId="517DD658">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8.39</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0.05</w:t>
            </w:r>
          </w:p>
        </w:tc>
      </w:tr>
      <w:tr w14:paraId="40BC685D">
        <w:tblPrEx>
          <w:tblCellMar>
            <w:top w:w="0" w:type="dxa"/>
            <w:left w:w="108" w:type="dxa"/>
            <w:bottom w:w="0" w:type="dxa"/>
            <w:right w:w="108" w:type="dxa"/>
          </w:tblCellMar>
        </w:tblPrEx>
        <w:trPr>
          <w:jc w:val="center"/>
        </w:trPr>
        <w:tc>
          <w:tcPr>
            <w:tcW w:w="1350" w:type="pct"/>
            <w:tcBorders>
              <w:bottom w:val="single" w:color="auto" w:sz="12" w:space="0"/>
            </w:tcBorders>
            <w:shd w:val="clear" w:color="auto" w:fill="auto"/>
            <w:vAlign w:val="center"/>
          </w:tcPr>
          <w:p w14:paraId="4F207698">
            <w:pPr>
              <w:widowControl/>
              <w:spacing w:before="60" w:after="60"/>
              <w:jc w:val="both"/>
              <w:rPr>
                <w:rFonts w:hint="default"/>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100</w:t>
            </w:r>
          </w:p>
        </w:tc>
        <w:tc>
          <w:tcPr>
            <w:tcW w:w="849" w:type="pct"/>
            <w:tcBorders>
              <w:bottom w:val="single" w:color="auto" w:sz="12" w:space="0"/>
            </w:tcBorders>
            <w:shd w:val="clear" w:color="auto" w:fill="auto"/>
            <w:vAlign w:val="center"/>
          </w:tcPr>
          <w:p w14:paraId="0A0666CC">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707</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34</w:t>
            </w:r>
          </w:p>
        </w:tc>
        <w:tc>
          <w:tcPr>
            <w:tcW w:w="932" w:type="pct"/>
            <w:tcBorders>
              <w:bottom w:val="single" w:color="auto" w:sz="12" w:space="0"/>
            </w:tcBorders>
            <w:vAlign w:val="center"/>
          </w:tcPr>
          <w:p w14:paraId="25CC8FC7">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66.7</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5.8</w:t>
            </w:r>
          </w:p>
        </w:tc>
        <w:tc>
          <w:tcPr>
            <w:tcW w:w="849" w:type="pct"/>
            <w:tcBorders>
              <w:bottom w:val="single" w:color="auto" w:sz="12" w:space="0"/>
            </w:tcBorders>
            <w:shd w:val="clear" w:color="auto" w:fill="auto"/>
            <w:vAlign w:val="center"/>
          </w:tcPr>
          <w:p w14:paraId="1C8D45F6">
            <w:pPr>
              <w:widowControl/>
              <w:spacing w:before="60" w:after="60"/>
              <w:jc w:val="both"/>
              <w:rPr>
                <w:color w:val="000000" w:themeColor="text1"/>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13.6</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3</w:t>
            </w:r>
          </w:p>
        </w:tc>
        <w:tc>
          <w:tcPr>
            <w:tcW w:w="1017" w:type="pct"/>
            <w:tcBorders>
              <w:bottom w:val="single" w:color="auto" w:sz="12" w:space="0"/>
            </w:tcBorders>
            <w:shd w:val="clear" w:color="auto" w:fill="auto"/>
            <w:vAlign w:val="center"/>
          </w:tcPr>
          <w:p w14:paraId="485306EC">
            <w:pPr>
              <w:widowControl/>
              <w:spacing w:before="60" w:after="60"/>
              <w:jc w:val="both"/>
              <w:rPr>
                <w:rFonts w:hint="default"/>
                <w:color w:val="000000" w:themeColor="text1"/>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7.61</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0.06</w:t>
            </w:r>
          </w:p>
        </w:tc>
      </w:tr>
    </w:tbl>
    <w:p w14:paraId="2517F83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0279F79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43E24F3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39F35B7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05999D5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1DDB855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49C6530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650CF69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0C2A2A5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4876BC6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2D81E68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1B473A0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632C274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518EC82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Times New Roman" w:hAnsi="Times New Roman" w:eastAsia="宋体" w:cs="Times New Roman"/>
          <w:b/>
          <w:bCs/>
          <w:sz w:val="24"/>
          <w:szCs w:val="24"/>
          <w:vertAlign w:val="baseline"/>
          <w:lang w:val="en-US" w:eastAsia="zh-CN"/>
        </w:rPr>
      </w:pPr>
    </w:p>
    <w:p w14:paraId="2A33B10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Table S</w:t>
      </w:r>
      <w:r>
        <w:rPr>
          <w:rFonts w:hint="eastAsia" w:cs="Times New Roman"/>
          <w:b/>
          <w:bCs/>
          <w:sz w:val="24"/>
          <w:szCs w:val="24"/>
          <w:vertAlign w:val="baseline"/>
          <w:lang w:val="en-US" w:eastAsia="zh-CN"/>
        </w:rPr>
        <w:t>5</w:t>
      </w:r>
      <w:r>
        <w:rPr>
          <w:rFonts w:hint="eastAsia" w:ascii="Times New Roman" w:hAnsi="Times New Roman" w:eastAsia="宋体" w:cs="Times New Roman"/>
          <w:b/>
          <w:bCs/>
          <w:sz w:val="24"/>
          <w:szCs w:val="24"/>
          <w:vertAlign w:val="baseline"/>
          <w:lang w:val="en-US" w:eastAsia="zh-CN"/>
        </w:rPr>
        <w:t>. Results of glucose concentration optimization</w:t>
      </w:r>
      <w:r>
        <w:rPr>
          <w:rFonts w:hint="eastAsia" w:cs="Times New Roman"/>
          <w:b/>
          <w:bCs/>
          <w:sz w:val="24"/>
          <w:szCs w:val="24"/>
          <w:vertAlign w:val="baseline"/>
          <w:lang w:val="en-US" w:eastAsia="zh-CN"/>
        </w:rPr>
        <w:t xml:space="preserve"> (yield, terminal OD</w:t>
      </w:r>
      <w:r>
        <w:rPr>
          <w:rFonts w:hint="eastAsia" w:cs="Times New Roman"/>
          <w:b/>
          <w:bCs/>
          <w:sz w:val="24"/>
          <w:szCs w:val="24"/>
          <w:vertAlign w:val="subscript"/>
          <w:lang w:val="en-US" w:eastAsia="zh-CN"/>
        </w:rPr>
        <w:t>600</w:t>
      </w:r>
      <w:r>
        <w:rPr>
          <w:rFonts w:hint="eastAsia" w:cs="Times New Roman"/>
          <w:b/>
          <w:bCs/>
          <w:sz w:val="24"/>
          <w:szCs w:val="24"/>
          <w:vertAlign w:val="baseline"/>
          <w:lang w:val="en-US" w:eastAsia="zh-CN"/>
        </w:rPr>
        <w:t>, terminal broth pH).</w:t>
      </w:r>
    </w:p>
    <w:tbl>
      <w:tblPr>
        <w:tblStyle w:val="3"/>
        <w:tblW w:w="4638" w:type="pct"/>
        <w:jc w:val="center"/>
        <w:tblLayout w:type="fixed"/>
        <w:tblCellMar>
          <w:top w:w="0" w:type="dxa"/>
          <w:left w:w="108" w:type="dxa"/>
          <w:bottom w:w="0" w:type="dxa"/>
          <w:right w:w="108" w:type="dxa"/>
        </w:tblCellMar>
      </w:tblPr>
      <w:tblGrid>
        <w:gridCol w:w="2135"/>
        <w:gridCol w:w="1344"/>
        <w:gridCol w:w="1475"/>
        <w:gridCol w:w="1343"/>
        <w:gridCol w:w="1609"/>
      </w:tblGrid>
      <w:tr w14:paraId="37022F57">
        <w:tblPrEx>
          <w:tblCellMar>
            <w:top w:w="0" w:type="dxa"/>
            <w:left w:w="108" w:type="dxa"/>
            <w:bottom w:w="0" w:type="dxa"/>
            <w:right w:w="108" w:type="dxa"/>
          </w:tblCellMar>
        </w:tblPrEx>
        <w:trPr>
          <w:jc w:val="center"/>
        </w:trPr>
        <w:tc>
          <w:tcPr>
            <w:tcW w:w="1350" w:type="pct"/>
            <w:tcBorders>
              <w:top w:val="single" w:color="auto" w:sz="12" w:space="0"/>
              <w:bottom w:val="single" w:color="auto" w:sz="12" w:space="0"/>
            </w:tcBorders>
            <w:shd w:val="clear" w:color="auto" w:fill="auto"/>
            <w:vAlign w:val="center"/>
          </w:tcPr>
          <w:p w14:paraId="770956C6">
            <w:pPr>
              <w:widowControl/>
              <w:spacing w:before="60" w:after="60"/>
              <w:jc w:val="both"/>
              <w:rPr>
                <w:color w:val="000000" w:themeColor="text1"/>
                <w:kern w:val="0"/>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Glucose</w:t>
            </w:r>
            <w:r>
              <w:rPr>
                <w:rFonts w:hint="eastAsia"/>
                <w:color w:val="000000" w:themeColor="text1"/>
                <w:szCs w:val="24"/>
                <w14:textFill>
                  <w14:solidFill>
                    <w14:schemeClr w14:val="tx1"/>
                  </w14:solidFill>
                </w14:textFill>
              </w:rPr>
              <w:t xml:space="preserve"> (mM)</w:t>
            </w:r>
          </w:p>
        </w:tc>
        <w:tc>
          <w:tcPr>
            <w:tcW w:w="849" w:type="pct"/>
            <w:tcBorders>
              <w:top w:val="single" w:color="auto" w:sz="12" w:space="0"/>
              <w:bottom w:val="single" w:color="auto" w:sz="12" w:space="0"/>
            </w:tcBorders>
            <w:shd w:val="clear" w:color="auto" w:fill="auto"/>
            <w:vAlign w:val="center"/>
          </w:tcPr>
          <w:p w14:paraId="7C0CBD90">
            <w:pPr>
              <w:widowControl/>
              <w:spacing w:before="60" w:after="60"/>
              <w:jc w:val="both"/>
              <w:rPr>
                <w:color w:val="000000" w:themeColor="text1"/>
                <w:kern w:val="0"/>
                <w:szCs w:val="24"/>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 xml:space="preserve">cSAT-rhBNP </w:t>
            </w:r>
            <w:r>
              <w:rPr>
                <w:color w:val="000000" w:themeColor="text1"/>
                <w:kern w:val="0"/>
                <w:szCs w:val="24"/>
                <w14:textFill>
                  <w14:solidFill>
                    <w14:schemeClr w14:val="tx1"/>
                  </w14:solidFill>
                </w14:textFill>
              </w:rPr>
              <w:t>yield</w:t>
            </w:r>
          </w:p>
          <w:p w14:paraId="2082D2EA">
            <w:pPr>
              <w:widowControl/>
              <w:spacing w:before="60" w:after="60"/>
              <w:jc w:val="both"/>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(mg/L medium)</w:t>
            </w:r>
          </w:p>
        </w:tc>
        <w:tc>
          <w:tcPr>
            <w:tcW w:w="932" w:type="pct"/>
            <w:tcBorders>
              <w:top w:val="single" w:color="auto" w:sz="12" w:space="0"/>
              <w:bottom w:val="single" w:color="auto" w:sz="12" w:space="0"/>
            </w:tcBorders>
            <w:shd w:val="clear" w:color="auto" w:fill="auto"/>
            <w:vAlign w:val="center"/>
          </w:tcPr>
          <w:p w14:paraId="545F654E">
            <w:pPr>
              <w:widowControl/>
              <w:spacing w:before="60" w:after="60"/>
              <w:jc w:val="both"/>
              <w:rPr>
                <w:color w:val="000000" w:themeColor="text1"/>
                <w:kern w:val="0"/>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rh</w:t>
            </w:r>
            <w:r>
              <w:rPr>
                <w:color w:val="000000" w:themeColor="text1"/>
                <w:szCs w:val="24"/>
                <w14:textFill>
                  <w14:solidFill>
                    <w14:schemeClr w14:val="tx1"/>
                  </w14:solidFill>
                </w14:textFill>
              </w:rPr>
              <w:t>BNP</w:t>
            </w:r>
            <w:r>
              <w:rPr>
                <w:color w:val="000000" w:themeColor="text1"/>
                <w:kern w:val="0"/>
                <w:szCs w:val="24"/>
                <w14:textFill>
                  <w14:solidFill>
                    <w14:schemeClr w14:val="tx1"/>
                  </w14:solidFill>
                </w14:textFill>
              </w:rPr>
              <w:t xml:space="preserve"> yield</w:t>
            </w:r>
          </w:p>
          <w:p w14:paraId="1AC11A88">
            <w:pPr>
              <w:widowControl/>
              <w:spacing w:before="60" w:after="60"/>
              <w:jc w:val="both"/>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(mg/L medium)</w:t>
            </w:r>
          </w:p>
        </w:tc>
        <w:tc>
          <w:tcPr>
            <w:tcW w:w="849" w:type="pct"/>
            <w:tcBorders>
              <w:top w:val="single" w:color="auto" w:sz="12" w:space="0"/>
              <w:bottom w:val="single" w:color="auto" w:sz="12" w:space="0"/>
            </w:tcBorders>
            <w:vAlign w:val="center"/>
          </w:tcPr>
          <w:p w14:paraId="7B84DE4B">
            <w:pPr>
              <w:widowControl/>
              <w:spacing w:before="60" w:after="60"/>
              <w:jc w:val="both"/>
              <w:rPr>
                <w:rFonts w:hint="default" w:eastAsia="宋体"/>
                <w:color w:val="000000" w:themeColor="text1"/>
                <w:kern w:val="0"/>
                <w:szCs w:val="24"/>
                <w:vertAlign w:val="subscript"/>
                <w:lang w:val="en-US" w:eastAsia="zh-CN"/>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Terminal OD</w:t>
            </w:r>
            <w:r>
              <w:rPr>
                <w:rFonts w:hint="eastAsia"/>
                <w:color w:val="000000" w:themeColor="text1"/>
                <w:kern w:val="0"/>
                <w:szCs w:val="24"/>
                <w:vertAlign w:val="subscript"/>
                <w:lang w:val="en-US" w:eastAsia="zh-CN"/>
                <w14:textFill>
                  <w14:solidFill>
                    <w14:schemeClr w14:val="tx1"/>
                  </w14:solidFill>
                </w14:textFill>
              </w:rPr>
              <w:t>600</w:t>
            </w:r>
          </w:p>
        </w:tc>
        <w:tc>
          <w:tcPr>
            <w:tcW w:w="1017" w:type="pct"/>
            <w:tcBorders>
              <w:top w:val="single" w:color="auto" w:sz="12" w:space="0"/>
              <w:bottom w:val="single" w:color="auto" w:sz="12" w:space="0"/>
            </w:tcBorders>
            <w:shd w:val="clear" w:color="auto" w:fill="auto"/>
            <w:vAlign w:val="center"/>
          </w:tcPr>
          <w:p w14:paraId="43A3B7DA">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Terminal pH (broth)</w:t>
            </w:r>
          </w:p>
        </w:tc>
      </w:tr>
      <w:tr w14:paraId="776DCF04">
        <w:tblPrEx>
          <w:tblCellMar>
            <w:top w:w="0" w:type="dxa"/>
            <w:left w:w="108" w:type="dxa"/>
            <w:bottom w:w="0" w:type="dxa"/>
            <w:right w:w="108" w:type="dxa"/>
          </w:tblCellMar>
        </w:tblPrEx>
        <w:trPr>
          <w:jc w:val="center"/>
        </w:trPr>
        <w:tc>
          <w:tcPr>
            <w:tcW w:w="1350" w:type="pct"/>
            <w:tcBorders>
              <w:top w:val="single" w:color="auto" w:sz="12" w:space="0"/>
            </w:tcBorders>
            <w:shd w:val="clear" w:color="auto" w:fill="auto"/>
            <w:vAlign w:val="center"/>
          </w:tcPr>
          <w:p w14:paraId="283E14F1">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0</w:t>
            </w:r>
          </w:p>
        </w:tc>
        <w:tc>
          <w:tcPr>
            <w:tcW w:w="849" w:type="pct"/>
            <w:tcBorders>
              <w:top w:val="single" w:color="auto" w:sz="12" w:space="0"/>
            </w:tcBorders>
            <w:shd w:val="clear" w:color="auto" w:fill="auto"/>
            <w:vAlign w:val="center"/>
          </w:tcPr>
          <w:p w14:paraId="34442457">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1119</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30</w:t>
            </w:r>
          </w:p>
        </w:tc>
        <w:tc>
          <w:tcPr>
            <w:tcW w:w="932" w:type="pct"/>
            <w:tcBorders>
              <w:top w:val="single" w:color="auto" w:sz="12" w:space="0"/>
            </w:tcBorders>
            <w:vAlign w:val="center"/>
          </w:tcPr>
          <w:p w14:paraId="7CDEE770">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84.5</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5.1</w:t>
            </w:r>
          </w:p>
        </w:tc>
        <w:tc>
          <w:tcPr>
            <w:tcW w:w="849" w:type="pct"/>
            <w:tcBorders>
              <w:top w:val="single" w:color="auto" w:sz="12" w:space="0"/>
            </w:tcBorders>
            <w:shd w:val="clear" w:color="auto" w:fill="auto"/>
            <w:vAlign w:val="center"/>
          </w:tcPr>
          <w:p w14:paraId="5A90FF33">
            <w:pPr>
              <w:widowControl/>
              <w:spacing w:before="60" w:after="60"/>
              <w:jc w:val="both"/>
              <w:rPr>
                <w:rFonts w:hint="eastAsia"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13.6</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2</w:t>
            </w:r>
          </w:p>
        </w:tc>
        <w:tc>
          <w:tcPr>
            <w:tcW w:w="1017" w:type="pct"/>
            <w:tcBorders>
              <w:top w:val="single" w:color="auto" w:sz="12" w:space="0"/>
            </w:tcBorders>
            <w:shd w:val="clear" w:color="auto" w:fill="auto"/>
            <w:vAlign w:val="center"/>
          </w:tcPr>
          <w:p w14:paraId="36BFEE06">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8.44</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0.05</w:t>
            </w:r>
          </w:p>
        </w:tc>
      </w:tr>
      <w:tr w14:paraId="064720B6">
        <w:tblPrEx>
          <w:tblCellMar>
            <w:top w:w="0" w:type="dxa"/>
            <w:left w:w="108" w:type="dxa"/>
            <w:bottom w:w="0" w:type="dxa"/>
            <w:right w:w="108" w:type="dxa"/>
          </w:tblCellMar>
        </w:tblPrEx>
        <w:trPr>
          <w:jc w:val="center"/>
        </w:trPr>
        <w:tc>
          <w:tcPr>
            <w:tcW w:w="1350" w:type="pct"/>
            <w:shd w:val="clear" w:color="auto" w:fill="auto"/>
            <w:vAlign w:val="center"/>
          </w:tcPr>
          <w:p w14:paraId="690A2411">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10</w:t>
            </w:r>
          </w:p>
        </w:tc>
        <w:tc>
          <w:tcPr>
            <w:tcW w:w="849" w:type="pct"/>
            <w:shd w:val="clear" w:color="auto" w:fill="auto"/>
            <w:vAlign w:val="center"/>
          </w:tcPr>
          <w:p w14:paraId="38162BF9">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1140</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45</w:t>
            </w:r>
          </w:p>
        </w:tc>
        <w:tc>
          <w:tcPr>
            <w:tcW w:w="932" w:type="pct"/>
            <w:vAlign w:val="center"/>
          </w:tcPr>
          <w:p w14:paraId="07BED881">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92.5</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2.9</w:t>
            </w:r>
          </w:p>
        </w:tc>
        <w:tc>
          <w:tcPr>
            <w:tcW w:w="849" w:type="pct"/>
            <w:shd w:val="clear" w:color="auto" w:fill="auto"/>
            <w:vAlign w:val="center"/>
          </w:tcPr>
          <w:p w14:paraId="22D8654B">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 xml:space="preserve">15.6 </w:t>
            </w:r>
            <w:r>
              <w:rPr>
                <w:color w:val="000000" w:themeColor="text1"/>
                <w:szCs w:val="24"/>
                <w14:textFill>
                  <w14:solidFill>
                    <w14:schemeClr w14:val="tx1"/>
                  </w14:solidFill>
                </w14:textFill>
              </w:rPr>
              <w:t xml:space="preserve">± </w:t>
            </w:r>
            <w:r>
              <w:rPr>
                <w:rFonts w:hint="eastAsia"/>
                <w:color w:val="000000" w:themeColor="text1"/>
                <w:szCs w:val="24"/>
                <w:lang w:val="en-US" w:eastAsia="zh-CN"/>
                <w14:textFill>
                  <w14:solidFill>
                    <w14:schemeClr w14:val="tx1"/>
                  </w14:solidFill>
                </w14:textFill>
              </w:rPr>
              <w:t>0.3</w:t>
            </w:r>
          </w:p>
        </w:tc>
        <w:tc>
          <w:tcPr>
            <w:tcW w:w="1017" w:type="pct"/>
            <w:shd w:val="clear" w:color="auto" w:fill="auto"/>
            <w:vAlign w:val="center"/>
          </w:tcPr>
          <w:p w14:paraId="31A59A2B">
            <w:pPr>
              <w:widowControl/>
              <w:spacing w:before="60" w:after="60"/>
              <w:jc w:val="both"/>
              <w:rPr>
                <w:rFonts w:hint="default"/>
                <w:color w:val="000000" w:themeColor="text1"/>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7.86</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0.06</w:t>
            </w:r>
          </w:p>
        </w:tc>
      </w:tr>
      <w:tr w14:paraId="4747211C">
        <w:tblPrEx>
          <w:tblCellMar>
            <w:top w:w="0" w:type="dxa"/>
            <w:left w:w="108" w:type="dxa"/>
            <w:bottom w:w="0" w:type="dxa"/>
            <w:right w:w="108" w:type="dxa"/>
          </w:tblCellMar>
        </w:tblPrEx>
        <w:trPr>
          <w:jc w:val="center"/>
        </w:trPr>
        <w:tc>
          <w:tcPr>
            <w:tcW w:w="1350" w:type="pct"/>
            <w:shd w:val="clear" w:color="auto" w:fill="auto"/>
            <w:vAlign w:val="center"/>
          </w:tcPr>
          <w:p w14:paraId="7A6D7DC7">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30</w:t>
            </w:r>
          </w:p>
        </w:tc>
        <w:tc>
          <w:tcPr>
            <w:tcW w:w="849" w:type="pct"/>
            <w:shd w:val="clear" w:color="auto" w:fill="auto"/>
            <w:vAlign w:val="center"/>
          </w:tcPr>
          <w:p w14:paraId="5E1181AF">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1207</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45</w:t>
            </w:r>
          </w:p>
        </w:tc>
        <w:tc>
          <w:tcPr>
            <w:tcW w:w="932" w:type="pct"/>
            <w:vAlign w:val="center"/>
          </w:tcPr>
          <w:p w14:paraId="6D60D1EB">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99.1</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2.6</w:t>
            </w:r>
          </w:p>
        </w:tc>
        <w:tc>
          <w:tcPr>
            <w:tcW w:w="849" w:type="pct"/>
            <w:shd w:val="clear" w:color="auto" w:fill="auto"/>
            <w:vAlign w:val="center"/>
          </w:tcPr>
          <w:p w14:paraId="32C2A4C5">
            <w:pPr>
              <w:widowControl/>
              <w:spacing w:before="60" w:after="60"/>
              <w:jc w:val="both"/>
              <w:rPr>
                <w:rFonts w:hint="eastAsia"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17.4</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3</w:t>
            </w:r>
          </w:p>
        </w:tc>
        <w:tc>
          <w:tcPr>
            <w:tcW w:w="1017" w:type="pct"/>
            <w:shd w:val="clear" w:color="auto" w:fill="auto"/>
            <w:vAlign w:val="center"/>
          </w:tcPr>
          <w:p w14:paraId="349DFDA4">
            <w:pPr>
              <w:widowControl/>
              <w:spacing w:before="60" w:after="60"/>
              <w:jc w:val="both"/>
              <w:rPr>
                <w:rFonts w:hint="default"/>
                <w:color w:val="000000" w:themeColor="text1"/>
                <w:kern w:val="0"/>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7.49</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0.06</w:t>
            </w:r>
          </w:p>
        </w:tc>
      </w:tr>
      <w:tr w14:paraId="2C72BB6B">
        <w:tblPrEx>
          <w:tblCellMar>
            <w:top w:w="0" w:type="dxa"/>
            <w:left w:w="108" w:type="dxa"/>
            <w:bottom w:w="0" w:type="dxa"/>
            <w:right w:w="108" w:type="dxa"/>
          </w:tblCellMar>
        </w:tblPrEx>
        <w:trPr>
          <w:jc w:val="center"/>
        </w:trPr>
        <w:tc>
          <w:tcPr>
            <w:tcW w:w="1350" w:type="pct"/>
            <w:shd w:val="clear" w:color="auto" w:fill="auto"/>
            <w:vAlign w:val="center"/>
          </w:tcPr>
          <w:p w14:paraId="491C476B">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50</w:t>
            </w:r>
          </w:p>
        </w:tc>
        <w:tc>
          <w:tcPr>
            <w:tcW w:w="849" w:type="pct"/>
            <w:shd w:val="clear" w:color="auto" w:fill="auto"/>
            <w:vAlign w:val="center"/>
          </w:tcPr>
          <w:p w14:paraId="0C63A165">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1240</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61</w:t>
            </w:r>
          </w:p>
        </w:tc>
        <w:tc>
          <w:tcPr>
            <w:tcW w:w="932" w:type="pct"/>
            <w:vAlign w:val="center"/>
          </w:tcPr>
          <w:p w14:paraId="0BA8D608">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103.5</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3.0</w:t>
            </w:r>
          </w:p>
        </w:tc>
        <w:tc>
          <w:tcPr>
            <w:tcW w:w="849" w:type="pct"/>
            <w:shd w:val="clear" w:color="auto" w:fill="auto"/>
            <w:vAlign w:val="center"/>
          </w:tcPr>
          <w:p w14:paraId="162C1AAC">
            <w:pPr>
              <w:widowControl/>
              <w:spacing w:before="60" w:after="60"/>
              <w:jc w:val="both"/>
              <w:rPr>
                <w:rFonts w:hint="eastAsia"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16.2</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2</w:t>
            </w:r>
          </w:p>
        </w:tc>
        <w:tc>
          <w:tcPr>
            <w:tcW w:w="1017" w:type="pct"/>
            <w:shd w:val="clear" w:color="auto" w:fill="auto"/>
            <w:vAlign w:val="center"/>
          </w:tcPr>
          <w:p w14:paraId="17BC9CC6">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7.33</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0.05</w:t>
            </w:r>
          </w:p>
        </w:tc>
      </w:tr>
      <w:tr w14:paraId="03559A9D">
        <w:tblPrEx>
          <w:tblCellMar>
            <w:top w:w="0" w:type="dxa"/>
            <w:left w:w="108" w:type="dxa"/>
            <w:bottom w:w="0" w:type="dxa"/>
            <w:right w:w="108" w:type="dxa"/>
          </w:tblCellMar>
        </w:tblPrEx>
        <w:trPr>
          <w:jc w:val="center"/>
        </w:trPr>
        <w:tc>
          <w:tcPr>
            <w:tcW w:w="1350" w:type="pct"/>
            <w:tcBorders>
              <w:bottom w:val="single" w:color="auto" w:sz="12" w:space="0"/>
            </w:tcBorders>
            <w:shd w:val="clear" w:color="auto" w:fill="auto"/>
            <w:vAlign w:val="center"/>
          </w:tcPr>
          <w:p w14:paraId="384F3389">
            <w:pPr>
              <w:widowControl/>
              <w:spacing w:before="60" w:after="60"/>
              <w:jc w:val="both"/>
              <w:rPr>
                <w:rFonts w:hint="default"/>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100</w:t>
            </w:r>
          </w:p>
        </w:tc>
        <w:tc>
          <w:tcPr>
            <w:tcW w:w="849" w:type="pct"/>
            <w:tcBorders>
              <w:bottom w:val="single" w:color="auto" w:sz="12" w:space="0"/>
            </w:tcBorders>
            <w:shd w:val="clear" w:color="auto" w:fill="auto"/>
            <w:vAlign w:val="center"/>
          </w:tcPr>
          <w:p w14:paraId="703BB99D">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789</w:t>
            </w:r>
            <w:r>
              <w:rPr>
                <w:color w:val="000000" w:themeColor="text1"/>
                <w:szCs w:val="24"/>
                <w14:textFill>
                  <w14:solidFill>
                    <w14:schemeClr w14:val="tx1"/>
                  </w14:solidFill>
                </w14:textFill>
              </w:rPr>
              <w:t xml:space="preserve"> ±</w:t>
            </w:r>
            <w:r>
              <w:rPr>
                <w:rFonts w:hint="eastAsia"/>
                <w:color w:val="000000" w:themeColor="text1"/>
                <w:szCs w:val="24"/>
                <w:lang w:val="en-US" w:eastAsia="zh-CN"/>
                <w14:textFill>
                  <w14:solidFill>
                    <w14:schemeClr w14:val="tx1"/>
                  </w14:solidFill>
                </w14:textFill>
              </w:rPr>
              <w:t xml:space="preserve"> 104</w:t>
            </w:r>
          </w:p>
        </w:tc>
        <w:tc>
          <w:tcPr>
            <w:tcW w:w="932" w:type="pct"/>
            <w:tcBorders>
              <w:bottom w:val="single" w:color="auto" w:sz="12" w:space="0"/>
            </w:tcBorders>
            <w:vAlign w:val="center"/>
          </w:tcPr>
          <w:p w14:paraId="0330F59D">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42.3</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8.0</w:t>
            </w:r>
          </w:p>
        </w:tc>
        <w:tc>
          <w:tcPr>
            <w:tcW w:w="849" w:type="pct"/>
            <w:tcBorders>
              <w:bottom w:val="single" w:color="auto" w:sz="12" w:space="0"/>
            </w:tcBorders>
            <w:shd w:val="clear" w:color="auto" w:fill="auto"/>
            <w:vAlign w:val="center"/>
          </w:tcPr>
          <w:p w14:paraId="5AA91FAD">
            <w:pPr>
              <w:widowControl/>
              <w:spacing w:before="60" w:after="60"/>
              <w:jc w:val="both"/>
              <w:rPr>
                <w:color w:val="000000" w:themeColor="text1"/>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15.7</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3</w:t>
            </w:r>
          </w:p>
        </w:tc>
        <w:tc>
          <w:tcPr>
            <w:tcW w:w="1017" w:type="pct"/>
            <w:tcBorders>
              <w:bottom w:val="single" w:color="auto" w:sz="12" w:space="0"/>
            </w:tcBorders>
            <w:shd w:val="clear" w:color="auto" w:fill="auto"/>
            <w:vAlign w:val="center"/>
          </w:tcPr>
          <w:p w14:paraId="2CDF3E72">
            <w:pPr>
              <w:widowControl/>
              <w:spacing w:before="60" w:after="60"/>
              <w:jc w:val="both"/>
              <w:rPr>
                <w:rFonts w:hint="default"/>
                <w:color w:val="000000" w:themeColor="text1"/>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5.39</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0.05</w:t>
            </w:r>
          </w:p>
        </w:tc>
      </w:tr>
    </w:tbl>
    <w:p w14:paraId="793FDB4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1F571F9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7518C81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721E683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0699BCF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00AC19E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599A1D7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2A990AB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3CECEED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73F9314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046B2F2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3926021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465B45B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7443822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p>
    <w:p w14:paraId="6C697F8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cs="Times New Roman"/>
          <w:b/>
          <w:bCs/>
          <w:sz w:val="24"/>
          <w:szCs w:val="24"/>
          <w:vertAlign w:val="baseline"/>
          <w:lang w:val="en-US" w:eastAsia="zh-CN"/>
        </w:rPr>
      </w:pPr>
      <w:r>
        <w:rPr>
          <w:rFonts w:hint="eastAsia" w:cs="Times New Roman"/>
          <w:b/>
          <w:bCs/>
          <w:sz w:val="24"/>
          <w:szCs w:val="24"/>
          <w:vertAlign w:val="baseline"/>
          <w:lang w:val="en-US" w:eastAsia="zh-CN"/>
        </w:rPr>
        <w:t xml:space="preserve">Table S6. </w:t>
      </w:r>
      <w:r>
        <w:rPr>
          <w:rFonts w:hint="default" w:ascii="Times New Roman" w:hAnsi="Times New Roman" w:eastAsia="宋体" w:cs="Times New Roman"/>
          <w:b/>
          <w:bCs/>
          <w:sz w:val="24"/>
          <w:szCs w:val="24"/>
          <w:vertAlign w:val="baseline"/>
          <w:lang w:val="en-US" w:eastAsia="zh-CN"/>
        </w:rPr>
        <w:t>Results of (NH</w:t>
      </w:r>
      <w:r>
        <w:rPr>
          <w:rFonts w:hint="default" w:ascii="Times New Roman" w:hAnsi="Times New Roman" w:eastAsia="宋体" w:cs="Times New Roman"/>
          <w:b/>
          <w:bCs/>
          <w:sz w:val="24"/>
          <w:szCs w:val="24"/>
          <w:vertAlign w:val="subscript"/>
          <w:lang w:val="en-US" w:eastAsia="zh-CN"/>
        </w:rPr>
        <w:t>4</w:t>
      </w:r>
      <w:r>
        <w:rPr>
          <w:rFonts w:hint="default" w:ascii="Times New Roman" w:hAnsi="Times New Roman" w:eastAsia="宋体" w:cs="Times New Roman"/>
          <w:b/>
          <w:bCs/>
          <w:sz w:val="24"/>
          <w:szCs w:val="24"/>
          <w:vertAlign w:val="baseline"/>
          <w:lang w:val="en-US" w:eastAsia="zh-CN"/>
        </w:rPr>
        <w:t>)</w:t>
      </w:r>
      <w:r>
        <w:rPr>
          <w:rFonts w:hint="default" w:ascii="Times New Roman" w:hAnsi="Times New Roman" w:eastAsia="宋体" w:cs="Times New Roman"/>
          <w:b/>
          <w:bCs/>
          <w:sz w:val="24"/>
          <w:szCs w:val="24"/>
          <w:vertAlign w:val="subscript"/>
          <w:lang w:val="en-US" w:eastAsia="zh-CN"/>
        </w:rPr>
        <w:t>2</w:t>
      </w:r>
      <w:r>
        <w:rPr>
          <w:rFonts w:hint="default" w:ascii="Times New Roman" w:hAnsi="Times New Roman" w:eastAsia="宋体" w:cs="Times New Roman"/>
          <w:b/>
          <w:bCs/>
          <w:sz w:val="24"/>
          <w:szCs w:val="24"/>
          <w:vertAlign w:val="baseline"/>
          <w:lang w:val="en-US" w:eastAsia="zh-CN"/>
        </w:rPr>
        <w:t>SO</w:t>
      </w:r>
      <w:r>
        <w:rPr>
          <w:rFonts w:hint="default" w:ascii="Times New Roman" w:hAnsi="Times New Roman" w:eastAsia="宋体" w:cs="Times New Roman"/>
          <w:b/>
          <w:bCs/>
          <w:sz w:val="24"/>
          <w:szCs w:val="24"/>
          <w:vertAlign w:val="subscript"/>
          <w:lang w:val="en-US" w:eastAsia="zh-CN"/>
        </w:rPr>
        <w:t>4</w:t>
      </w:r>
      <w:r>
        <w:rPr>
          <w:rFonts w:hint="default" w:ascii="Times New Roman" w:hAnsi="Times New Roman" w:eastAsia="宋体" w:cs="Times New Roman"/>
          <w:b/>
          <w:bCs/>
          <w:sz w:val="24"/>
          <w:szCs w:val="24"/>
          <w:vertAlign w:val="baseline"/>
          <w:lang w:val="en-US" w:eastAsia="zh-CN"/>
        </w:rPr>
        <w:t xml:space="preserve"> concentration optimization</w:t>
      </w:r>
      <w:r>
        <w:rPr>
          <w:rFonts w:hint="eastAsia" w:cs="Times New Roman"/>
          <w:b/>
          <w:bCs/>
          <w:sz w:val="24"/>
          <w:szCs w:val="24"/>
          <w:vertAlign w:val="baseline"/>
          <w:lang w:val="en-US" w:eastAsia="zh-CN"/>
        </w:rPr>
        <w:t xml:space="preserve"> (yield, terminal OD</w:t>
      </w:r>
      <w:r>
        <w:rPr>
          <w:rFonts w:hint="eastAsia" w:cs="Times New Roman"/>
          <w:b/>
          <w:bCs/>
          <w:sz w:val="24"/>
          <w:szCs w:val="24"/>
          <w:vertAlign w:val="subscript"/>
          <w:lang w:val="en-US" w:eastAsia="zh-CN"/>
        </w:rPr>
        <w:t>600</w:t>
      </w:r>
      <w:r>
        <w:rPr>
          <w:rFonts w:hint="eastAsia" w:cs="Times New Roman"/>
          <w:b/>
          <w:bCs/>
          <w:sz w:val="24"/>
          <w:szCs w:val="24"/>
          <w:vertAlign w:val="baseline"/>
          <w:lang w:val="en-US" w:eastAsia="zh-CN"/>
        </w:rPr>
        <w:t>, terminal broth pH).</w:t>
      </w:r>
    </w:p>
    <w:tbl>
      <w:tblPr>
        <w:tblStyle w:val="3"/>
        <w:tblW w:w="4638" w:type="pct"/>
        <w:jc w:val="center"/>
        <w:tblLayout w:type="fixed"/>
        <w:tblCellMar>
          <w:top w:w="0" w:type="dxa"/>
          <w:left w:w="108" w:type="dxa"/>
          <w:bottom w:w="0" w:type="dxa"/>
          <w:right w:w="108" w:type="dxa"/>
        </w:tblCellMar>
      </w:tblPr>
      <w:tblGrid>
        <w:gridCol w:w="2135"/>
        <w:gridCol w:w="1344"/>
        <w:gridCol w:w="1475"/>
        <w:gridCol w:w="1343"/>
        <w:gridCol w:w="1609"/>
      </w:tblGrid>
      <w:tr w14:paraId="5643D92B">
        <w:tblPrEx>
          <w:tblCellMar>
            <w:top w:w="0" w:type="dxa"/>
            <w:left w:w="108" w:type="dxa"/>
            <w:bottom w:w="0" w:type="dxa"/>
            <w:right w:w="108" w:type="dxa"/>
          </w:tblCellMar>
        </w:tblPrEx>
        <w:trPr>
          <w:jc w:val="center"/>
        </w:trPr>
        <w:tc>
          <w:tcPr>
            <w:tcW w:w="1350" w:type="pct"/>
            <w:tcBorders>
              <w:top w:val="single" w:color="auto" w:sz="12" w:space="0"/>
              <w:bottom w:val="single" w:color="auto" w:sz="12" w:space="0"/>
            </w:tcBorders>
            <w:shd w:val="clear" w:color="auto" w:fill="auto"/>
            <w:vAlign w:val="center"/>
          </w:tcPr>
          <w:p w14:paraId="124DEC98">
            <w:pPr>
              <w:widowControl/>
              <w:spacing w:before="60" w:after="60"/>
              <w:jc w:val="both"/>
              <w:rPr>
                <w:rFonts w:hint="default"/>
                <w:color w:val="000000" w:themeColor="text1"/>
                <w:kern w:val="0"/>
                <w:szCs w:val="24"/>
                <w:vertAlign w:val="baseline"/>
                <w:lang w:val="en-US"/>
                <w14:textFill>
                  <w14:solidFill>
                    <w14:schemeClr w14:val="tx1"/>
                  </w14:solidFill>
                </w14:textFill>
              </w:rPr>
            </w:pPr>
            <w:r>
              <w:rPr>
                <w:rFonts w:hint="default" w:ascii="Times New Roman" w:hAnsi="Times New Roman" w:eastAsia="宋体" w:cs="Times New Roman"/>
                <w:b w:val="0"/>
                <w:bCs w:val="0"/>
                <w:sz w:val="24"/>
                <w:szCs w:val="24"/>
                <w:vertAlign w:val="baseline"/>
                <w:lang w:val="en-US" w:eastAsia="zh-CN"/>
              </w:rPr>
              <w:t>(NH</w:t>
            </w:r>
            <w:r>
              <w:rPr>
                <w:rFonts w:hint="default" w:ascii="Times New Roman" w:hAnsi="Times New Roman" w:eastAsia="宋体" w:cs="Times New Roman"/>
                <w:b w:val="0"/>
                <w:bCs w:val="0"/>
                <w:sz w:val="24"/>
                <w:szCs w:val="24"/>
                <w:vertAlign w:val="subscript"/>
                <w:lang w:val="en-US" w:eastAsia="zh-CN"/>
              </w:rPr>
              <w:t>4</w:t>
            </w:r>
            <w:r>
              <w:rPr>
                <w:rFonts w:hint="default"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subscript"/>
                <w:lang w:val="en-US" w:eastAsia="zh-CN"/>
              </w:rPr>
              <w:t>2</w:t>
            </w:r>
            <w:r>
              <w:rPr>
                <w:rFonts w:hint="default" w:ascii="Times New Roman" w:hAnsi="Times New Roman" w:eastAsia="宋体" w:cs="Times New Roman"/>
                <w:b w:val="0"/>
                <w:bCs w:val="0"/>
                <w:sz w:val="24"/>
                <w:szCs w:val="24"/>
                <w:vertAlign w:val="baseline"/>
                <w:lang w:val="en-US" w:eastAsia="zh-CN"/>
              </w:rPr>
              <w:t>SO</w:t>
            </w:r>
            <w:r>
              <w:rPr>
                <w:rFonts w:hint="default" w:ascii="Times New Roman" w:hAnsi="Times New Roman" w:eastAsia="宋体" w:cs="Times New Roman"/>
                <w:b w:val="0"/>
                <w:bCs w:val="0"/>
                <w:sz w:val="24"/>
                <w:szCs w:val="24"/>
                <w:vertAlign w:val="subscript"/>
                <w:lang w:val="en-US" w:eastAsia="zh-CN"/>
              </w:rPr>
              <w:t>4</w:t>
            </w:r>
            <w:r>
              <w:rPr>
                <w:rFonts w:hint="eastAsia" w:cs="Times New Roman"/>
                <w:b w:val="0"/>
                <w:bCs w:val="0"/>
                <w:sz w:val="24"/>
                <w:szCs w:val="24"/>
                <w:vertAlign w:val="baseline"/>
                <w:lang w:val="en-US" w:eastAsia="zh-CN"/>
              </w:rPr>
              <w:t xml:space="preserve"> (g/L)</w:t>
            </w:r>
          </w:p>
        </w:tc>
        <w:tc>
          <w:tcPr>
            <w:tcW w:w="849" w:type="pct"/>
            <w:tcBorders>
              <w:top w:val="single" w:color="auto" w:sz="12" w:space="0"/>
              <w:bottom w:val="single" w:color="auto" w:sz="12" w:space="0"/>
            </w:tcBorders>
            <w:shd w:val="clear" w:color="auto" w:fill="auto"/>
            <w:vAlign w:val="center"/>
          </w:tcPr>
          <w:p w14:paraId="6C97EFEA">
            <w:pPr>
              <w:widowControl/>
              <w:spacing w:before="60" w:after="60"/>
              <w:jc w:val="both"/>
              <w:rPr>
                <w:color w:val="000000" w:themeColor="text1"/>
                <w:kern w:val="0"/>
                <w:szCs w:val="24"/>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 xml:space="preserve">cSAT-rhBNP </w:t>
            </w:r>
            <w:r>
              <w:rPr>
                <w:color w:val="000000" w:themeColor="text1"/>
                <w:kern w:val="0"/>
                <w:szCs w:val="24"/>
                <w14:textFill>
                  <w14:solidFill>
                    <w14:schemeClr w14:val="tx1"/>
                  </w14:solidFill>
                </w14:textFill>
              </w:rPr>
              <w:t>yield</w:t>
            </w:r>
          </w:p>
          <w:p w14:paraId="0B53213A">
            <w:pPr>
              <w:widowControl/>
              <w:spacing w:before="60" w:after="60"/>
              <w:jc w:val="both"/>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(mg/L medium)</w:t>
            </w:r>
          </w:p>
        </w:tc>
        <w:tc>
          <w:tcPr>
            <w:tcW w:w="932" w:type="pct"/>
            <w:tcBorders>
              <w:top w:val="single" w:color="auto" w:sz="12" w:space="0"/>
              <w:bottom w:val="single" w:color="auto" w:sz="12" w:space="0"/>
            </w:tcBorders>
            <w:shd w:val="clear" w:color="auto" w:fill="auto"/>
            <w:vAlign w:val="center"/>
          </w:tcPr>
          <w:p w14:paraId="663F30D2">
            <w:pPr>
              <w:widowControl/>
              <w:spacing w:before="60" w:after="60"/>
              <w:jc w:val="both"/>
              <w:rPr>
                <w:color w:val="000000" w:themeColor="text1"/>
                <w:kern w:val="0"/>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rh</w:t>
            </w:r>
            <w:r>
              <w:rPr>
                <w:color w:val="000000" w:themeColor="text1"/>
                <w:szCs w:val="24"/>
                <w14:textFill>
                  <w14:solidFill>
                    <w14:schemeClr w14:val="tx1"/>
                  </w14:solidFill>
                </w14:textFill>
              </w:rPr>
              <w:t>BNP</w:t>
            </w:r>
            <w:r>
              <w:rPr>
                <w:color w:val="000000" w:themeColor="text1"/>
                <w:kern w:val="0"/>
                <w:szCs w:val="24"/>
                <w14:textFill>
                  <w14:solidFill>
                    <w14:schemeClr w14:val="tx1"/>
                  </w14:solidFill>
                </w14:textFill>
              </w:rPr>
              <w:t xml:space="preserve"> yield</w:t>
            </w:r>
          </w:p>
          <w:p w14:paraId="08F3C149">
            <w:pPr>
              <w:widowControl/>
              <w:spacing w:before="60" w:after="60"/>
              <w:jc w:val="both"/>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(mg/L medium)</w:t>
            </w:r>
          </w:p>
        </w:tc>
        <w:tc>
          <w:tcPr>
            <w:tcW w:w="849" w:type="pct"/>
            <w:tcBorders>
              <w:top w:val="single" w:color="auto" w:sz="12" w:space="0"/>
              <w:bottom w:val="single" w:color="auto" w:sz="12" w:space="0"/>
            </w:tcBorders>
            <w:vAlign w:val="center"/>
          </w:tcPr>
          <w:p w14:paraId="3248D46E">
            <w:pPr>
              <w:widowControl/>
              <w:spacing w:before="60" w:after="60"/>
              <w:jc w:val="both"/>
              <w:rPr>
                <w:rFonts w:hint="default" w:eastAsia="宋体"/>
                <w:color w:val="000000" w:themeColor="text1"/>
                <w:kern w:val="0"/>
                <w:szCs w:val="24"/>
                <w:vertAlign w:val="subscript"/>
                <w:lang w:val="en-US" w:eastAsia="zh-CN"/>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Terminal OD</w:t>
            </w:r>
            <w:r>
              <w:rPr>
                <w:rFonts w:hint="eastAsia"/>
                <w:color w:val="000000" w:themeColor="text1"/>
                <w:kern w:val="0"/>
                <w:szCs w:val="24"/>
                <w:vertAlign w:val="subscript"/>
                <w:lang w:val="en-US" w:eastAsia="zh-CN"/>
                <w14:textFill>
                  <w14:solidFill>
                    <w14:schemeClr w14:val="tx1"/>
                  </w14:solidFill>
                </w14:textFill>
              </w:rPr>
              <w:t>600</w:t>
            </w:r>
          </w:p>
        </w:tc>
        <w:tc>
          <w:tcPr>
            <w:tcW w:w="1017" w:type="pct"/>
            <w:tcBorders>
              <w:top w:val="single" w:color="auto" w:sz="12" w:space="0"/>
              <w:bottom w:val="single" w:color="auto" w:sz="12" w:space="0"/>
            </w:tcBorders>
            <w:shd w:val="clear" w:color="auto" w:fill="auto"/>
            <w:vAlign w:val="center"/>
          </w:tcPr>
          <w:p w14:paraId="26E2EFB0">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kern w:val="0"/>
                <w:szCs w:val="24"/>
                <w:lang w:val="en-US" w:eastAsia="zh-CN"/>
                <w14:textFill>
                  <w14:solidFill>
                    <w14:schemeClr w14:val="tx1"/>
                  </w14:solidFill>
                </w14:textFill>
              </w:rPr>
              <w:t>Terminal pH (broth)</w:t>
            </w:r>
          </w:p>
        </w:tc>
      </w:tr>
      <w:tr w14:paraId="4EB42121">
        <w:tblPrEx>
          <w:tblCellMar>
            <w:top w:w="0" w:type="dxa"/>
            <w:left w:w="108" w:type="dxa"/>
            <w:bottom w:w="0" w:type="dxa"/>
            <w:right w:w="108" w:type="dxa"/>
          </w:tblCellMar>
        </w:tblPrEx>
        <w:trPr>
          <w:jc w:val="center"/>
        </w:trPr>
        <w:tc>
          <w:tcPr>
            <w:tcW w:w="1350" w:type="pct"/>
            <w:tcBorders>
              <w:top w:val="single" w:color="auto" w:sz="12" w:space="0"/>
            </w:tcBorders>
            <w:shd w:val="clear" w:color="auto" w:fill="auto"/>
            <w:vAlign w:val="center"/>
          </w:tcPr>
          <w:p w14:paraId="4D1B8304">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0</w:t>
            </w:r>
          </w:p>
        </w:tc>
        <w:tc>
          <w:tcPr>
            <w:tcW w:w="849" w:type="pct"/>
            <w:tcBorders>
              <w:top w:val="single" w:color="auto" w:sz="12" w:space="0"/>
            </w:tcBorders>
            <w:shd w:val="clear" w:color="auto" w:fill="auto"/>
            <w:vAlign w:val="center"/>
          </w:tcPr>
          <w:p w14:paraId="68D9AE03">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1312</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28</w:t>
            </w:r>
          </w:p>
        </w:tc>
        <w:tc>
          <w:tcPr>
            <w:tcW w:w="932" w:type="pct"/>
            <w:tcBorders>
              <w:top w:val="single" w:color="auto" w:sz="12" w:space="0"/>
            </w:tcBorders>
            <w:vAlign w:val="center"/>
          </w:tcPr>
          <w:p w14:paraId="7DE58D92">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106.5</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6.2</w:t>
            </w:r>
          </w:p>
        </w:tc>
        <w:tc>
          <w:tcPr>
            <w:tcW w:w="849" w:type="pct"/>
            <w:tcBorders>
              <w:top w:val="single" w:color="auto" w:sz="12" w:space="0"/>
            </w:tcBorders>
            <w:shd w:val="clear" w:color="auto" w:fill="auto"/>
            <w:vAlign w:val="center"/>
          </w:tcPr>
          <w:p w14:paraId="1C9BC17E">
            <w:pPr>
              <w:widowControl/>
              <w:spacing w:before="60" w:after="60"/>
              <w:jc w:val="both"/>
              <w:rPr>
                <w:rFonts w:hint="eastAsia"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16.2</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2</w:t>
            </w:r>
          </w:p>
        </w:tc>
        <w:tc>
          <w:tcPr>
            <w:tcW w:w="1017" w:type="pct"/>
            <w:tcBorders>
              <w:top w:val="single" w:color="auto" w:sz="12" w:space="0"/>
            </w:tcBorders>
            <w:shd w:val="clear" w:color="auto" w:fill="auto"/>
            <w:vAlign w:val="center"/>
          </w:tcPr>
          <w:p w14:paraId="3D42EEEF">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7.33</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0.04</w:t>
            </w:r>
          </w:p>
        </w:tc>
      </w:tr>
      <w:tr w14:paraId="44996089">
        <w:tblPrEx>
          <w:tblCellMar>
            <w:top w:w="0" w:type="dxa"/>
            <w:left w:w="108" w:type="dxa"/>
            <w:bottom w:w="0" w:type="dxa"/>
            <w:right w:w="108" w:type="dxa"/>
          </w:tblCellMar>
        </w:tblPrEx>
        <w:trPr>
          <w:jc w:val="center"/>
        </w:trPr>
        <w:tc>
          <w:tcPr>
            <w:tcW w:w="1350" w:type="pct"/>
            <w:shd w:val="clear" w:color="auto" w:fill="auto"/>
            <w:vAlign w:val="center"/>
          </w:tcPr>
          <w:p w14:paraId="37CCE4F8">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1.7</w:t>
            </w:r>
          </w:p>
        </w:tc>
        <w:tc>
          <w:tcPr>
            <w:tcW w:w="849" w:type="pct"/>
            <w:shd w:val="clear" w:color="auto" w:fill="auto"/>
            <w:vAlign w:val="center"/>
          </w:tcPr>
          <w:p w14:paraId="79A8F9A5">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1408</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26</w:t>
            </w:r>
          </w:p>
        </w:tc>
        <w:tc>
          <w:tcPr>
            <w:tcW w:w="932" w:type="pct"/>
            <w:vAlign w:val="center"/>
          </w:tcPr>
          <w:p w14:paraId="21738847">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115.4</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4.7</w:t>
            </w:r>
          </w:p>
        </w:tc>
        <w:tc>
          <w:tcPr>
            <w:tcW w:w="849" w:type="pct"/>
            <w:shd w:val="clear" w:color="auto" w:fill="auto"/>
            <w:vAlign w:val="center"/>
          </w:tcPr>
          <w:p w14:paraId="52C6389A">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 xml:space="preserve">17.0 </w:t>
            </w:r>
            <w:r>
              <w:rPr>
                <w:color w:val="000000" w:themeColor="text1"/>
                <w:szCs w:val="24"/>
                <w14:textFill>
                  <w14:solidFill>
                    <w14:schemeClr w14:val="tx1"/>
                  </w14:solidFill>
                </w14:textFill>
              </w:rPr>
              <w:t xml:space="preserve">± </w:t>
            </w:r>
            <w:r>
              <w:rPr>
                <w:rFonts w:hint="eastAsia"/>
                <w:color w:val="000000" w:themeColor="text1"/>
                <w:szCs w:val="24"/>
                <w:lang w:val="en-US" w:eastAsia="zh-CN"/>
                <w14:textFill>
                  <w14:solidFill>
                    <w14:schemeClr w14:val="tx1"/>
                  </w14:solidFill>
                </w14:textFill>
              </w:rPr>
              <w:t>0.2</w:t>
            </w:r>
          </w:p>
        </w:tc>
        <w:tc>
          <w:tcPr>
            <w:tcW w:w="1017" w:type="pct"/>
            <w:shd w:val="clear" w:color="auto" w:fill="auto"/>
            <w:vAlign w:val="center"/>
          </w:tcPr>
          <w:p w14:paraId="4314431B">
            <w:pPr>
              <w:widowControl/>
              <w:spacing w:before="60" w:after="60"/>
              <w:jc w:val="both"/>
              <w:rPr>
                <w:rFonts w:hint="default"/>
                <w:color w:val="000000" w:themeColor="text1"/>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7.04</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0.02</w:t>
            </w:r>
          </w:p>
        </w:tc>
      </w:tr>
      <w:tr w14:paraId="5D4A2060">
        <w:tblPrEx>
          <w:tblCellMar>
            <w:top w:w="0" w:type="dxa"/>
            <w:left w:w="108" w:type="dxa"/>
            <w:bottom w:w="0" w:type="dxa"/>
            <w:right w:w="108" w:type="dxa"/>
          </w:tblCellMar>
        </w:tblPrEx>
        <w:trPr>
          <w:jc w:val="center"/>
        </w:trPr>
        <w:tc>
          <w:tcPr>
            <w:tcW w:w="1350" w:type="pct"/>
            <w:shd w:val="clear" w:color="auto" w:fill="auto"/>
            <w:vAlign w:val="center"/>
          </w:tcPr>
          <w:p w14:paraId="60034623">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3.4</w:t>
            </w:r>
          </w:p>
        </w:tc>
        <w:tc>
          <w:tcPr>
            <w:tcW w:w="849" w:type="pct"/>
            <w:shd w:val="clear" w:color="auto" w:fill="auto"/>
            <w:vAlign w:val="center"/>
          </w:tcPr>
          <w:p w14:paraId="5178FD46">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1322</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53</w:t>
            </w:r>
          </w:p>
        </w:tc>
        <w:tc>
          <w:tcPr>
            <w:tcW w:w="932" w:type="pct"/>
            <w:vAlign w:val="center"/>
          </w:tcPr>
          <w:p w14:paraId="225BF6E2">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77.2</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6.1</w:t>
            </w:r>
          </w:p>
        </w:tc>
        <w:tc>
          <w:tcPr>
            <w:tcW w:w="849" w:type="pct"/>
            <w:shd w:val="clear" w:color="auto" w:fill="auto"/>
            <w:vAlign w:val="center"/>
          </w:tcPr>
          <w:p w14:paraId="03447C69">
            <w:pPr>
              <w:widowControl/>
              <w:spacing w:before="60" w:after="60"/>
              <w:jc w:val="both"/>
              <w:rPr>
                <w:rFonts w:hint="eastAsia"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16.9</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2</w:t>
            </w:r>
          </w:p>
        </w:tc>
        <w:tc>
          <w:tcPr>
            <w:tcW w:w="1017" w:type="pct"/>
            <w:shd w:val="clear" w:color="auto" w:fill="auto"/>
            <w:vAlign w:val="center"/>
          </w:tcPr>
          <w:p w14:paraId="63B778C9">
            <w:pPr>
              <w:widowControl/>
              <w:spacing w:before="60" w:after="60"/>
              <w:jc w:val="both"/>
              <w:rPr>
                <w:rFonts w:hint="default"/>
                <w:color w:val="000000" w:themeColor="text1"/>
                <w:kern w:val="0"/>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6.65</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0.11</w:t>
            </w:r>
          </w:p>
        </w:tc>
      </w:tr>
      <w:tr w14:paraId="7EF345E1">
        <w:tblPrEx>
          <w:tblCellMar>
            <w:top w:w="0" w:type="dxa"/>
            <w:left w:w="108" w:type="dxa"/>
            <w:bottom w:w="0" w:type="dxa"/>
            <w:right w:w="108" w:type="dxa"/>
          </w:tblCellMar>
        </w:tblPrEx>
        <w:trPr>
          <w:jc w:val="center"/>
        </w:trPr>
        <w:tc>
          <w:tcPr>
            <w:tcW w:w="1350" w:type="pct"/>
            <w:shd w:val="clear" w:color="auto" w:fill="auto"/>
            <w:vAlign w:val="center"/>
          </w:tcPr>
          <w:p w14:paraId="0B452E14">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5.67</w:t>
            </w:r>
          </w:p>
        </w:tc>
        <w:tc>
          <w:tcPr>
            <w:tcW w:w="849" w:type="pct"/>
            <w:shd w:val="clear" w:color="auto" w:fill="auto"/>
            <w:vAlign w:val="center"/>
          </w:tcPr>
          <w:p w14:paraId="1DBBD890">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354</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30</w:t>
            </w:r>
          </w:p>
        </w:tc>
        <w:tc>
          <w:tcPr>
            <w:tcW w:w="932" w:type="pct"/>
            <w:vAlign w:val="center"/>
          </w:tcPr>
          <w:p w14:paraId="392A6F48">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0</w:t>
            </w:r>
          </w:p>
        </w:tc>
        <w:tc>
          <w:tcPr>
            <w:tcW w:w="849" w:type="pct"/>
            <w:shd w:val="clear" w:color="auto" w:fill="auto"/>
            <w:vAlign w:val="center"/>
          </w:tcPr>
          <w:p w14:paraId="0887E714">
            <w:pPr>
              <w:widowControl/>
              <w:spacing w:before="60" w:after="60"/>
              <w:jc w:val="both"/>
              <w:rPr>
                <w:rFonts w:hint="eastAsia"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17.3</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2</w:t>
            </w:r>
          </w:p>
        </w:tc>
        <w:tc>
          <w:tcPr>
            <w:tcW w:w="1017" w:type="pct"/>
            <w:shd w:val="clear" w:color="auto" w:fill="auto"/>
            <w:vAlign w:val="center"/>
          </w:tcPr>
          <w:p w14:paraId="57F4EF52">
            <w:pPr>
              <w:widowControl/>
              <w:spacing w:before="60" w:after="60"/>
              <w:jc w:val="both"/>
              <w:rPr>
                <w:rFonts w:hint="default" w:eastAsia="宋体"/>
                <w:color w:val="000000" w:themeColor="text1"/>
                <w:kern w:val="0"/>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5.55</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0.06</w:t>
            </w:r>
          </w:p>
        </w:tc>
      </w:tr>
      <w:tr w14:paraId="604E8A03">
        <w:tblPrEx>
          <w:tblCellMar>
            <w:top w:w="0" w:type="dxa"/>
            <w:left w:w="108" w:type="dxa"/>
            <w:bottom w:w="0" w:type="dxa"/>
            <w:right w:w="108" w:type="dxa"/>
          </w:tblCellMar>
        </w:tblPrEx>
        <w:trPr>
          <w:jc w:val="center"/>
        </w:trPr>
        <w:tc>
          <w:tcPr>
            <w:tcW w:w="1350" w:type="pct"/>
            <w:tcBorders>
              <w:bottom w:val="single" w:color="auto" w:sz="12" w:space="0"/>
            </w:tcBorders>
            <w:shd w:val="clear" w:color="auto" w:fill="auto"/>
            <w:vAlign w:val="center"/>
          </w:tcPr>
          <w:p w14:paraId="2A6E079B">
            <w:pPr>
              <w:widowControl/>
              <w:spacing w:before="60" w:after="60"/>
              <w:jc w:val="both"/>
              <w:rPr>
                <w:rFonts w:hint="default"/>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17.0</w:t>
            </w:r>
          </w:p>
        </w:tc>
        <w:tc>
          <w:tcPr>
            <w:tcW w:w="849" w:type="pct"/>
            <w:tcBorders>
              <w:bottom w:val="single" w:color="auto" w:sz="12" w:space="0"/>
            </w:tcBorders>
            <w:shd w:val="clear" w:color="auto" w:fill="auto"/>
            <w:vAlign w:val="center"/>
          </w:tcPr>
          <w:p w14:paraId="475101CE">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299</w:t>
            </w:r>
            <w:r>
              <w:rPr>
                <w:color w:val="000000" w:themeColor="text1"/>
                <w:szCs w:val="24"/>
                <w14:textFill>
                  <w14:solidFill>
                    <w14:schemeClr w14:val="tx1"/>
                  </w14:solidFill>
                </w14:textFill>
              </w:rPr>
              <w:t xml:space="preserve"> ±</w:t>
            </w:r>
            <w:r>
              <w:rPr>
                <w:rFonts w:hint="eastAsia"/>
                <w:color w:val="000000" w:themeColor="text1"/>
                <w:szCs w:val="24"/>
                <w:lang w:val="en-US" w:eastAsia="zh-CN"/>
                <w14:textFill>
                  <w14:solidFill>
                    <w14:schemeClr w14:val="tx1"/>
                  </w14:solidFill>
                </w14:textFill>
              </w:rPr>
              <w:t xml:space="preserve"> 54</w:t>
            </w:r>
          </w:p>
        </w:tc>
        <w:tc>
          <w:tcPr>
            <w:tcW w:w="932" w:type="pct"/>
            <w:tcBorders>
              <w:bottom w:val="single" w:color="auto" w:sz="12" w:space="0"/>
            </w:tcBorders>
            <w:vAlign w:val="center"/>
          </w:tcPr>
          <w:p w14:paraId="30660E1A">
            <w:pPr>
              <w:widowControl/>
              <w:spacing w:before="60" w:after="60"/>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0</w:t>
            </w:r>
          </w:p>
        </w:tc>
        <w:tc>
          <w:tcPr>
            <w:tcW w:w="849" w:type="pct"/>
            <w:tcBorders>
              <w:bottom w:val="single" w:color="auto" w:sz="12" w:space="0"/>
            </w:tcBorders>
            <w:shd w:val="clear" w:color="auto" w:fill="auto"/>
            <w:vAlign w:val="center"/>
          </w:tcPr>
          <w:p w14:paraId="606BAB22">
            <w:pPr>
              <w:widowControl/>
              <w:spacing w:before="60" w:after="60"/>
              <w:jc w:val="both"/>
              <w:rPr>
                <w:color w:val="000000" w:themeColor="text1"/>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15.3</w:t>
            </w:r>
            <w:r>
              <w:rPr>
                <w:color w:val="000000" w:themeColor="text1"/>
                <w:szCs w:val="24"/>
                <w14:textFill>
                  <w14:solidFill>
                    <w14:schemeClr w14:val="tx1"/>
                  </w14:solidFill>
                </w14:textFill>
              </w:rPr>
              <w:t xml:space="preserve"> ± 0.</w:t>
            </w:r>
            <w:r>
              <w:rPr>
                <w:rFonts w:hint="eastAsia"/>
                <w:color w:val="000000" w:themeColor="text1"/>
                <w:szCs w:val="24"/>
                <w:lang w:val="en-US" w:eastAsia="zh-CN"/>
                <w14:textFill>
                  <w14:solidFill>
                    <w14:schemeClr w14:val="tx1"/>
                  </w14:solidFill>
                </w14:textFill>
              </w:rPr>
              <w:t>3</w:t>
            </w:r>
          </w:p>
        </w:tc>
        <w:tc>
          <w:tcPr>
            <w:tcW w:w="1017" w:type="pct"/>
            <w:tcBorders>
              <w:bottom w:val="single" w:color="auto" w:sz="12" w:space="0"/>
            </w:tcBorders>
            <w:shd w:val="clear" w:color="auto" w:fill="auto"/>
            <w:vAlign w:val="center"/>
          </w:tcPr>
          <w:p w14:paraId="58C01416">
            <w:pPr>
              <w:widowControl/>
              <w:spacing w:before="60" w:after="60"/>
              <w:jc w:val="both"/>
              <w:rPr>
                <w:rFonts w:hint="default"/>
                <w:color w:val="000000" w:themeColor="text1"/>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5.33</w:t>
            </w:r>
            <w:r>
              <w:rPr>
                <w:color w:val="000000" w:themeColor="text1"/>
                <w:szCs w:val="24"/>
                <w14:textFill>
                  <w14:solidFill>
                    <w14:schemeClr w14:val="tx1"/>
                  </w14:solidFill>
                </w14:textFill>
              </w:rPr>
              <w:t xml:space="preserve"> ± </w:t>
            </w:r>
            <w:r>
              <w:rPr>
                <w:rFonts w:hint="eastAsia"/>
                <w:color w:val="000000" w:themeColor="text1"/>
                <w:szCs w:val="24"/>
                <w:lang w:val="en-US" w:eastAsia="zh-CN"/>
                <w14:textFill>
                  <w14:solidFill>
                    <w14:schemeClr w14:val="tx1"/>
                  </w14:solidFill>
                </w14:textFill>
              </w:rPr>
              <w:t>0.08</w:t>
            </w:r>
          </w:p>
        </w:tc>
      </w:tr>
    </w:tbl>
    <w:p w14:paraId="7CE29CC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0C3DE3A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52724F9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510BF77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3719ACC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1297054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5986835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1A5C291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406113A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27F503B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0F9817E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0FC7A54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55D6BB6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3EDC435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eastAsia="宋体" w:cs="Times New Roman"/>
          <w:b/>
          <w:bCs/>
          <w:sz w:val="24"/>
          <w:szCs w:val="24"/>
          <w:vertAlign w:val="baseline"/>
          <w:lang w:val="en-US" w:eastAsia="zh-CN"/>
        </w:rPr>
      </w:pPr>
    </w:p>
    <w:p w14:paraId="1097AE05">
      <w:pPr>
        <w:widowControl/>
        <w:spacing w:line="480" w:lineRule="auto"/>
        <w:jc w:val="both"/>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References</w:t>
      </w:r>
    </w:p>
    <w:p w14:paraId="077D45B8">
      <w:pPr>
        <w:widowControl/>
        <w:numPr>
          <w:ilvl w:val="0"/>
          <w:numId w:val="2"/>
        </w:numPr>
        <w:spacing w:line="480" w:lineRule="auto"/>
        <w:jc w:val="both"/>
        <w:rPr>
          <w:rFonts w:hint="default" w:eastAsia="宋体"/>
          <w:b w:val="0"/>
          <w:bCs w:val="0"/>
          <w:color w:val="000000" w:themeColor="text1"/>
          <w:szCs w:val="24"/>
          <w:lang w:val="en-US" w:eastAsia="zh-CN"/>
          <w14:textFill>
            <w14:solidFill>
              <w14:schemeClr w14:val="tx1"/>
            </w14:solidFill>
          </w14:textFill>
        </w:rPr>
      </w:pPr>
      <w:r>
        <w:rPr>
          <w:rFonts w:hint="default" w:eastAsia="宋体"/>
          <w:b w:val="0"/>
          <w:bCs w:val="0"/>
          <w:color w:val="000000" w:themeColor="text1"/>
          <w:szCs w:val="24"/>
          <w:lang w:val="en-US" w:eastAsia="zh-CN"/>
          <w14:textFill>
            <w14:solidFill>
              <w14:schemeClr w14:val="tx1"/>
            </w14:solidFill>
          </w14:textFill>
        </w:rPr>
        <w:t>Zhou, Bihong, et al. "Small surfactant-like peptides can drive soluble proteins into active aggregates." Microbial cell factories 11.1 (2012): 10.</w:t>
      </w:r>
    </w:p>
    <w:p w14:paraId="06C76788">
      <w:pPr>
        <w:widowControl/>
        <w:numPr>
          <w:ilvl w:val="0"/>
          <w:numId w:val="2"/>
        </w:numPr>
        <w:spacing w:line="480" w:lineRule="auto"/>
        <w:jc w:val="both"/>
        <w:rPr>
          <w:rFonts w:hint="default" w:eastAsia="宋体"/>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sz w:val="24"/>
          <w:szCs w:val="24"/>
          <w:lang w:val="en-US" w:eastAsia="zh-CN"/>
        </w:rPr>
        <w:t>Lin, Zhanglin, et al. "A cleavable self-aggregating tag scheme for the expression and purification of disulfide bonded proteins and peptides." Chemical Engineering Science 262 (2022): 118052</w:t>
      </w:r>
      <w:r>
        <w:rPr>
          <w:rFonts w:hint="eastAsia" w:cs="Times New Roman"/>
          <w:sz w:val="24"/>
          <w:szCs w:val="24"/>
          <w:lang w:val="en-US" w:eastAsia="zh-CN"/>
        </w:rPr>
        <w:t>.</w:t>
      </w:r>
    </w:p>
    <w:p w14:paraId="482A7203">
      <w:pPr>
        <w:widowControl/>
        <w:numPr>
          <w:ilvl w:val="0"/>
          <w:numId w:val="2"/>
        </w:numPr>
        <w:spacing w:line="480" w:lineRule="auto"/>
        <w:jc w:val="both"/>
        <w:rPr>
          <w:rFonts w:hint="default" w:cs="Times New Roman"/>
          <w:b w:val="0"/>
          <w:bCs w:val="0"/>
          <w:lang w:val="en-US" w:eastAsia="zh-CN"/>
        </w:rPr>
      </w:pPr>
      <w:r>
        <w:rPr>
          <w:rFonts w:hint="default" w:eastAsia="宋体"/>
          <w:b w:val="0"/>
          <w:bCs w:val="0"/>
          <w:color w:val="000000" w:themeColor="text1"/>
          <w:sz w:val="24"/>
          <w:szCs w:val="24"/>
          <w:lang w:val="en-US" w:eastAsia="zh-CN"/>
          <w14:textFill>
            <w14:solidFill>
              <w14:schemeClr w14:val="tx1"/>
            </w14:solidFill>
          </w14:textFill>
        </w:rPr>
        <w:t>Pandey, Kailash N. "Molecular signaling mechanisms and function of natriuretic peptide receptor-A in the pathophysiology of cardiovascular homeostasis." Frontiers in physiology 12 (2021): 693099.</w:t>
      </w: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C7717D"/>
    <w:multiLevelType w:val="singleLevel"/>
    <w:tmpl w:val="A1C7717D"/>
    <w:lvl w:ilvl="0" w:tentative="0">
      <w:start w:val="1"/>
      <w:numFmt w:val="decimal"/>
      <w:suff w:val="space"/>
      <w:lvlText w:val="%1."/>
      <w:lvlJc w:val="left"/>
      <w:rPr>
        <w:rFonts w:hint="default"/>
        <w:sz w:val="24"/>
        <w:szCs w:val="24"/>
      </w:rPr>
    </w:lvl>
  </w:abstractNum>
  <w:abstractNum w:abstractNumId="1">
    <w:nsid w:val="1E201ADC"/>
    <w:multiLevelType w:val="singleLevel"/>
    <w:tmpl w:val="1E201ADC"/>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35B40"/>
    <w:rsid w:val="00D73760"/>
    <w:rsid w:val="0242253B"/>
    <w:rsid w:val="02FC3ED2"/>
    <w:rsid w:val="02FC6355"/>
    <w:rsid w:val="03567D8D"/>
    <w:rsid w:val="047D0AB5"/>
    <w:rsid w:val="04870847"/>
    <w:rsid w:val="04E83870"/>
    <w:rsid w:val="066F6FA2"/>
    <w:rsid w:val="07F12200"/>
    <w:rsid w:val="081026B8"/>
    <w:rsid w:val="08D27E67"/>
    <w:rsid w:val="08FD4BD5"/>
    <w:rsid w:val="09167A44"/>
    <w:rsid w:val="09815FC1"/>
    <w:rsid w:val="0BFA3959"/>
    <w:rsid w:val="0CFA6FB4"/>
    <w:rsid w:val="0D1E4E97"/>
    <w:rsid w:val="0DB02DD5"/>
    <w:rsid w:val="0EE42C1E"/>
    <w:rsid w:val="0F024CF3"/>
    <w:rsid w:val="0F563291"/>
    <w:rsid w:val="0F573E9E"/>
    <w:rsid w:val="0F866BCA"/>
    <w:rsid w:val="0FED3DD2"/>
    <w:rsid w:val="0FF93E50"/>
    <w:rsid w:val="1096106A"/>
    <w:rsid w:val="119B1618"/>
    <w:rsid w:val="1291462E"/>
    <w:rsid w:val="13E811FA"/>
    <w:rsid w:val="1432347D"/>
    <w:rsid w:val="15B00267"/>
    <w:rsid w:val="16F35A55"/>
    <w:rsid w:val="182A0E16"/>
    <w:rsid w:val="21EB249B"/>
    <w:rsid w:val="22022AB0"/>
    <w:rsid w:val="22E348AC"/>
    <w:rsid w:val="23BD040A"/>
    <w:rsid w:val="252F5CBE"/>
    <w:rsid w:val="27082C6B"/>
    <w:rsid w:val="2956342B"/>
    <w:rsid w:val="2A151926"/>
    <w:rsid w:val="2AA07774"/>
    <w:rsid w:val="2B3009E6"/>
    <w:rsid w:val="2D08302C"/>
    <w:rsid w:val="30392C11"/>
    <w:rsid w:val="311806B4"/>
    <w:rsid w:val="318232C0"/>
    <w:rsid w:val="32F924E4"/>
    <w:rsid w:val="32FA495D"/>
    <w:rsid w:val="33571B89"/>
    <w:rsid w:val="33602DC2"/>
    <w:rsid w:val="33C30E8E"/>
    <w:rsid w:val="344E43B3"/>
    <w:rsid w:val="34990EF1"/>
    <w:rsid w:val="372522DA"/>
    <w:rsid w:val="3991281D"/>
    <w:rsid w:val="3AEA3576"/>
    <w:rsid w:val="3B1654FE"/>
    <w:rsid w:val="3BD964ED"/>
    <w:rsid w:val="3CBC5D8D"/>
    <w:rsid w:val="3DF53AF1"/>
    <w:rsid w:val="3EE20F09"/>
    <w:rsid w:val="3EEE020B"/>
    <w:rsid w:val="3EF7319B"/>
    <w:rsid w:val="416D1BF0"/>
    <w:rsid w:val="41B04B35"/>
    <w:rsid w:val="464F5D68"/>
    <w:rsid w:val="472C26B4"/>
    <w:rsid w:val="47FB7F56"/>
    <w:rsid w:val="483A5C38"/>
    <w:rsid w:val="49CF4E2D"/>
    <w:rsid w:val="4C9D6427"/>
    <w:rsid w:val="4C9D7B37"/>
    <w:rsid w:val="4D5A3019"/>
    <w:rsid w:val="4DDF0ECE"/>
    <w:rsid w:val="4DF41145"/>
    <w:rsid w:val="4E4C196F"/>
    <w:rsid w:val="4E955004"/>
    <w:rsid w:val="4F737E27"/>
    <w:rsid w:val="509300C9"/>
    <w:rsid w:val="50F9441A"/>
    <w:rsid w:val="51C83263"/>
    <w:rsid w:val="522C31BE"/>
    <w:rsid w:val="530C4AF1"/>
    <w:rsid w:val="539B3949"/>
    <w:rsid w:val="54481147"/>
    <w:rsid w:val="54D9517B"/>
    <w:rsid w:val="561D5404"/>
    <w:rsid w:val="56407356"/>
    <w:rsid w:val="5650246B"/>
    <w:rsid w:val="595701BB"/>
    <w:rsid w:val="5A277D3D"/>
    <w:rsid w:val="5AEC732D"/>
    <w:rsid w:val="5BE86A37"/>
    <w:rsid w:val="5D483FFC"/>
    <w:rsid w:val="5EE61080"/>
    <w:rsid w:val="600767E9"/>
    <w:rsid w:val="602120CC"/>
    <w:rsid w:val="61677FB2"/>
    <w:rsid w:val="631C0CB0"/>
    <w:rsid w:val="63AA3121"/>
    <w:rsid w:val="641D1635"/>
    <w:rsid w:val="64DA2ADC"/>
    <w:rsid w:val="685D4E91"/>
    <w:rsid w:val="69CE0BCF"/>
    <w:rsid w:val="6AA81420"/>
    <w:rsid w:val="6B2F7D93"/>
    <w:rsid w:val="6B8A6A7E"/>
    <w:rsid w:val="6CF01636"/>
    <w:rsid w:val="6D65184A"/>
    <w:rsid w:val="710D1CB6"/>
    <w:rsid w:val="738B5D82"/>
    <w:rsid w:val="740570CE"/>
    <w:rsid w:val="748C7BA9"/>
    <w:rsid w:val="75AE1234"/>
    <w:rsid w:val="76DC5C4C"/>
    <w:rsid w:val="76F65DEB"/>
    <w:rsid w:val="78307C29"/>
    <w:rsid w:val="78497E9B"/>
    <w:rsid w:val="79415DFA"/>
    <w:rsid w:val="7AAF4721"/>
    <w:rsid w:val="7B187EFC"/>
    <w:rsid w:val="7C260BF0"/>
    <w:rsid w:val="7CE67ECB"/>
    <w:rsid w:val="7F300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2">
    <w:name w:val="heading 2"/>
    <w:basedOn w:val="1"/>
    <w:next w:val="1"/>
    <w:qFormat/>
    <w:uiPriority w:val="99"/>
    <w:pPr>
      <w:keepNext/>
      <w:keepLines/>
      <w:outlineLvl w:val="1"/>
    </w:pPr>
    <w:rPr>
      <w:rFonts w:eastAsia="等线 Light"/>
      <w:b/>
      <w:bCs/>
      <w:szCs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 w:type="character" w:styleId="6">
    <w:name w:val="Hyperlink"/>
    <w:basedOn w:val="4"/>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tiff"/><Relationship Id="rId15" Type="http://schemas.openxmlformats.org/officeDocument/2006/relationships/image" Target="media/image12.tiff"/><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2018</Words>
  <Characters>11712</Characters>
  <Lines>0</Lines>
  <Paragraphs>0</Paragraphs>
  <TotalTime>0</TotalTime>
  <ScaleCrop>false</ScaleCrop>
  <LinksUpToDate>false</LinksUpToDate>
  <CharactersWithSpaces>13460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2025-09-29T06:27:00Z</dcterms:created>
  <dc:creator>25429</dc:creator>
  <cp:lastModifiedBy>聂航</cp:lastModifiedBy>
  <dcterms:modified xsi:type="dcterms:W3CDTF">2025-12-04T06:07:37Z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eyJoZGlkIjoiMGE2MjdhNGRiMjRkMjk1YTIyZmU1ZTcxZGRmZTA0ZmIiLCJ1c2VySWQiOiIxNjk4MDQ1NTEyIn0=</vt:lpwstr>
  </property>
  <property fmtid="{D5CDD505-2E9C-101B-9397-08002B2CF9AE}" pid="4" name="ICV">
    <vt:lpwstr>03DE390919514561B917656E47679920_12</vt:lpwstr>
  </property>
</Properties>
</file>