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rFonts w:ascii="Times New Roman" w:hAnsi="Times New Roman"/>
          <w:sz w:val="24"/>
          <w:szCs w:val="24"/>
        </w:rPr>
      </w:pPr>
      <w:r>
        <w:rPr>
          <w:rFonts w:eastAsia="Times New Roman" w:cs="Times New Roman" w:ascii="Times New Roman" w:hAnsi="Times New Roman"/>
          <w:b/>
          <w:sz w:val="24"/>
          <w:szCs w:val="24"/>
        </w:rPr>
        <w:t xml:space="preserve">Accuracy of </w:t>
      </w:r>
      <w:r>
        <w:rPr>
          <w:rFonts w:eastAsia="Times New Roman" w:cs="Times New Roman" w:ascii="Times New Roman" w:hAnsi="Times New Roman"/>
          <w:b/>
          <w:i/>
          <w:iCs/>
          <w:sz w:val="24"/>
          <w:szCs w:val="24"/>
        </w:rPr>
        <w:t>Plasmodium falciparum</w:t>
      </w:r>
      <w:r>
        <w:rPr>
          <w:rFonts w:eastAsia="Times New Roman" w:cs="Times New Roman" w:ascii="Times New Roman" w:hAnsi="Times New Roman"/>
          <w:b/>
          <w:sz w:val="24"/>
          <w:szCs w:val="24"/>
        </w:rPr>
        <w:t xml:space="preserve"> genetic data for estimating parasite prevalence and malaria incidence in Uganda</w:t>
      </w:r>
    </w:p>
    <w:p>
      <w:pPr>
        <w:pStyle w:val="BodyText"/>
        <w:jc w:val="both"/>
        <w:rPr>
          <w:rFonts w:ascii="Times New Roman" w:hAnsi="Times New Roman"/>
          <w:sz w:val="24"/>
          <w:szCs w:val="24"/>
        </w:rPr>
      </w:pPr>
      <w:r>
        <w:rPr>
          <w:rFonts w:eastAsia="Times New Roman" w:cs="Times New Roman" w:ascii="Times New Roman" w:hAnsi="Times New Roman"/>
          <w:sz w:val="24"/>
          <w:szCs w:val="24"/>
        </w:rPr>
        <w:t>Shahiid Kiyaga</w:t>
      </w:r>
      <w:r>
        <w:rPr>
          <w:rFonts w:eastAsia="Times New Roman" w:cs="Times New Roman" w:ascii="Times New Roman" w:hAnsi="Times New Roman"/>
          <w:sz w:val="24"/>
          <w:szCs w:val="24"/>
          <w:vertAlign w:val="superscript"/>
        </w:rPr>
        <w:t>1,2,3*</w:t>
      </w:r>
      <w:r>
        <w:rPr>
          <w:rFonts w:eastAsia="Times New Roman" w:cs="Times New Roman" w:ascii="Times New Roman" w:hAnsi="Times New Roman"/>
          <w:sz w:val="24"/>
          <w:szCs w:val="24"/>
        </w:rPr>
        <w:t>, Monica Mbabazi</w:t>
      </w:r>
      <w:r>
        <w:rPr>
          <w:rFonts w:eastAsia="Times New Roman" w:cs="Times New Roman" w:ascii="Times New Roman" w:hAnsi="Times New Roman"/>
          <w:sz w:val="24"/>
          <w:szCs w:val="24"/>
          <w:vertAlign w:val="superscript"/>
        </w:rPr>
        <w:t>1,2,3</w:t>
      </w:r>
      <w:r>
        <w:rPr>
          <w:rFonts w:eastAsia="Times New Roman" w:cs="Times New Roman" w:ascii="Times New Roman" w:hAnsi="Times New Roman"/>
          <w:sz w:val="24"/>
          <w:szCs w:val="24"/>
        </w:rPr>
        <w:t>, Thomas Katairo</w:t>
      </w:r>
      <w:r>
        <w:rPr>
          <w:rFonts w:eastAsia="Times New Roman" w:cs="Times New Roman" w:ascii="Times New Roman" w:hAnsi="Times New Roman"/>
          <w:sz w:val="24"/>
          <w:szCs w:val="24"/>
          <w:vertAlign w:val="superscript"/>
        </w:rPr>
        <w:t>2,4</w:t>
      </w:r>
      <w:r>
        <w:rPr>
          <w:rFonts w:eastAsia="Times New Roman" w:cs="Times New Roman" w:ascii="Times New Roman" w:hAnsi="Times New Roman"/>
          <w:sz w:val="24"/>
          <w:szCs w:val="24"/>
        </w:rPr>
        <w:t>,  Kisakye Diana Kabbale</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vertAlign w:val="superscript"/>
        </w:rPr>
        <w:t>3,</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Victor Asua</w:t>
      </w:r>
      <w:r>
        <w:rPr>
          <w:rFonts w:eastAsia="Times New Roman" w:cs="Times New Roman" w:ascii="Times New Roman" w:hAnsi="Times New Roman"/>
          <w:sz w:val="24"/>
          <w:szCs w:val="24"/>
          <w:vertAlign w:val="superscript"/>
        </w:rPr>
        <w:t>2,6</w:t>
      </w:r>
      <w:r>
        <w:rPr>
          <w:rFonts w:eastAsia="Times New Roman" w:cs="Times New Roman" w:ascii="Times New Roman" w:hAnsi="Times New Roman"/>
          <w:sz w:val="24"/>
          <w:szCs w:val="24"/>
        </w:rPr>
        <w:t>, Bienvenu Nsengimaana</w:t>
      </w:r>
      <w:r>
        <w:rPr>
          <w:rFonts w:eastAsia="Times New Roman" w:cs="Times New Roman" w:ascii="Times New Roman" w:hAnsi="Times New Roman"/>
          <w:sz w:val="24"/>
          <w:szCs w:val="24"/>
          <w:vertAlign w:val="superscript"/>
        </w:rPr>
        <w:t>2,4</w:t>
      </w:r>
      <w:r>
        <w:rPr>
          <w:rFonts w:eastAsia="Times New Roman" w:cs="Times New Roman" w:ascii="Times New Roman" w:hAnsi="Times New Roman"/>
          <w:sz w:val="24"/>
          <w:szCs w:val="24"/>
        </w:rPr>
        <w:t xml:space="preserve">, </w:t>
      </w:r>
      <w:r>
        <w:rPr>
          <w:rFonts w:ascii="Times New Roman" w:hAnsi="Times New Roman"/>
          <w:color w:themeColor="text2" w:val="000000"/>
          <w:sz w:val="24"/>
          <w:szCs w:val="24"/>
        </w:rPr>
        <w:t>Innocent Wiringilimaana</w:t>
      </w:r>
      <w:r>
        <w:rPr>
          <w:rFonts w:eastAsia="Times New Roman" w:cs="Times New Roman" w:ascii="Times New Roman" w:hAnsi="Times New Roman"/>
          <w:color w:themeColor="text2" w:val="000000"/>
          <w:sz w:val="24"/>
          <w:szCs w:val="24"/>
          <w:vertAlign w:val="superscript"/>
        </w:rPr>
        <w:t>2,4</w:t>
      </w:r>
      <w:r>
        <w:rPr>
          <w:rFonts w:eastAsia="Times New Roman" w:cs="Times New Roman" w:ascii="Times New Roman" w:hAnsi="Times New Roman"/>
          <w:sz w:val="24"/>
          <w:szCs w:val="24"/>
        </w:rPr>
        <w:t>, Francis Ddumba. Semakuba</w:t>
      </w:r>
      <w:r>
        <w:rPr>
          <w:rFonts w:eastAsia="Times New Roman" w:cs="Times New Roman" w:ascii="Times New Roman" w:hAnsi="Times New Roman"/>
          <w:sz w:val="24"/>
          <w:szCs w:val="24"/>
          <w:vertAlign w:val="superscript"/>
        </w:rPr>
        <w:t>2,4</w:t>
      </w:r>
      <w:r>
        <w:rPr>
          <w:rFonts w:eastAsia="Times New Roman" w:cs="Times New Roman" w:ascii="Times New Roman" w:hAnsi="Times New Roman"/>
          <w:sz w:val="24"/>
          <w:szCs w:val="24"/>
        </w:rPr>
        <w:t>, Caroline Mwubaha</w:t>
      </w:r>
      <w:r>
        <w:rPr>
          <w:rFonts w:eastAsia="Times New Roman" w:cs="Times New Roman" w:ascii="Times New Roman" w:hAnsi="Times New Roman"/>
          <w:sz w:val="24"/>
          <w:szCs w:val="24"/>
          <w:vertAlign w:val="superscript"/>
        </w:rPr>
        <w:t>2,4</w:t>
      </w:r>
      <w:r>
        <w:rPr>
          <w:rFonts w:eastAsia="Times New Roman" w:cs="Times New Roman" w:ascii="Times New Roman" w:hAnsi="Times New Roman"/>
          <w:sz w:val="24"/>
          <w:szCs w:val="24"/>
        </w:rPr>
        <w:t>, Jackie Nakasaanya</w:t>
      </w:r>
      <w:r>
        <w:rPr>
          <w:rFonts w:eastAsia="Times New Roman" w:cs="Times New Roman" w:ascii="Times New Roman" w:hAnsi="Times New Roman"/>
          <w:sz w:val="24"/>
          <w:szCs w:val="24"/>
          <w:vertAlign w:val="superscript"/>
        </w:rPr>
        <w:t>2,4</w:t>
      </w:r>
      <w:r>
        <w:rPr>
          <w:rFonts w:eastAsia="Times New Roman" w:cs="Times New Roman" w:ascii="Times New Roman" w:hAnsi="Times New Roman"/>
          <w:sz w:val="24"/>
          <w:szCs w:val="24"/>
        </w:rPr>
        <w:t>, Eric Watyekele</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Alisen Ayitewala</w:t>
      </w:r>
      <w:r>
        <w:rPr>
          <w:rFonts w:eastAsia="Times New Roman" w:cs="Times New Roman" w:ascii="Times New Roman" w:hAnsi="Times New Roman"/>
          <w:sz w:val="24"/>
          <w:szCs w:val="24"/>
          <w:vertAlign w:val="superscript"/>
        </w:rPr>
        <w:t>4</w:t>
      </w:r>
      <w:r>
        <w:rPr>
          <w:rFonts w:eastAsia="Times New Roman" w:cs="Times New Roman" w:ascii="Times New Roman" w:hAnsi="Times New Roman"/>
          <w:sz w:val="24"/>
          <w:szCs w:val="24"/>
        </w:rPr>
        <w:t>, Stephen Tukwasibwe</w:t>
      </w:r>
      <w:r>
        <w:rPr>
          <w:rFonts w:eastAsia="Times New Roman" w:cs="Times New Roman" w:ascii="Times New Roman" w:hAnsi="Times New Roman"/>
          <w:sz w:val="24"/>
          <w:szCs w:val="24"/>
          <w:vertAlign w:val="superscript"/>
        </w:rPr>
        <w:t>1,2,4,7</w:t>
      </w:r>
      <w:r>
        <w:rPr>
          <w:rFonts w:eastAsia="Times New Roman" w:cs="Times New Roman" w:ascii="Times New Roman" w:hAnsi="Times New Roman"/>
          <w:sz w:val="24"/>
          <w:szCs w:val="24"/>
        </w:rPr>
        <w:t>, Jerry Mulondo</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Samuel Lubwama. Nsobya</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xml:space="preserve">, </w:t>
      </w:r>
      <w:bookmarkStart w:id="0" w:name="author-auth-Bosco-Agaba-Aff8"/>
      <w:bookmarkEnd w:id="0"/>
      <w:r>
        <w:rPr>
          <w:rFonts w:eastAsia="Times New Roman" w:cs="Times New Roman" w:ascii="Times New Roman" w:hAnsi="Times New Roman"/>
          <w:sz w:val="24"/>
          <w:szCs w:val="24"/>
        </w:rPr>
        <w:t>Bosco Agaba</w:t>
      </w:r>
      <w:r>
        <w:rPr>
          <w:rFonts w:eastAsia="Times New Roman" w:cs="Times New Roman" w:ascii="Times New Roman" w:hAnsi="Times New Roman"/>
          <w:sz w:val="24"/>
          <w:szCs w:val="24"/>
          <w:vertAlign w:val="superscript"/>
        </w:rPr>
        <w:t>8,9</w:t>
      </w:r>
      <w:r>
        <w:rPr>
          <w:rFonts w:eastAsia="Times New Roman" w:cs="Times New Roman" w:ascii="Times New Roman" w:hAnsi="Times New Roman"/>
          <w:sz w:val="24"/>
          <w:szCs w:val="24"/>
        </w:rPr>
        <w:t xml:space="preserve">, </w:t>
      </w:r>
      <w:bookmarkStart w:id="1" w:name="author-auth-Catherine-Maiteki_Sebuguzi-A"/>
      <w:bookmarkEnd w:id="1"/>
      <w:r>
        <w:rPr>
          <w:rFonts w:eastAsia="Times New Roman" w:cs="Times New Roman" w:ascii="Times New Roman" w:hAnsi="Times New Roman"/>
          <w:sz w:val="24"/>
          <w:szCs w:val="24"/>
        </w:rPr>
        <w:t>Catherine Maiteki-Sebuguzi</w:t>
      </w:r>
      <w:r>
        <w:rPr>
          <w:rFonts w:eastAsia="Times New Roman" w:cs="Times New Roman" w:ascii="Times New Roman" w:hAnsi="Times New Roman"/>
          <w:sz w:val="24"/>
          <w:szCs w:val="24"/>
          <w:vertAlign w:val="superscript"/>
        </w:rPr>
        <w:t>8</w:t>
      </w:r>
      <w:r>
        <w:rPr>
          <w:rFonts w:eastAsia="Times New Roman" w:cs="Times New Roman" w:ascii="Times New Roman" w:hAnsi="Times New Roman"/>
          <w:sz w:val="24"/>
          <w:szCs w:val="24"/>
        </w:rPr>
        <w:t>, Moses Robert. Kamya</w:t>
      </w:r>
      <w:r>
        <w:rPr>
          <w:rFonts w:eastAsia="Times New Roman" w:cs="Times New Roman" w:ascii="Times New Roman" w:hAnsi="Times New Roman"/>
          <w:sz w:val="24"/>
          <w:szCs w:val="24"/>
          <w:vertAlign w:val="superscript"/>
        </w:rPr>
        <w:t>1,2</w:t>
      </w:r>
      <w:r>
        <w:rPr>
          <w:rFonts w:eastAsia="Times New Roman" w:cs="Times New Roman" w:ascii="Times New Roman" w:hAnsi="Times New Roman"/>
          <w:sz w:val="24"/>
          <w:szCs w:val="24"/>
        </w:rPr>
        <w:t>, David Patrick. Kateete</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Joyce Nakatumba Nabende</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Daudi Jjingo</w:t>
      </w:r>
      <w:r>
        <w:rPr>
          <w:rFonts w:eastAsia="Times New Roman" w:cs="Times New Roman" w:ascii="Times New Roman" w:hAnsi="Times New Roman"/>
          <w:sz w:val="24"/>
          <w:szCs w:val="24"/>
          <w:vertAlign w:val="superscript"/>
        </w:rPr>
        <w:t>1,3,5</w:t>
      </w:r>
      <w:r>
        <w:rPr>
          <w:rFonts w:eastAsia="Times New Roman" w:cs="Times New Roman" w:ascii="Times New Roman" w:hAnsi="Times New Roman"/>
          <w:sz w:val="24"/>
          <w:szCs w:val="24"/>
        </w:rPr>
        <w:t>, Gerald Mboowa</w:t>
      </w:r>
      <w:r>
        <w:rPr>
          <w:rFonts w:eastAsia="Times New Roman" w:cs="Times New Roman" w:ascii="Times New Roman" w:hAnsi="Times New Roman"/>
          <w:sz w:val="24"/>
          <w:szCs w:val="24"/>
          <w:vertAlign w:val="superscript"/>
        </w:rPr>
        <w:t>1,3,10</w:t>
      </w:r>
      <w:r>
        <w:rPr>
          <w:rFonts w:eastAsia="Times New Roman" w:cs="Times New Roman" w:ascii="Times New Roman" w:hAnsi="Times New Roman"/>
          <w:sz w:val="24"/>
          <w:szCs w:val="24"/>
        </w:rPr>
        <w:t>, Charles Batte</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Isaac Ssewanyana</w:t>
      </w:r>
      <w:r>
        <w:rPr>
          <w:rFonts w:eastAsia="Times New Roman" w:cs="Times New Roman" w:ascii="Times New Roman" w:hAnsi="Times New Roman"/>
          <w:sz w:val="24"/>
          <w:szCs w:val="24"/>
          <w:vertAlign w:val="superscript"/>
        </w:rPr>
        <w:t>2,4</w:t>
      </w:r>
      <w:r>
        <w:rPr>
          <w:rFonts w:eastAsia="Times New Roman" w:cs="Times New Roman" w:ascii="Times New Roman" w:hAnsi="Times New Roman"/>
          <w:sz w:val="24"/>
          <w:szCs w:val="24"/>
        </w:rPr>
        <w:t>, Andrés Aranda-Díaz</w:t>
      </w:r>
      <w:r>
        <w:rPr>
          <w:rFonts w:eastAsia="Times New Roman" w:cs="Times New Roman" w:ascii="Times New Roman" w:hAnsi="Times New Roman"/>
          <w:sz w:val="24"/>
          <w:szCs w:val="24"/>
          <w:vertAlign w:val="superscript"/>
        </w:rPr>
        <w:t>11</w:t>
      </w:r>
      <w:r>
        <w:rPr>
          <w:rFonts w:eastAsia="Times New Roman" w:cs="Times New Roman" w:ascii="Times New Roman" w:hAnsi="Times New Roman"/>
          <w:sz w:val="24"/>
          <w:szCs w:val="24"/>
        </w:rPr>
        <w:t>, Grant Dorsey</w:t>
      </w:r>
      <w:r>
        <w:rPr>
          <w:rFonts w:eastAsia="Times New Roman" w:cs="Times New Roman" w:ascii="Times New Roman" w:hAnsi="Times New Roman"/>
          <w:sz w:val="24"/>
          <w:szCs w:val="24"/>
          <w:vertAlign w:val="superscript"/>
        </w:rPr>
        <w:t>12</w:t>
      </w:r>
      <w:r>
        <w:rPr>
          <w:rFonts w:eastAsia="Times New Roman" w:cs="Times New Roman" w:ascii="Times New Roman" w:hAnsi="Times New Roman"/>
          <w:sz w:val="24"/>
          <w:szCs w:val="24"/>
        </w:rPr>
        <w:t>, Philip J. Rosenthal</w:t>
      </w:r>
      <w:r>
        <w:rPr>
          <w:rFonts w:eastAsia="Times New Roman" w:cs="Times New Roman" w:ascii="Times New Roman" w:hAnsi="Times New Roman"/>
          <w:sz w:val="24"/>
          <w:szCs w:val="24"/>
          <w:vertAlign w:val="superscript"/>
        </w:rPr>
        <w:t>12</w:t>
      </w:r>
      <w:r>
        <w:rPr>
          <w:rFonts w:eastAsia="Times New Roman" w:cs="Times New Roman" w:ascii="Times New Roman" w:hAnsi="Times New Roman"/>
          <w:sz w:val="24"/>
          <w:szCs w:val="24"/>
        </w:rPr>
        <w:t>, Melissa Conrad</w:t>
      </w:r>
      <w:r>
        <w:rPr>
          <w:rFonts w:eastAsia="Times New Roman" w:cs="Times New Roman" w:ascii="Times New Roman" w:hAnsi="Times New Roman"/>
          <w:sz w:val="24"/>
          <w:szCs w:val="24"/>
          <w:vertAlign w:val="superscript"/>
        </w:rPr>
        <w:t>12</w:t>
      </w:r>
      <w:r>
        <w:rPr>
          <w:rFonts w:eastAsia="Times New Roman" w:cs="Times New Roman" w:ascii="Times New Roman" w:hAnsi="Times New Roman"/>
          <w:sz w:val="24"/>
          <w:szCs w:val="24"/>
        </w:rPr>
        <w:t>,</w:t>
      </w:r>
      <w:r>
        <w:rPr>
          <w:rFonts w:eastAsia="Times New Roman" w:cs="Times New Roman" w:ascii="Times New Roman" w:hAnsi="Times New Roman"/>
          <w:sz w:val="24"/>
          <w:szCs w:val="24"/>
          <w:vertAlign w:val="superscript"/>
        </w:rPr>
        <w:t xml:space="preserve"> </w:t>
      </w:r>
      <w:r>
        <w:rPr>
          <w:rFonts w:eastAsia="Times New Roman" w:cs="Times New Roman" w:ascii="Times New Roman" w:hAnsi="Times New Roman"/>
          <w:sz w:val="24"/>
          <w:szCs w:val="24"/>
        </w:rPr>
        <w:t>Bryan Greenhouse</w:t>
      </w:r>
      <w:r>
        <w:rPr>
          <w:rFonts w:eastAsia="Times New Roman" w:cs="Times New Roman" w:ascii="Times New Roman" w:hAnsi="Times New Roman"/>
          <w:sz w:val="24"/>
          <w:szCs w:val="24"/>
          <w:vertAlign w:val="superscript"/>
        </w:rPr>
        <w:t>12</w:t>
      </w:r>
      <w:r>
        <w:rPr>
          <w:rFonts w:eastAsia="Times New Roman" w:cs="Times New Roman" w:ascii="Times New Roman" w:hAnsi="Times New Roman"/>
          <w:sz w:val="24"/>
          <w:szCs w:val="24"/>
        </w:rPr>
        <w:t>,</w:t>
      </w:r>
      <w:r>
        <w:rPr>
          <w:rFonts w:eastAsia="Times New Roman" w:cs="Times New Roman" w:ascii="Times New Roman" w:hAnsi="Times New Roman"/>
          <w:sz w:val="24"/>
          <w:szCs w:val="24"/>
          <w:vertAlign w:val="superscript"/>
        </w:rPr>
        <w:t xml:space="preserve"> </w:t>
      </w:r>
      <w:r>
        <w:rPr>
          <w:rFonts w:eastAsia="Times New Roman" w:cs="Times New Roman" w:ascii="Times New Roman" w:hAnsi="Times New Roman"/>
          <w:sz w:val="24"/>
          <w:szCs w:val="24"/>
        </w:rPr>
        <w:t>Jessica Briggs</w:t>
      </w:r>
      <w:r>
        <w:rPr>
          <w:rFonts w:eastAsia="Times New Roman" w:cs="Times New Roman" w:ascii="Times New Roman" w:hAnsi="Times New Roman"/>
          <w:sz w:val="24"/>
          <w:szCs w:val="24"/>
          <w:vertAlign w:val="superscript"/>
        </w:rPr>
        <w:t>12</w:t>
      </w:r>
    </w:p>
    <w:p>
      <w:pPr>
        <w:pStyle w:val="BodyText"/>
        <w:spacing w:lineRule="auto" w:line="240"/>
        <w:jc w:val="both"/>
        <w:rPr>
          <w:rFonts w:ascii="Times New Roman" w:hAnsi="Times New Roman"/>
          <w:sz w:val="24"/>
          <w:szCs w:val="24"/>
        </w:rPr>
      </w:pPr>
      <w:r>
        <w:rPr>
          <w:rFonts w:ascii="Times New Roman" w:hAnsi="Times New Roman"/>
          <w:b/>
          <w:bCs/>
          <w:sz w:val="24"/>
          <w:szCs w:val="24"/>
        </w:rPr>
        <w:t>Affiliations</w:t>
      </w:r>
      <w:r>
        <w:rPr>
          <w:rFonts w:ascii="Times New Roman" w:hAnsi="Times New Roman"/>
          <w:sz w:val="24"/>
          <w:szCs w:val="24"/>
        </w:rPr>
        <w:t>:</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Makerere University, Kampala Uganda.</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 xml:space="preserve">2 </w:t>
      </w:r>
      <w:r>
        <w:rPr>
          <w:rFonts w:eastAsia="Times New Roman" w:cs="Times New Roman" w:ascii="Times New Roman" w:hAnsi="Times New Roman"/>
          <w:sz w:val="20"/>
          <w:szCs w:val="20"/>
        </w:rPr>
        <w:t>Infectious Diseases Research Collaboration, Kampala, Uganda.</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3</w:t>
      </w:r>
      <w:r>
        <w:rPr>
          <w:rFonts w:eastAsia="Times New Roman" w:cs="Times New Roman" w:ascii="Times New Roman" w:hAnsi="Times New Roman"/>
          <w:sz w:val="20"/>
          <w:szCs w:val="20"/>
        </w:rPr>
        <w:t>The African Center of Excellence in Bioinformatics and Data Intensive Sciences, Kampala, Uganda.</w:t>
      </w:r>
    </w:p>
    <w:p>
      <w:pPr>
        <w:pStyle w:val="BodyText"/>
        <w:rPr/>
      </w:pPr>
      <w:r>
        <w:rPr>
          <w:rFonts w:ascii="Times New Roman" w:hAnsi="Times New Roman"/>
          <w:color w:val="000000"/>
          <w:sz w:val="20"/>
          <w:szCs w:val="20"/>
          <w:vertAlign w:val="superscript"/>
        </w:rPr>
        <w:t>4</w:t>
      </w:r>
      <w:r>
        <w:rPr>
          <w:rFonts w:eastAsia="Times New Roman" w:cs="Times New Roman" w:ascii="Times New Roman" w:hAnsi="Times New Roman"/>
          <w:color w:val="000000"/>
          <w:position w:val="0"/>
          <w:sz w:val="20"/>
          <w:sz w:val="20"/>
          <w:szCs w:val="20"/>
          <w:vertAlign w:val="baseline"/>
        </w:rPr>
        <w:t>Central Public Health Laboratories, Kampala, Uganda.</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5</w:t>
      </w:r>
      <w:r>
        <w:rPr>
          <w:rFonts w:eastAsia="Times New Roman" w:cs="Times New Roman" w:ascii="Times New Roman" w:hAnsi="Times New Roman"/>
          <w:position w:val="0"/>
          <w:sz w:val="20"/>
          <w:sz w:val="20"/>
          <w:szCs w:val="20"/>
          <w:vertAlign w:val="baseline"/>
        </w:rPr>
        <w:t>The Infectious Diseases Institute, Makerere University, Kampala, Uganda.</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6</w:t>
      </w:r>
      <w:r>
        <w:rPr>
          <w:rFonts w:eastAsia="Times New Roman" w:cs="Times New Roman" w:ascii="Times New Roman" w:hAnsi="Times New Roman"/>
          <w:color w:val="000000"/>
          <w:position w:val="0"/>
          <w:sz w:val="20"/>
          <w:sz w:val="20"/>
          <w:szCs w:val="20"/>
          <w:vertAlign w:val="baseline"/>
        </w:rPr>
        <w:t xml:space="preserve">University of Tubingen, 72074 Tubingen, Germany. </w:t>
      </w:r>
    </w:p>
    <w:p>
      <w:pPr>
        <w:pStyle w:val="BodyText"/>
        <w:spacing w:lineRule="auto" w:line="240"/>
        <w:jc w:val="both"/>
        <w:rPr>
          <w:rFonts w:ascii="Times New Roman" w:hAnsi="Times New Roman"/>
          <w:sz w:val="20"/>
          <w:szCs w:val="20"/>
        </w:rPr>
      </w:pPr>
      <w:r>
        <w:rPr>
          <w:rFonts w:eastAsia="Times New Roman" w:cs="Times New Roman" w:ascii="Times New Roman" w:hAnsi="Times New Roman"/>
          <w:color w:val="000000"/>
          <w:sz w:val="20"/>
          <w:szCs w:val="20"/>
          <w:vertAlign w:val="superscript"/>
        </w:rPr>
        <w:t>7</w:t>
      </w:r>
      <w:r>
        <w:rPr>
          <w:rFonts w:eastAsia="Times New Roman" w:cs="Times New Roman" w:ascii="Times New Roman" w:hAnsi="Times New Roman"/>
          <w:position w:val="0"/>
          <w:sz w:val="20"/>
          <w:sz w:val="20"/>
          <w:szCs w:val="20"/>
          <w:vertAlign w:val="baseline"/>
        </w:rPr>
        <w:t>Uganda</w:t>
      </w:r>
      <w:r>
        <w:rPr>
          <w:rFonts w:eastAsia="Times New Roman" w:cs="Times New Roman" w:ascii="Times New Roman" w:hAnsi="Times New Roman"/>
          <w:sz w:val="20"/>
          <w:szCs w:val="20"/>
        </w:rPr>
        <w:t xml:space="preserve"> Christian University, Mukono, Uganda</w:t>
      </w:r>
      <w:r>
        <w:rPr>
          <w:rFonts w:ascii="Times New Roman" w:hAnsi="Times New Roman"/>
          <w:sz w:val="20"/>
          <w:szCs w:val="20"/>
        </w:rPr>
        <w:t xml:space="preserve"> </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8</w:t>
      </w:r>
      <w:r>
        <w:rPr>
          <w:rFonts w:eastAsia="Times New Roman" w:cs="Times New Roman" w:ascii="Times New Roman" w:hAnsi="Times New Roman"/>
          <w:sz w:val="20"/>
          <w:szCs w:val="20"/>
        </w:rPr>
        <w:t>National Malaria Elimination Division, Ministry of Health, Kampala, Uganda</w:t>
      </w:r>
    </w:p>
    <w:p>
      <w:pPr>
        <w:pStyle w:val="BodyText"/>
        <w:spacing w:lineRule="auto" w:line="240"/>
        <w:jc w:val="both"/>
        <w:rPr>
          <w:rFonts w:ascii="Times New Roman" w:hAnsi="Times New Roman"/>
          <w:sz w:val="20"/>
          <w:szCs w:val="20"/>
        </w:rPr>
      </w:pPr>
      <w:r>
        <w:rPr>
          <w:rFonts w:ascii="Times New Roman" w:hAnsi="Times New Roman"/>
          <w:sz w:val="20"/>
          <w:szCs w:val="20"/>
          <w:vertAlign w:val="superscript"/>
        </w:rPr>
        <w:t>9</w:t>
      </w:r>
      <w:r>
        <w:rPr>
          <w:rFonts w:ascii="Times New Roman" w:hAnsi="Times New Roman"/>
          <w:sz w:val="20"/>
          <w:szCs w:val="20"/>
        </w:rPr>
        <w:t xml:space="preserve">Mbarara University of Science and Technology, Mbarara Uganda </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10</w:t>
      </w:r>
      <w:r>
        <w:rPr>
          <w:rFonts w:ascii="Times New Roman" w:hAnsi="Times New Roman"/>
          <w:sz w:val="20"/>
          <w:szCs w:val="20"/>
        </w:rPr>
        <w:t>Broad Institute of MIT and Harvard, 415 Main Street, Cambridge, MA 02142, USA</w:t>
      </w:r>
    </w:p>
    <w:p>
      <w:pPr>
        <w:pStyle w:val="BodyText"/>
        <w:spacing w:lineRule="auto" w:line="240"/>
        <w:jc w:val="both"/>
        <w:rPr>
          <w:rFonts w:ascii="Times New Roman" w:hAnsi="Times New Roman"/>
          <w:sz w:val="20"/>
          <w:szCs w:val="20"/>
        </w:rPr>
      </w:pPr>
      <w:r>
        <w:rPr>
          <w:rFonts w:ascii="Times New Roman" w:hAnsi="Times New Roman"/>
          <w:sz w:val="20"/>
          <w:szCs w:val="20"/>
          <w:vertAlign w:val="superscript"/>
        </w:rPr>
        <w:t>11</w:t>
      </w:r>
      <w:r>
        <w:rPr>
          <w:rFonts w:ascii="Times New Roman" w:hAnsi="Times New Roman"/>
          <w:position w:val="0"/>
          <w:sz w:val="20"/>
          <w:sz w:val="20"/>
          <w:szCs w:val="20"/>
          <w:vertAlign w:val="baseline"/>
        </w:rPr>
        <w:t>ISGlobal,</w:t>
      </w:r>
      <w:r>
        <w:rPr>
          <w:rFonts w:ascii="Times New Roman" w:hAnsi="Times New Roman"/>
          <w:sz w:val="20"/>
          <w:szCs w:val="20"/>
        </w:rPr>
        <w:t xml:space="preserve"> Barcelona, Spain</w:t>
      </w:r>
    </w:p>
    <w:p>
      <w:pPr>
        <w:pStyle w:val="BodyText"/>
        <w:spacing w:lineRule="auto" w:line="240"/>
        <w:jc w:val="both"/>
        <w:rPr>
          <w:rFonts w:ascii="Times New Roman" w:hAnsi="Times New Roman"/>
          <w:sz w:val="20"/>
          <w:szCs w:val="20"/>
        </w:rPr>
      </w:pPr>
      <w:r>
        <w:rPr>
          <w:rFonts w:eastAsia="Times New Roman" w:cs="Times New Roman" w:ascii="Times New Roman" w:hAnsi="Times New Roman"/>
          <w:sz w:val="20"/>
          <w:szCs w:val="20"/>
          <w:vertAlign w:val="superscript"/>
        </w:rPr>
        <w:t>12</w:t>
      </w:r>
      <w:r>
        <w:rPr>
          <w:rFonts w:eastAsia="Times New Roman" w:cs="Times New Roman" w:ascii="Times New Roman" w:hAnsi="Times New Roman"/>
          <w:sz w:val="20"/>
          <w:szCs w:val="20"/>
        </w:rPr>
        <w:t>Division of HIV, Infectious Diseases and Global Medicine, Department of Medicine, University of California San Francisco, San Francisco, CA, United States</w:t>
      </w:r>
    </w:p>
    <w:p>
      <w:pPr>
        <w:pStyle w:val="BodyText"/>
        <w:spacing w:lineRule="auto" w:line="240"/>
        <w:jc w:val="both"/>
        <w:rPr/>
      </w:pPr>
      <w:r>
        <w:rPr>
          <w:rStyle w:val="Hyperlink"/>
          <w:rFonts w:eastAsia="Times New Roman" w:cs="Times New Roman" w:ascii="Times New Roman" w:hAnsi="Times New Roman"/>
          <w:b/>
          <w:color w:val="000000"/>
          <w:sz w:val="20"/>
          <w:szCs w:val="20"/>
          <w:u w:val="none"/>
        </w:rPr>
        <w:t xml:space="preserve">*Corresponding Author email: </w:t>
      </w:r>
      <w:hyperlink r:id="rId2">
        <w:r>
          <w:rPr>
            <w:rStyle w:val="Hyperlink"/>
            <w:rFonts w:eastAsia="Times New Roman" w:cs="Times New Roman" w:ascii="Times New Roman" w:hAnsi="Times New Roman"/>
            <w:b/>
            <w:color w:val="000000"/>
            <w:sz w:val="20"/>
            <w:szCs w:val="20"/>
            <w:u w:val="none"/>
          </w:rPr>
          <w:t>ashakykiyaga91@gmail.com</w:t>
        </w:r>
      </w:hyperlink>
    </w:p>
    <w:p>
      <w:pPr>
        <w:pStyle w:val="BodyText"/>
        <w:spacing w:before="0" w:after="0"/>
        <w:rPr>
          <w:rFonts w:ascii="Times New Roman" w:hAnsi="Times New Roman"/>
          <w:b/>
          <w:bCs/>
        </w:rPr>
      </w:pPr>
      <w:r>
        <w:rPr>
          <w:rFonts w:ascii="Times New Roman" w:hAnsi="Times New Roman"/>
          <w:b/>
          <w:bCs/>
        </w:rPr>
      </w:r>
    </w:p>
    <w:p>
      <w:pPr>
        <w:pStyle w:val="BodyText"/>
        <w:spacing w:before="0" w:after="0"/>
        <w:rPr>
          <w:rFonts w:ascii="Times New Roman" w:hAnsi="Times New Roman"/>
          <w:b/>
          <w:bCs/>
        </w:rPr>
      </w:pPr>
      <w:r>
        <w:rPr>
          <w:rFonts w:ascii="Times New Roman" w:hAnsi="Times New Roman"/>
          <w:b/>
          <w:bCs/>
        </w:rPr>
      </w:r>
    </w:p>
    <w:p>
      <w:pPr>
        <w:pStyle w:val="BodyText"/>
        <w:spacing w:before="0" w:after="0"/>
        <w:rPr>
          <w:rFonts w:ascii="Times New Roman" w:hAnsi="Times New Roman"/>
          <w:b/>
          <w:bCs/>
        </w:rPr>
      </w:pPr>
      <w:r>
        <w:rPr>
          <w:rFonts w:ascii="Times New Roman" w:hAnsi="Times New Roman"/>
          <w:b/>
          <w:bCs/>
        </w:rPr>
      </w:r>
    </w:p>
    <w:p>
      <w:pPr>
        <w:pStyle w:val="BodyText"/>
        <w:spacing w:before="0" w:after="0"/>
        <w:rPr>
          <w:rFonts w:ascii="Times New Roman" w:hAnsi="Times New Roman"/>
          <w:b/>
          <w:bCs/>
        </w:rPr>
      </w:pPr>
      <w:r>
        <w:rPr>
          <w:rFonts w:ascii="Times New Roman" w:hAnsi="Times New Roman"/>
          <w:b/>
          <w:bCs/>
        </w:rPr>
      </w:r>
    </w:p>
    <w:p>
      <w:pPr>
        <w:pStyle w:val="BodyText"/>
        <w:spacing w:before="0" w:after="0"/>
        <w:rPr>
          <w:rFonts w:ascii="Times New Roman" w:hAnsi="Times New Roman"/>
          <w:b/>
          <w:bCs/>
        </w:rPr>
      </w:pPr>
      <w:r>
        <w:rPr>
          <w:rFonts w:ascii="Times New Roman" w:hAnsi="Times New Roman"/>
          <w:b/>
          <w:bCs/>
        </w:rPr>
      </w:r>
    </w:p>
    <w:p>
      <w:pPr>
        <w:pStyle w:val="BodyText"/>
        <w:spacing w:before="0" w:after="0"/>
        <w:rPr>
          <w:rFonts w:ascii="Times New Roman" w:hAnsi="Times New Roman"/>
          <w:b/>
          <w:bCs/>
        </w:rPr>
      </w:pPr>
      <w:r>
        <w:rPr>
          <w:rFonts w:ascii="Times New Roman" w:hAnsi="Times New Roman"/>
          <w:b/>
          <w:bCs/>
        </w:rPr>
      </w:r>
    </w:p>
    <w:p>
      <w:pPr>
        <w:pStyle w:val="BodyText"/>
        <w:spacing w:before="0" w:after="0"/>
        <w:rPr>
          <w:rFonts w:ascii="Times New Roman" w:hAnsi="Times New Roman"/>
          <w:b/>
          <w:bCs/>
        </w:rPr>
      </w:pPr>
      <w:r>
        <w:rPr>
          <w:rFonts w:ascii="Times New Roman" w:hAnsi="Times New Roman"/>
          <w:b/>
          <w:bCs/>
        </w:rPr>
        <w:t>Supplementary Table 1: Genomic and epidemiologic characteristics by study sites</w:t>
      </w:r>
    </w:p>
    <w:tbl>
      <w:tblPr>
        <w:tblW w:w="15750" w:type="dxa"/>
        <w:jc w:val="start"/>
        <w:tblInd w:w="-628" w:type="dxa"/>
        <w:tblLayout w:type="fixed"/>
        <w:tblCellMar>
          <w:top w:w="55" w:type="dxa"/>
          <w:start w:w="55" w:type="dxa"/>
          <w:bottom w:w="55" w:type="dxa"/>
          <w:end w:w="55" w:type="dxa"/>
        </w:tblCellMar>
        <w:tblLook w:val="04a0" w:noHBand="0" w:noVBand="1" w:firstColumn="1" w:lastRow="0" w:lastColumn="0" w:firstRow="1"/>
      </w:tblPr>
      <w:tblGrid>
        <w:gridCol w:w="354"/>
        <w:gridCol w:w="953"/>
        <w:gridCol w:w="1"/>
        <w:gridCol w:w="993"/>
        <w:gridCol w:w="3"/>
        <w:gridCol w:w="625"/>
        <w:gridCol w:w="2"/>
        <w:gridCol w:w="600"/>
        <w:gridCol w:w="669"/>
        <w:gridCol w:w="680"/>
        <w:gridCol w:w="930"/>
        <w:gridCol w:w="778"/>
        <w:gridCol w:w="1020"/>
        <w:gridCol w:w="997"/>
        <w:gridCol w:w="937"/>
        <w:gridCol w:w="4"/>
        <w:gridCol w:w="641"/>
        <w:gridCol w:w="669"/>
        <w:gridCol w:w="627"/>
        <w:gridCol w:w="724"/>
        <w:gridCol w:w="900"/>
        <w:gridCol w:w="804"/>
        <w:gridCol w:w="1035"/>
        <w:gridCol w:w="800"/>
      </w:tblGrid>
      <w:tr>
        <w:trPr/>
        <w:tc>
          <w:tcPr>
            <w:tcW w:w="354" w:type="dxa"/>
            <w:vMerge w:val="restart"/>
            <w:tcBorders>
              <w:top w:val="single" w:sz="6" w:space="0" w:color="000000"/>
              <w:bottom w:val="single" w:sz="6" w:space="0" w:color="000000"/>
            </w:tcBorders>
          </w:tcPr>
          <w:p>
            <w:pPr>
              <w:pStyle w:val="TableContents"/>
              <w:jc w:val="center"/>
              <w:rPr>
                <w:rFonts w:ascii="Times New Roman" w:hAnsi="Times New Roman"/>
                <w:sz w:val="16"/>
                <w:szCs w:val="16"/>
              </w:rPr>
            </w:pPr>
            <w:r>
              <w:rPr>
                <w:rFonts w:ascii="Times New Roman" w:hAnsi="Times New Roman"/>
                <w:b/>
                <w:bCs/>
                <w:sz w:val="16"/>
                <w:szCs w:val="16"/>
              </w:rPr>
              <w:t>No.</w:t>
            </w:r>
          </w:p>
        </w:tc>
        <w:tc>
          <w:tcPr>
            <w:tcW w:w="953" w:type="dxa"/>
            <w:vMerge w:val="restart"/>
            <w:tcBorders>
              <w:top w:val="single" w:sz="6" w:space="0" w:color="000000"/>
              <w:bottom w:val="single" w:sz="6" w:space="0" w:color="000000"/>
            </w:tcBorders>
          </w:tcPr>
          <w:p>
            <w:pPr>
              <w:pStyle w:val="TableContents"/>
              <w:jc w:val="center"/>
              <w:rPr>
                <w:rFonts w:ascii="Times New Roman" w:hAnsi="Times New Roman"/>
                <w:sz w:val="16"/>
                <w:szCs w:val="16"/>
              </w:rPr>
            </w:pPr>
            <w:r>
              <w:rPr>
                <w:rFonts w:ascii="Times New Roman" w:hAnsi="Times New Roman"/>
                <w:b/>
                <w:bCs/>
                <w:sz w:val="16"/>
                <w:szCs w:val="16"/>
              </w:rPr>
              <w:t>Site</w:t>
            </w:r>
          </w:p>
        </w:tc>
        <w:tc>
          <w:tcPr>
            <w:tcW w:w="994" w:type="dxa"/>
            <w:gridSpan w:val="2"/>
            <w:vMerge w:val="restart"/>
            <w:tcBorders>
              <w:top w:val="single" w:sz="6" w:space="0" w:color="000000"/>
              <w:bottom w:val="single" w:sz="6" w:space="0" w:color="000000"/>
            </w:tcBorders>
          </w:tcPr>
          <w:p>
            <w:pPr>
              <w:pStyle w:val="TableContents"/>
              <w:jc w:val="center"/>
              <w:rPr>
                <w:rFonts w:ascii="Times New Roman" w:hAnsi="Times New Roman"/>
                <w:sz w:val="16"/>
                <w:szCs w:val="16"/>
              </w:rPr>
            </w:pPr>
            <w:r>
              <w:rPr>
                <w:rFonts w:ascii="Times New Roman" w:hAnsi="Times New Roman"/>
                <w:b/>
                <w:bCs/>
                <w:sz w:val="16"/>
                <w:szCs w:val="16"/>
              </w:rPr>
              <w:t>District</w:t>
            </w:r>
          </w:p>
        </w:tc>
        <w:tc>
          <w:tcPr>
            <w:tcW w:w="628" w:type="dxa"/>
            <w:gridSpan w:val="2"/>
            <w:tcBorders>
              <w:top w:val="single" w:sz="6" w:space="0" w:color="000000"/>
            </w:tcBorders>
          </w:tcPr>
          <w:p>
            <w:pPr>
              <w:pStyle w:val="TableContents"/>
              <w:jc w:val="center"/>
              <w:rPr>
                <w:rFonts w:ascii="Times New Roman" w:hAnsi="Times New Roman"/>
                <w:sz w:val="16"/>
                <w:szCs w:val="16"/>
              </w:rPr>
            </w:pPr>
            <w:r>
              <w:rPr>
                <w:rFonts w:ascii="Times New Roman" w:hAnsi="Times New Roman"/>
                <w:sz w:val="16"/>
                <w:szCs w:val="16"/>
              </w:rPr>
            </w:r>
          </w:p>
        </w:tc>
        <w:tc>
          <w:tcPr>
            <w:tcW w:w="6613" w:type="dxa"/>
            <w:gridSpan w:val="9"/>
            <w:tcBorders>
              <w:top w:val="single" w:sz="6" w:space="0" w:color="000000"/>
            </w:tcBorders>
          </w:tcPr>
          <w:p>
            <w:pPr>
              <w:pStyle w:val="TableContents"/>
              <w:jc w:val="center"/>
              <w:rPr>
                <w:rFonts w:ascii="Times New Roman" w:hAnsi="Times New Roman"/>
                <w:sz w:val="16"/>
                <w:szCs w:val="16"/>
              </w:rPr>
            </w:pPr>
            <w:r>
              <w:rPr>
                <w:rFonts w:ascii="Times New Roman" w:hAnsi="Times New Roman"/>
                <w:b/>
                <w:bCs/>
                <w:color w:val="000000"/>
                <w:sz w:val="16"/>
                <w:szCs w:val="16"/>
              </w:rPr>
              <w:t>Round 1 (Jan – Mar)</w:t>
            </w:r>
          </w:p>
          <w:p>
            <w:pPr>
              <w:pStyle w:val="TableContents"/>
              <w:jc w:val="center"/>
              <w:rPr>
                <w:rFonts w:ascii="Times New Roman" w:hAnsi="Times New Roman"/>
                <w:sz w:val="16"/>
                <w:szCs w:val="16"/>
              </w:rPr>
            </w:pPr>
            <w:r>
              <w:rPr>
                <w:rFonts w:ascii="Times New Roman" w:hAnsi="Times New Roman"/>
                <w:b/>
                <w:bCs/>
                <w:color w:val="000000"/>
                <w:sz w:val="16"/>
                <w:szCs w:val="16"/>
              </w:rPr>
              <w:t>mean</w:t>
            </w:r>
          </w:p>
        </w:tc>
        <w:tc>
          <w:tcPr>
            <w:tcW w:w="0" w:type="dxa"/>
            <w:tcBorders>
              <w:top w:val="single" w:sz="6" w:space="0" w:color="000000"/>
              <w:start w:val="single" w:sz="6" w:space="0" w:color="000000"/>
            </w:tcBorders>
          </w:tcPr>
          <w:p>
            <w:pPr>
              <w:pStyle w:val="TableContents"/>
              <w:jc w:val="center"/>
              <w:rPr>
                <w:rFonts w:ascii="Times New Roman" w:hAnsi="Times New Roman"/>
                <w:sz w:val="16"/>
                <w:szCs w:val="16"/>
              </w:rPr>
            </w:pPr>
            <w:r>
              <w:rPr>
                <w:rFonts w:ascii="Times New Roman" w:hAnsi="Times New Roman"/>
                <w:sz w:val="16"/>
                <w:szCs w:val="16"/>
              </w:rPr>
            </w:r>
          </w:p>
        </w:tc>
        <w:tc>
          <w:tcPr>
            <w:tcW w:w="6204" w:type="dxa"/>
            <w:gridSpan w:val="9"/>
            <w:tcBorders>
              <w:top w:val="single" w:sz="6" w:space="0" w:color="000000"/>
              <w:start w:val="single" w:sz="6" w:space="0" w:color="000000"/>
            </w:tcBorders>
          </w:tcPr>
          <w:p>
            <w:pPr>
              <w:pStyle w:val="TableContents"/>
              <w:jc w:val="center"/>
              <w:rPr>
                <w:rFonts w:ascii="Times New Roman" w:hAnsi="Times New Roman"/>
                <w:sz w:val="16"/>
                <w:szCs w:val="16"/>
              </w:rPr>
            </w:pPr>
            <w:r>
              <w:rPr>
                <w:rFonts w:ascii="Times New Roman" w:hAnsi="Times New Roman"/>
                <w:b/>
                <w:bCs/>
                <w:color w:val="000000"/>
                <w:sz w:val="16"/>
                <w:szCs w:val="16"/>
              </w:rPr>
              <w:t>Round 2 (Jul – Sept)</w:t>
            </w:r>
          </w:p>
          <w:p>
            <w:pPr>
              <w:pStyle w:val="TableContents"/>
              <w:jc w:val="center"/>
              <w:rPr>
                <w:rFonts w:ascii="Times New Roman" w:hAnsi="Times New Roman"/>
                <w:sz w:val="16"/>
                <w:szCs w:val="16"/>
              </w:rPr>
            </w:pPr>
            <w:r>
              <w:rPr>
                <w:rFonts w:ascii="Times New Roman" w:hAnsi="Times New Roman"/>
                <w:b/>
                <w:bCs/>
                <w:color w:val="000000"/>
                <w:sz w:val="16"/>
                <w:szCs w:val="16"/>
              </w:rPr>
              <w:t>mean</w:t>
            </w:r>
          </w:p>
        </w:tc>
      </w:tr>
      <w:tr>
        <w:trPr>
          <w:trHeight w:val="641" w:hRule="atLeast"/>
        </w:trPr>
        <w:tc>
          <w:tcPr>
            <w:tcW w:w="354" w:type="dxa"/>
            <w:vMerge w:val="continue"/>
            <w:tcBorders>
              <w:bottom w:val="single" w:sz="6"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r>
          </w:p>
        </w:tc>
        <w:tc>
          <w:tcPr>
            <w:tcW w:w="954" w:type="dxa"/>
            <w:gridSpan w:val="2"/>
            <w:vMerge w:val="continue"/>
            <w:tcBorders>
              <w:bottom w:val="single" w:sz="6"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r>
          </w:p>
        </w:tc>
        <w:tc>
          <w:tcPr>
            <w:tcW w:w="996" w:type="dxa"/>
            <w:gridSpan w:val="2"/>
            <w:vMerge w:val="continue"/>
            <w:tcBorders>
              <w:bottom w:val="single" w:sz="6" w:space="0" w:color="000000"/>
            </w:tcBorders>
          </w:tcPr>
          <w:p>
            <w:pPr>
              <w:pStyle w:val="Normal"/>
              <w:jc w:val="center"/>
              <w:rPr>
                <w:rFonts w:ascii="Times New Roman" w:hAnsi="Times New Roman"/>
                <w:b/>
                <w:bCs/>
                <w:sz w:val="16"/>
                <w:szCs w:val="16"/>
              </w:rPr>
            </w:pPr>
            <w:r>
              <w:rPr>
                <w:rFonts w:ascii="Times New Roman" w:hAnsi="Times New Roman"/>
                <w:b/>
                <w:bCs/>
                <w:sz w:val="16"/>
                <w:szCs w:val="16"/>
              </w:rPr>
            </w:r>
          </w:p>
        </w:tc>
        <w:tc>
          <w:tcPr>
            <w:tcW w:w="627" w:type="dxa"/>
            <w:gridSpan w:val="2"/>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Sample size</w:t>
            </w:r>
          </w:p>
        </w:tc>
        <w:tc>
          <w:tcPr>
            <w:tcW w:w="600"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COI</w:t>
            </w:r>
          </w:p>
        </w:tc>
        <w:tc>
          <w:tcPr>
            <w:tcW w:w="669"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eCOI</w:t>
            </w:r>
          </w:p>
        </w:tc>
        <w:tc>
          <w:tcPr>
            <w:tcW w:w="680"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WHR</w:t>
            </w:r>
          </w:p>
        </w:tc>
        <w:tc>
          <w:tcPr>
            <w:tcW w:w="930"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Percent Polyclonal</w:t>
            </w:r>
          </w:p>
        </w:tc>
        <w:tc>
          <w:tcPr>
            <w:tcW w:w="778"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Heterozygosity</w:t>
            </w:r>
          </w:p>
        </w:tc>
        <w:tc>
          <w:tcPr>
            <w:tcW w:w="1020" w:type="dxa"/>
            <w:tcBorders>
              <w:top w:val="single" w:sz="4" w:space="0" w:color="000000"/>
            </w:tcBorders>
          </w:tcPr>
          <w:p>
            <w:pPr>
              <w:pStyle w:val="TableContents"/>
              <w:jc w:val="center"/>
              <w:rPr/>
            </w:pPr>
            <w:r>
              <w:rPr>
                <w:rFonts w:ascii="Times New Roman" w:hAnsi="Times New Roman"/>
                <w:b/>
                <w:bCs/>
                <w:sz w:val="16"/>
                <w:szCs w:val="16"/>
              </w:rPr>
              <w:t>%Highly related pairs (r&gt;0.125)</w:t>
            </w:r>
          </w:p>
        </w:tc>
        <w:tc>
          <w:tcPr>
            <w:tcW w:w="997" w:type="dxa"/>
            <w:tcBorders>
              <w:top w:val="single" w:sz="4" w:space="0" w:color="000000"/>
            </w:tcBorders>
          </w:tcPr>
          <w:p>
            <w:pPr>
              <w:pStyle w:val="Normal"/>
              <w:jc w:val="center"/>
              <w:rPr>
                <w:rFonts w:ascii="Times New Roman" w:hAnsi="Times New Roman"/>
                <w:b/>
                <w:bCs/>
                <w:sz w:val="16"/>
                <w:szCs w:val="16"/>
              </w:rPr>
            </w:pPr>
            <w:r>
              <w:rPr>
                <w:rFonts w:ascii="Times New Roman" w:hAnsi="Times New Roman"/>
                <w:b/>
                <w:bCs/>
                <w:sz w:val="16"/>
                <w:szCs w:val="16"/>
              </w:rPr>
              <w:t>Incidence (</w:t>
            </w:r>
            <w:r>
              <w:rPr>
                <w:rFonts w:eastAsia="Times New Roman" w:cs="Times New Roman" w:ascii="Times New Roman" w:hAnsi="Times New Roman"/>
                <w:b/>
                <w:bCs/>
                <w:sz w:val="16"/>
                <w:szCs w:val="16"/>
              </w:rPr>
              <w:t>cases per 1000 PY</w:t>
            </w:r>
            <w:r>
              <w:rPr>
                <w:rFonts w:ascii="Times New Roman" w:hAnsi="Times New Roman"/>
                <w:b/>
                <w:bCs/>
                <w:sz w:val="16"/>
                <w:szCs w:val="16"/>
              </w:rPr>
              <w:t>)</w:t>
            </w:r>
          </w:p>
        </w:tc>
        <w:tc>
          <w:tcPr>
            <w:tcW w:w="941" w:type="dxa"/>
            <w:gridSpan w:val="2"/>
            <w:tcBorders>
              <w:top w:val="single" w:sz="4" w:space="0" w:color="000000"/>
            </w:tcBorders>
          </w:tcPr>
          <w:p>
            <w:pPr>
              <w:pStyle w:val="Normal"/>
              <w:jc w:val="center"/>
              <w:rPr>
                <w:rFonts w:ascii="Times New Roman" w:hAnsi="Times New Roman"/>
                <w:b/>
                <w:bCs/>
                <w:sz w:val="16"/>
                <w:szCs w:val="16"/>
              </w:rPr>
            </w:pPr>
            <w:r>
              <w:rPr>
                <w:rFonts w:ascii="Times New Roman" w:hAnsi="Times New Roman"/>
                <w:b/>
                <w:bCs/>
                <w:sz w:val="16"/>
                <w:szCs w:val="16"/>
              </w:rPr>
              <w:t>Prevalence (%)</w:t>
            </w:r>
          </w:p>
        </w:tc>
        <w:tc>
          <w:tcPr>
            <w:tcW w:w="641" w:type="dxa"/>
            <w:tcBorders>
              <w:top w:val="single" w:sz="4" w:space="0" w:color="000000"/>
              <w:start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Sample size</w:t>
            </w:r>
          </w:p>
        </w:tc>
        <w:tc>
          <w:tcPr>
            <w:tcW w:w="669"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COI</w:t>
            </w:r>
          </w:p>
        </w:tc>
        <w:tc>
          <w:tcPr>
            <w:tcW w:w="627"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eCOI</w:t>
            </w:r>
          </w:p>
        </w:tc>
        <w:tc>
          <w:tcPr>
            <w:tcW w:w="724"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WHR</w:t>
            </w:r>
          </w:p>
        </w:tc>
        <w:tc>
          <w:tcPr>
            <w:tcW w:w="900"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Percent Polyclonal</w:t>
            </w:r>
          </w:p>
        </w:tc>
        <w:tc>
          <w:tcPr>
            <w:tcW w:w="804" w:type="dxa"/>
            <w:tcBorders>
              <w:top w:val="single" w:sz="4" w:space="0" w:color="000000"/>
            </w:tcBorders>
          </w:tcPr>
          <w:p>
            <w:pPr>
              <w:pStyle w:val="TableContents"/>
              <w:jc w:val="center"/>
              <w:rPr>
                <w:rFonts w:ascii="Times New Roman" w:hAnsi="Times New Roman"/>
                <w:b/>
                <w:bCs/>
                <w:sz w:val="16"/>
                <w:szCs w:val="16"/>
              </w:rPr>
            </w:pPr>
            <w:r>
              <w:rPr>
                <w:rFonts w:ascii="Times New Roman" w:hAnsi="Times New Roman"/>
                <w:b/>
                <w:bCs/>
                <w:sz w:val="16"/>
                <w:szCs w:val="16"/>
              </w:rPr>
              <w:t>Heterozygosity</w:t>
            </w:r>
          </w:p>
        </w:tc>
        <w:tc>
          <w:tcPr>
            <w:tcW w:w="1035" w:type="dxa"/>
            <w:tcBorders>
              <w:top w:val="single" w:sz="4" w:space="0" w:color="000000"/>
            </w:tcBorders>
          </w:tcPr>
          <w:p>
            <w:pPr>
              <w:pStyle w:val="TableContents"/>
              <w:jc w:val="center"/>
              <w:rPr/>
            </w:pPr>
            <w:r>
              <w:rPr>
                <w:rFonts w:ascii="Times New Roman" w:hAnsi="Times New Roman"/>
                <w:b/>
                <w:bCs/>
                <w:sz w:val="16"/>
                <w:szCs w:val="16"/>
              </w:rPr>
              <w:t>%Highly related pairs (r&gt;0.125)</w:t>
            </w:r>
          </w:p>
        </w:tc>
        <w:tc>
          <w:tcPr>
            <w:tcW w:w="800" w:type="dxa"/>
            <w:tcBorders>
              <w:top w:val="single" w:sz="4" w:space="0" w:color="000000"/>
            </w:tcBorders>
          </w:tcPr>
          <w:p>
            <w:pPr>
              <w:pStyle w:val="Normal"/>
              <w:jc w:val="center"/>
              <w:rPr>
                <w:rFonts w:ascii="Times New Roman" w:hAnsi="Times New Roman"/>
                <w:b/>
                <w:bCs/>
                <w:sz w:val="16"/>
                <w:szCs w:val="16"/>
              </w:rPr>
            </w:pPr>
            <w:r>
              <w:rPr>
                <w:rFonts w:ascii="Times New Roman" w:hAnsi="Times New Roman"/>
                <w:b/>
                <w:bCs/>
                <w:sz w:val="16"/>
                <w:szCs w:val="16"/>
              </w:rPr>
              <w:t>Incidence (</w:t>
            </w:r>
            <w:r>
              <w:rPr>
                <w:rFonts w:eastAsia="Times New Roman" w:cs="Times New Roman" w:ascii="Times New Roman" w:hAnsi="Times New Roman"/>
                <w:b/>
                <w:bCs/>
                <w:sz w:val="16"/>
                <w:szCs w:val="16"/>
              </w:rPr>
              <w:t>cases per 1000 PY</w:t>
            </w:r>
            <w:r>
              <w:rPr>
                <w:rFonts w:ascii="Times New Roman" w:hAnsi="Times New Roman"/>
                <w:b/>
                <w:bCs/>
                <w:sz w:val="16"/>
                <w:szCs w:val="16"/>
              </w:rPr>
              <w:t>)</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Nadunget</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Moroto</w:t>
            </w:r>
          </w:p>
        </w:tc>
        <w:tc>
          <w:tcPr>
            <w:tcW w:w="627" w:type="dxa"/>
            <w:gridSpan w:val="2"/>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39</w:t>
            </w:r>
          </w:p>
        </w:tc>
        <w:tc>
          <w:tcPr>
            <w:tcW w:w="600"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6.49</w:t>
            </w:r>
          </w:p>
        </w:tc>
        <w:tc>
          <w:tcPr>
            <w:tcW w:w="669"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3.45</w:t>
            </w:r>
          </w:p>
        </w:tc>
        <w:tc>
          <w:tcPr>
            <w:tcW w:w="680"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0.61</w:t>
            </w:r>
          </w:p>
        </w:tc>
        <w:tc>
          <w:tcPr>
            <w:tcW w:w="930"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100.</w:t>
            </w:r>
            <w:r>
              <w:rPr>
                <w:rFonts w:ascii="Times New Roman" w:hAnsi="Times New Roman"/>
                <w:sz w:val="16"/>
                <w:szCs w:val="16"/>
              </w:rPr>
              <w:t>00</w:t>
            </w:r>
          </w:p>
        </w:tc>
        <w:tc>
          <w:tcPr>
            <w:tcW w:w="778"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0.85</w:t>
            </w:r>
          </w:p>
        </w:tc>
        <w:tc>
          <w:tcPr>
            <w:tcW w:w="1020"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0.11</w:t>
            </w:r>
          </w:p>
        </w:tc>
        <w:tc>
          <w:tcPr>
            <w:tcW w:w="997"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941" w:type="dxa"/>
            <w:gridSpan w:val="2"/>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23.5</w:t>
            </w:r>
            <w:r>
              <w:rPr>
                <w:rFonts w:ascii="Times New Roman" w:hAnsi="Times New Roman"/>
                <w:sz w:val="16"/>
                <w:szCs w:val="16"/>
              </w:rPr>
              <w:t>0</w:t>
            </w:r>
          </w:p>
        </w:tc>
        <w:tc>
          <w:tcPr>
            <w:tcW w:w="641" w:type="dxa"/>
            <w:tcBorders>
              <w:top w:val="single" w:sz="4" w:space="0" w:color="000000"/>
              <w:start w:val="single" w:sz="4" w:space="0" w:color="000000"/>
            </w:tcBorders>
          </w:tcPr>
          <w:p>
            <w:pPr>
              <w:pStyle w:val="TableContents"/>
              <w:rPr>
                <w:rFonts w:ascii="Times New Roman" w:hAnsi="Times New Roman"/>
                <w:sz w:val="16"/>
                <w:szCs w:val="16"/>
              </w:rPr>
            </w:pPr>
            <w:r>
              <w:rPr>
                <w:rFonts w:ascii="Times New Roman" w:hAnsi="Times New Roman"/>
                <w:sz w:val="16"/>
                <w:szCs w:val="16"/>
              </w:rPr>
              <w:t>94</w:t>
            </w:r>
          </w:p>
        </w:tc>
        <w:tc>
          <w:tcPr>
            <w:tcW w:w="669"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6.43</w:t>
            </w:r>
          </w:p>
        </w:tc>
        <w:tc>
          <w:tcPr>
            <w:tcW w:w="627"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3.49</w:t>
            </w:r>
          </w:p>
        </w:tc>
        <w:tc>
          <w:tcPr>
            <w:tcW w:w="724"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0.59</w:t>
            </w:r>
          </w:p>
        </w:tc>
        <w:tc>
          <w:tcPr>
            <w:tcW w:w="900"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75.53</w:t>
            </w:r>
          </w:p>
        </w:tc>
        <w:tc>
          <w:tcPr>
            <w:tcW w:w="804"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0.86</w:t>
            </w:r>
          </w:p>
        </w:tc>
        <w:tc>
          <w:tcPr>
            <w:tcW w:w="1035"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0.39</w:t>
            </w:r>
          </w:p>
        </w:tc>
        <w:tc>
          <w:tcPr>
            <w:tcW w:w="800" w:type="dxa"/>
            <w:tcBorders>
              <w:top w:val="single" w:sz="4" w:space="0" w:color="000000"/>
            </w:tcBorders>
          </w:tcPr>
          <w:p>
            <w:pPr>
              <w:pStyle w:val="TableContents"/>
              <w:rPr>
                <w:rFonts w:ascii="Times New Roman" w:hAnsi="Times New Roman"/>
                <w:sz w:val="16"/>
                <w:szCs w:val="16"/>
              </w:rPr>
            </w:pPr>
            <w:r>
              <w:rPr>
                <w:rFonts w:ascii="Times New Roman" w:hAnsi="Times New Roman"/>
                <w:sz w:val="16"/>
                <w:szCs w:val="16"/>
              </w:rPr>
              <w:t>619.71</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Kigandalo</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Mayuge</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54</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6.44</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3.92</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w:t>
            </w:r>
            <w:r>
              <w:rPr>
                <w:rFonts w:ascii="Times New Roman" w:hAnsi="Times New Roman"/>
                <w:sz w:val="16"/>
                <w:szCs w:val="16"/>
              </w:rPr>
              <w:t>0</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88.89</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0.14</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595.67</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49.23</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89</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5.19</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3.51</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w:t>
            </w:r>
            <w:r>
              <w:rPr>
                <w:rFonts w:ascii="Times New Roman" w:hAnsi="Times New Roman"/>
                <w:sz w:val="16"/>
                <w:szCs w:val="16"/>
              </w:rPr>
              <w:t>0</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80.9</w:t>
            </w:r>
            <w:r>
              <w:rPr>
                <w:rFonts w:ascii="Times New Roman" w:hAnsi="Times New Roman"/>
                <w:sz w:val="16"/>
                <w:szCs w:val="16"/>
              </w:rPr>
              <w:t>0</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0.86</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0.13</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636.91</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Nawaikoke</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Kaliro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24</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5.9</w:t>
            </w:r>
            <w:r>
              <w:rPr>
                <w:rFonts w:ascii="Times New Roman" w:hAnsi="Times New Roman"/>
                <w:sz w:val="16"/>
                <w:szCs w:val="16"/>
              </w:rPr>
              <w:t>0</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4.1</w:t>
            </w:r>
            <w:r>
              <w:rPr>
                <w:rFonts w:ascii="Times New Roman" w:hAnsi="Times New Roman"/>
                <w:sz w:val="16"/>
                <w:szCs w:val="16"/>
              </w:rPr>
              <w:t>0</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95.83</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0.08</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526.52</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26.56</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52</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4.58</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3.48</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w:t>
            </w:r>
            <w:r>
              <w:rPr>
                <w:rFonts w:ascii="Times New Roman" w:hAnsi="Times New Roman"/>
                <w:sz w:val="16"/>
                <w:szCs w:val="16"/>
              </w:rPr>
              <w:t>0</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78.85</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0.38</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579.01</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Orum</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Otuke</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47</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5.72</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3.51</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0.53</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78.72</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0.09</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360.64</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75</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8.99</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5.03</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0.57</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94.67</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545.08</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Alebtong</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Alebtong</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80</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5.56</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3.62</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0.52</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91.25</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0.86</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0.13</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287.99</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Lalogi</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Omoro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51</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5.31</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3.22</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0.57</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76.47</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0.45</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32.39</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61</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3.62</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2.75</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0.41</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77.05</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0.11</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Amolatar</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Amolatar</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41</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4.83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3.46</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0.43</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80.49</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w:t>
            </w:r>
            <w:r>
              <w:rPr>
                <w:rFonts w:ascii="Times New Roman" w:hAnsi="Times New Roman"/>
                <w:sz w:val="16"/>
                <w:szCs w:val="16"/>
              </w:rPr>
              <w:t>0</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275.94</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67</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5.36</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2.96</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0.6</w:t>
            </w:r>
            <w:r>
              <w:rPr>
                <w:rFonts w:ascii="Times New Roman" w:hAnsi="Times New Roman"/>
                <w:sz w:val="16"/>
                <w:szCs w:val="16"/>
              </w:rPr>
              <w:t>0</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67.16</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0.18</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266.95</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Lokolia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Kaabong</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44</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4.73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3.33</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0.44</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79.55</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0.82</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w:t>
            </w:r>
            <w:r>
              <w:rPr>
                <w:rFonts w:ascii="Times New Roman" w:hAnsi="Times New Roman"/>
                <w:sz w:val="16"/>
                <w:szCs w:val="16"/>
              </w:rPr>
              <w:t>0</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857.52</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43.64</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88</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4.25</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3.11</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0.43</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81.82</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1.02</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790.64</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Budondo</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Jinja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28</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4.54</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3.38</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71.43</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0.82</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1.85</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160.12</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20.27</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56</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4.25</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2.73</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0.56</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76.79</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w:t>
            </w:r>
            <w:r>
              <w:rPr>
                <w:rFonts w:ascii="Times New Roman" w:hAnsi="Times New Roman"/>
                <w:sz w:val="16"/>
                <w:szCs w:val="16"/>
              </w:rPr>
              <w:t>0</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212.56</w:t>
            </w:r>
          </w:p>
        </w:tc>
      </w:tr>
      <w:tr>
        <w:trPr>
          <w:trHeight w:val="199" w:hRule="atLeast"/>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10</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Aboke</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Kole</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44</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4.43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3.29</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w:t>
            </w:r>
            <w:r>
              <w:rPr>
                <w:rFonts w:ascii="Times New Roman" w:hAnsi="Times New Roman"/>
                <w:sz w:val="16"/>
                <w:szCs w:val="16"/>
              </w:rPr>
              <w:t>0</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75.</w:t>
            </w:r>
            <w:r>
              <w:rPr>
                <w:rFonts w:ascii="Times New Roman" w:hAnsi="Times New Roman"/>
                <w:sz w:val="16"/>
                <w:szCs w:val="16"/>
              </w:rPr>
              <w:t>00</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0.11</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703.37</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35.29</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79</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4.03</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3.21</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0.35</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83.54</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w:t>
            </w:r>
            <w:r>
              <w:rPr>
                <w:rFonts w:ascii="Times New Roman" w:hAnsi="Times New Roman"/>
                <w:sz w:val="16"/>
                <w:szCs w:val="16"/>
              </w:rPr>
              <w:t>0</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598.41</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11</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Busitema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Busia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50</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4.2</w:t>
            </w:r>
            <w:r>
              <w:rPr>
                <w:rFonts w:ascii="Times New Roman" w:hAnsi="Times New Roman"/>
                <w:sz w:val="16"/>
                <w:szCs w:val="16"/>
              </w:rPr>
              <w:t>0</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2.77</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0.44</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90.</w:t>
            </w:r>
            <w:r>
              <w:rPr>
                <w:rFonts w:ascii="Times New Roman" w:hAnsi="Times New Roman"/>
                <w:sz w:val="16"/>
                <w:szCs w:val="16"/>
              </w:rPr>
              <w:t>00</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w:t>
            </w:r>
            <w:r>
              <w:rPr>
                <w:rFonts w:ascii="Times New Roman" w:hAnsi="Times New Roman"/>
                <w:sz w:val="16"/>
                <w:szCs w:val="16"/>
              </w:rPr>
              <w:t>00</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1062.09</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44.62</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78</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3.27</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2.59</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w:t>
            </w:r>
            <w:r>
              <w:rPr>
                <w:rFonts w:ascii="Times New Roman" w:hAnsi="Times New Roman"/>
                <w:sz w:val="16"/>
                <w:szCs w:val="16"/>
              </w:rPr>
              <w:t>0</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69.23</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w:t>
            </w:r>
            <w:r>
              <w:rPr>
                <w:rFonts w:ascii="Times New Roman" w:hAnsi="Times New Roman"/>
                <w:sz w:val="16"/>
                <w:szCs w:val="16"/>
              </w:rPr>
              <w:t>0</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1667.15</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12</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Nagongera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Tororo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47</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3.94</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3.03</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0.35</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76.6</w:t>
            </w:r>
            <w:r>
              <w:rPr>
                <w:rFonts w:ascii="Times New Roman" w:hAnsi="Times New Roman"/>
                <w:sz w:val="16"/>
                <w:szCs w:val="16"/>
              </w:rPr>
              <w:t>0</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0.09</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420.57</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72</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3.78</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2.9</w:t>
            </w:r>
            <w:r>
              <w:rPr>
                <w:rFonts w:ascii="Times New Roman" w:hAnsi="Times New Roman"/>
                <w:sz w:val="16"/>
                <w:szCs w:val="16"/>
              </w:rPr>
              <w:t>0</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w:t>
            </w:r>
            <w:r>
              <w:rPr>
                <w:rFonts w:ascii="Times New Roman" w:hAnsi="Times New Roman"/>
                <w:sz w:val="16"/>
                <w:szCs w:val="16"/>
              </w:rPr>
              <w:t>0</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73.61</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0.27</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306.16</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13</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Atiak</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Amuru</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69</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3.86</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2.77</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0.47</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81.16</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0.34</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274.29</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30.51</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97</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4.33</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w:t>
            </w:r>
            <w:r>
              <w:rPr>
                <w:rFonts w:ascii="Times New Roman" w:hAnsi="Times New Roman"/>
                <w:sz w:val="16"/>
                <w:szCs w:val="16"/>
              </w:rPr>
              <w:t>0</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0.38</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89.69</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0.54</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337.06</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14</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Kiyunga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Luuka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51</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3.73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2.73</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72.55</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0.16</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207.81</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15.79</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15</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Patongo</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Agago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76</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3.66</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2.78</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78.95</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0.28</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479.27</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19.51</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97</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5.01</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3.61</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84.54</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0.11</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598.82</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16</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Metu</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Moyo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71</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3.61</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1.98</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0.68</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83.1</w:t>
            </w:r>
            <w:r>
              <w:rPr>
                <w:rFonts w:ascii="Times New Roman" w:hAnsi="Times New Roman"/>
                <w:sz w:val="16"/>
                <w:szCs w:val="16"/>
              </w:rPr>
              <w:t>0</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1.21</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444.33</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5.62</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91</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2.85</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2.19</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0.41</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62.64</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1.88</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558.95</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17</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Opia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Arua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75</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3.49</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2.31</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0.55</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74.67</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392.65</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18.09</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63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2.62</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2.01</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0.43</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60.32</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w:t>
            </w:r>
            <w:r>
              <w:rPr>
                <w:rFonts w:ascii="Times New Roman" w:hAnsi="Times New Roman"/>
                <w:sz w:val="16"/>
                <w:szCs w:val="16"/>
              </w:rPr>
              <w:t>0</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500.18</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Padibe</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Lamwo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67</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3.18</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2.47</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0.46</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67.16</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0.27</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360.98</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5.04</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3.15</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0.53</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87.1</w:t>
            </w:r>
            <w:r>
              <w:rPr>
                <w:rFonts w:ascii="Times New Roman" w:hAnsi="Times New Roman"/>
                <w:sz w:val="16"/>
                <w:szCs w:val="16"/>
              </w:rPr>
              <w:t>0</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0.16</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456.67</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19</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Aduku</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Kwania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64</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3.17</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2.36</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0.51</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68.75</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0.14</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723.28</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23.21</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76</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5.03</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3.49</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0.41</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89.47</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0.28</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593.8</w:t>
            </w:r>
            <w:r>
              <w:rPr>
                <w:rFonts w:ascii="Times New Roman" w:hAnsi="Times New Roman"/>
                <w:sz w:val="16"/>
                <w:szCs w:val="16"/>
              </w:rPr>
              <w:t>0</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20</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Kihihi</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Kanungu</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72</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3.06</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1.93</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0.59</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70.83</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1.49</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92.41</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95</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2.53</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1.92</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0.45</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54.74</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1.72</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71.94</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21</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Kigorobya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Hoima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40</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w:t>
            </w:r>
            <w:r>
              <w:rPr>
                <w:rFonts w:ascii="Times New Roman" w:hAnsi="Times New Roman"/>
                <w:sz w:val="16"/>
                <w:szCs w:val="16"/>
              </w:rPr>
              <w:t>00</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2.33</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0.39</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87.5</w:t>
            </w:r>
            <w:r>
              <w:rPr>
                <w:rFonts w:ascii="Times New Roman" w:hAnsi="Times New Roman"/>
                <w:sz w:val="16"/>
                <w:szCs w:val="16"/>
              </w:rPr>
              <w:t>0</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1.28</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168.49</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11.69</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98</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3.05</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2.45</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0.37</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65.31</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0.29</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137.2</w:t>
            </w:r>
            <w:r>
              <w:rPr>
                <w:rFonts w:ascii="Times New Roman" w:hAnsi="Times New Roman"/>
                <w:sz w:val="16"/>
                <w:szCs w:val="16"/>
              </w:rPr>
              <w:t>0</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22</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Namokora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Kitgum</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91</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2.92</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2.3</w:t>
            </w:r>
            <w:r>
              <w:rPr>
                <w:rFonts w:ascii="Times New Roman" w:hAnsi="Times New Roman"/>
                <w:sz w:val="16"/>
                <w:szCs w:val="16"/>
              </w:rPr>
              <w:t>0</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0.41</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69.23</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0.10</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395.28</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18.03</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7.1</w:t>
            </w:r>
            <w:r>
              <w:rPr>
                <w:rFonts w:ascii="Times New Roman" w:hAnsi="Times New Roman"/>
                <w:sz w:val="16"/>
                <w:szCs w:val="16"/>
              </w:rPr>
              <w:t>0</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3.48</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0.62</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84.95</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0.02</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646.97</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23</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Kasambya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Mubende</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60</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2.67</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1.71</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0.66</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71.67</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0.66</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124.75</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11.76</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91</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2.47</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1.77</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0.52</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57.14</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0.84</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0.88</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124.45</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24</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Karambi</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Kasese</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60</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2.2</w:t>
            </w:r>
            <w:r>
              <w:rPr>
                <w:rFonts w:ascii="Times New Roman" w:hAnsi="Times New Roman"/>
                <w:sz w:val="16"/>
                <w:szCs w:val="16"/>
              </w:rPr>
              <w:t>0</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1.75</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0.56</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56.67</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0.82</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181.78</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72</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2.76</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1.95</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0.54</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62.5</w:t>
            </w:r>
            <w:r>
              <w:rPr>
                <w:rFonts w:ascii="Times New Roman" w:hAnsi="Times New Roman"/>
                <w:sz w:val="16"/>
                <w:szCs w:val="16"/>
              </w:rPr>
              <w:t>0</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0.82</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100.3</w:t>
            </w:r>
            <w:r>
              <w:rPr>
                <w:rFonts w:ascii="Times New Roman" w:hAnsi="Times New Roman"/>
                <w:sz w:val="16"/>
                <w:szCs w:val="16"/>
              </w:rPr>
              <w:t>0</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25</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Kamwezi</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Rukiga</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72</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2.17</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1.81</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0.54</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52.78</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3.8</w:t>
            </w:r>
            <w:r>
              <w:rPr>
                <w:rFonts w:ascii="Times New Roman" w:hAnsi="Times New Roman"/>
                <w:sz w:val="16"/>
                <w:szCs w:val="16"/>
              </w:rPr>
              <w:t>0</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91.29</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62</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1.81</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1.52</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0.45</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45.16</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0.82</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6.66</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33.1</w:t>
            </w:r>
            <w:r>
              <w:rPr>
                <w:rFonts w:ascii="Times New Roman" w:hAnsi="Times New Roman"/>
                <w:sz w:val="16"/>
                <w:szCs w:val="16"/>
              </w:rPr>
              <w:t>0</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26</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Awach</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Gulu</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35.71</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91</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4.43</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3.08</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0.42</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86.81</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0.85</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w:t>
            </w:r>
            <w:r>
              <w:rPr>
                <w:rFonts w:ascii="Times New Roman" w:hAnsi="Times New Roman"/>
                <w:sz w:val="16"/>
                <w:szCs w:val="16"/>
              </w:rPr>
              <w:t>0</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532.89</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27</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Ayipe</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Koboko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33.33</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73</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3.25</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2.49</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0.44</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73.97</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0.27</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1134.34</w:t>
            </w:r>
          </w:p>
        </w:tc>
      </w:tr>
      <w:tr>
        <w:trPr/>
        <w:tc>
          <w:tcPr>
            <w:tcW w:w="35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28</w:t>
            </w:r>
          </w:p>
        </w:tc>
        <w:tc>
          <w:tcPr>
            <w:tcW w:w="954"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Diima</w:t>
            </w:r>
          </w:p>
        </w:tc>
        <w:tc>
          <w:tcPr>
            <w:tcW w:w="996"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Kiryandongo</w:t>
            </w:r>
          </w:p>
        </w:tc>
        <w:tc>
          <w:tcPr>
            <w:tcW w:w="627"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68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3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778"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102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9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NA</w:t>
            </w:r>
          </w:p>
        </w:tc>
        <w:tc>
          <w:tcPr>
            <w:tcW w:w="941" w:type="dxa"/>
            <w:gridSpan w:val="2"/>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40.48</w:t>
            </w:r>
          </w:p>
        </w:tc>
        <w:tc>
          <w:tcPr>
            <w:tcW w:w="641" w:type="dxa"/>
            <w:tcBorders>
              <w:start w:val="single" w:sz="4" w:space="0" w:color="000000"/>
            </w:tcBorders>
          </w:tcPr>
          <w:p>
            <w:pPr>
              <w:pStyle w:val="TableContents"/>
              <w:rPr>
                <w:rFonts w:ascii="Times New Roman" w:hAnsi="Times New Roman"/>
                <w:sz w:val="16"/>
                <w:szCs w:val="16"/>
              </w:rPr>
            </w:pPr>
            <w:r>
              <w:rPr>
                <w:rFonts w:ascii="Times New Roman" w:hAnsi="Times New Roman"/>
                <w:sz w:val="16"/>
                <w:szCs w:val="16"/>
              </w:rPr>
              <w:t>50</w:t>
            </w:r>
          </w:p>
        </w:tc>
        <w:tc>
          <w:tcPr>
            <w:tcW w:w="669"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5.14</w:t>
            </w:r>
          </w:p>
        </w:tc>
        <w:tc>
          <w:tcPr>
            <w:tcW w:w="627"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3.72</w:t>
            </w:r>
          </w:p>
        </w:tc>
        <w:tc>
          <w:tcPr>
            <w:tcW w:w="72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0.43</w:t>
            </w:r>
          </w:p>
        </w:tc>
        <w:tc>
          <w:tcPr>
            <w:tcW w:w="9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86.</w:t>
            </w:r>
            <w:r>
              <w:rPr>
                <w:rFonts w:ascii="Times New Roman" w:hAnsi="Times New Roman"/>
                <w:sz w:val="16"/>
                <w:szCs w:val="16"/>
              </w:rPr>
              <w:t>00</w:t>
            </w:r>
          </w:p>
        </w:tc>
        <w:tc>
          <w:tcPr>
            <w:tcW w:w="804"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0.83</w:t>
            </w:r>
          </w:p>
        </w:tc>
        <w:tc>
          <w:tcPr>
            <w:tcW w:w="1035"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0.16</w:t>
            </w:r>
          </w:p>
        </w:tc>
        <w:tc>
          <w:tcPr>
            <w:tcW w:w="800" w:type="dxa"/>
            <w:tcBorders/>
            <w:tcMar>
              <w:top w:w="0" w:type="dxa"/>
              <w:start w:w="0" w:type="dxa"/>
              <w:bottom w:w="0" w:type="dxa"/>
              <w:end w:w="0" w:type="dxa"/>
            </w:tcMar>
          </w:tcPr>
          <w:p>
            <w:pPr>
              <w:pStyle w:val="TableContents"/>
              <w:rPr>
                <w:rFonts w:ascii="Times New Roman" w:hAnsi="Times New Roman"/>
                <w:sz w:val="16"/>
                <w:szCs w:val="16"/>
              </w:rPr>
            </w:pPr>
            <w:r>
              <w:rPr>
                <w:rFonts w:ascii="Times New Roman" w:hAnsi="Times New Roman"/>
                <w:sz w:val="16"/>
                <w:szCs w:val="16"/>
              </w:rPr>
              <w:t>701.19</w:t>
            </w:r>
          </w:p>
        </w:tc>
      </w:tr>
      <w:tr>
        <w:trPr>
          <w:trHeight w:val="244" w:hRule="atLeast"/>
        </w:trPr>
        <w:tc>
          <w:tcPr>
            <w:tcW w:w="354"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29</w:t>
            </w:r>
          </w:p>
        </w:tc>
        <w:tc>
          <w:tcPr>
            <w:tcW w:w="954" w:type="dxa"/>
            <w:gridSpan w:val="2"/>
            <w:tcBorders>
              <w:bottom w:val="single" w:sz="4" w:space="0" w:color="000000"/>
            </w:tcBorders>
          </w:tcPr>
          <w:p>
            <w:pPr>
              <w:pStyle w:val="TableContents"/>
              <w:ind w:end="-132"/>
              <w:rPr>
                <w:rFonts w:ascii="Times New Roman" w:hAnsi="Times New Roman"/>
                <w:sz w:val="16"/>
                <w:szCs w:val="16"/>
              </w:rPr>
            </w:pPr>
            <w:r>
              <w:rPr>
                <w:rFonts w:ascii="Times New Roman" w:hAnsi="Times New Roman"/>
                <w:sz w:val="16"/>
                <w:szCs w:val="16"/>
              </w:rPr>
              <w:t>Bikurungu</w:t>
            </w:r>
          </w:p>
        </w:tc>
        <w:tc>
          <w:tcPr>
            <w:tcW w:w="996" w:type="dxa"/>
            <w:gridSpan w:val="2"/>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Rukungiri</w:t>
            </w:r>
          </w:p>
        </w:tc>
        <w:tc>
          <w:tcPr>
            <w:tcW w:w="627" w:type="dxa"/>
            <w:gridSpan w:val="2"/>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93</w:t>
            </w:r>
          </w:p>
        </w:tc>
        <w:tc>
          <w:tcPr>
            <w:tcW w:w="600"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2.02</w:t>
            </w:r>
          </w:p>
        </w:tc>
        <w:tc>
          <w:tcPr>
            <w:tcW w:w="669"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1.57</w:t>
            </w:r>
          </w:p>
        </w:tc>
        <w:tc>
          <w:tcPr>
            <w:tcW w:w="680"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0.52</w:t>
            </w:r>
          </w:p>
        </w:tc>
        <w:tc>
          <w:tcPr>
            <w:tcW w:w="930"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48.39</w:t>
            </w:r>
          </w:p>
        </w:tc>
        <w:tc>
          <w:tcPr>
            <w:tcW w:w="778"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0.84</w:t>
            </w:r>
          </w:p>
        </w:tc>
        <w:tc>
          <w:tcPr>
            <w:tcW w:w="1020"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1.57</w:t>
            </w:r>
          </w:p>
        </w:tc>
        <w:tc>
          <w:tcPr>
            <w:tcW w:w="997"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941" w:type="dxa"/>
            <w:gridSpan w:val="2"/>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641" w:type="dxa"/>
            <w:tcBorders>
              <w:start w:val="single" w:sz="4" w:space="0" w:color="000000"/>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669"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627"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724"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900"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804"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1035"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c>
          <w:tcPr>
            <w:tcW w:w="800" w:type="dxa"/>
            <w:tcBorders>
              <w:bottom w:val="single" w:sz="4" w:space="0" w:color="000000"/>
            </w:tcBorders>
          </w:tcPr>
          <w:p>
            <w:pPr>
              <w:pStyle w:val="TableContents"/>
              <w:rPr>
                <w:rFonts w:ascii="Times New Roman" w:hAnsi="Times New Roman"/>
                <w:sz w:val="16"/>
                <w:szCs w:val="16"/>
              </w:rPr>
            </w:pPr>
            <w:r>
              <w:rPr>
                <w:rFonts w:ascii="Times New Roman" w:hAnsi="Times New Roman"/>
                <w:sz w:val="16"/>
                <w:szCs w:val="16"/>
              </w:rPr>
              <w:t>NA</w:t>
            </w:r>
          </w:p>
        </w:tc>
      </w:tr>
    </w:tbl>
    <w:p>
      <w:pPr>
        <w:sectPr>
          <w:footerReference w:type="even" r:id="rId3"/>
          <w:footerReference w:type="default" r:id="rId4"/>
          <w:footerReference w:type="first" r:id="rId5"/>
          <w:type w:val="nextPage"/>
          <w:pgSz w:orient="landscape" w:w="16838" w:h="11906"/>
          <w:pgMar w:left="1134" w:right="1134" w:gutter="0" w:header="0" w:top="1134" w:footer="1134" w:bottom="1693"/>
          <w:pgNumType w:start="1" w:fmt="decimal"/>
          <w:formProt w:val="false"/>
          <w:textDirection w:val="lrTb"/>
          <w:docGrid w:type="default" w:linePitch="600" w:charSpace="32768"/>
        </w:sectPr>
      </w:pPr>
    </w:p>
    <w:p>
      <w:pPr>
        <w:pStyle w:val="BodyText"/>
        <w:jc w:val="both"/>
        <w:rPr/>
      </w:pPr>
      <w:r>
        <w:rPr>
          <w:rStyle w:val="Hyperlink"/>
          <w:rFonts w:ascii="Times New Roman" w:hAnsi="Times New Roman"/>
          <w:b/>
          <w:bCs/>
          <w:color w:val="000000"/>
          <w:u w:val="none"/>
        </w:rPr>
        <w:t>Supplementary Table S2: Comparison of Cross-Validated Prediction Performance Across 3 months, 6 months, and 12 months Incidence Outcome Metrics</w:t>
      </w:r>
    </w:p>
    <w:p>
      <w:pPr>
        <w:pStyle w:val="BodyText"/>
        <w:jc w:val="both"/>
        <w:rPr>
          <w:rFonts w:ascii="Times New Roman" w:hAnsi="Times New Roman"/>
        </w:rPr>
      </w:pPr>
      <w:r>
        <w:rPr>
          <w:rFonts w:cs="Times New Roman" w:ascii="Times New Roman" w:hAnsi="Times New Roman"/>
          <w:b/>
          <w:bCs/>
        </w:rPr>
        <w:t>Table S2:</w:t>
      </w:r>
      <w:r>
        <w:rPr>
          <w:rFonts w:cs="Times New Roman" w:ascii="Times New Roman" w:hAnsi="Times New Roman"/>
          <w:i/>
        </w:rPr>
        <w:t xml:space="preserve"> </w:t>
      </w:r>
      <w:r>
        <w:rPr>
          <w:rFonts w:cs="Times New Roman" w:ascii="Times New Roman" w:hAnsi="Times New Roman"/>
        </w:rPr>
        <w:t>Predictive performance of cross-validated regression models for estimating malaria incidence across 3-, 6-, and 12-month windows prior to sample collection using parasite genetic metrics. RMSE = root mean squared error; MAE = mean absolute error. Models were selected using repeated nested grouped cross-validation (10 repetitions, 5 outer folds).</w:t>
      </w:r>
    </w:p>
    <w:p>
      <w:pPr>
        <w:pStyle w:val="Normal"/>
        <w:rPr>
          <w:rFonts w:ascii="Times New Roman" w:hAnsi="Times New Roman" w:cs="Times New Roman"/>
        </w:rPr>
      </w:pPr>
      <w:r>
        <w:rPr>
          <w:rFonts w:cs="Times New Roman" w:ascii="Times New Roman" w:hAnsi="Times New Roman"/>
        </w:rPr>
      </w:r>
    </w:p>
    <w:tbl>
      <w:tblPr>
        <w:tblW w:w="9477"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841"/>
        <w:gridCol w:w="1170"/>
        <w:gridCol w:w="1174"/>
        <w:gridCol w:w="1377"/>
        <w:gridCol w:w="3915"/>
      </w:tblGrid>
      <w:tr>
        <w:trPr/>
        <w:tc>
          <w:tcPr>
            <w:tcW w:w="1841" w:type="dxa"/>
            <w:tcBorders/>
            <w:shd w:color="auto" w:fill="D9D9D9" w:themeFill="background2" w:themeFillShade="d9" w:val="clear"/>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 xml:space="preserve">Outcome </w:t>
            </w:r>
          </w:p>
        </w:tc>
        <w:tc>
          <w:tcPr>
            <w:tcW w:w="1170" w:type="dxa"/>
            <w:tcBorders/>
            <w:shd w:color="auto" w:fill="D9D9D9" w:themeFill="background2" w:themeFillShade="d9" w:val="clear"/>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RMSE (mean)</w:t>
            </w:r>
          </w:p>
        </w:tc>
        <w:tc>
          <w:tcPr>
            <w:tcW w:w="1174" w:type="dxa"/>
            <w:tcBorders/>
            <w:shd w:color="auto" w:fill="D9D9D9" w:themeFill="background2" w:themeFillShade="d9" w:val="clear"/>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MAE (mean)</w:t>
            </w:r>
          </w:p>
        </w:tc>
        <w:tc>
          <w:tcPr>
            <w:tcW w:w="1377" w:type="dxa"/>
            <w:tcBorders/>
            <w:shd w:color="auto" w:fill="D9D9D9" w:themeFill="background2" w:themeFillShade="d9" w:val="clear"/>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Correlation (mean)</w:t>
            </w:r>
          </w:p>
        </w:tc>
        <w:tc>
          <w:tcPr>
            <w:tcW w:w="3915" w:type="dxa"/>
            <w:tcBorders/>
            <w:shd w:color="auto" w:fill="D9D9D9" w:themeFill="background2" w:themeFillShade="d9" w:val="clear"/>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Top Predictors Selected</w:t>
            </w:r>
          </w:p>
        </w:tc>
      </w:tr>
      <w:tr>
        <w:trPr/>
        <w:tc>
          <w:tcPr>
            <w:tcW w:w="1841"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3-month incidence</w:t>
            </w:r>
          </w:p>
        </w:tc>
        <w:tc>
          <w:tcPr>
            <w:tcW w:w="1170"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0.0799</w:t>
            </w:r>
          </w:p>
        </w:tc>
        <w:tc>
          <w:tcPr>
            <w:tcW w:w="1174"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0.0571</w:t>
            </w:r>
          </w:p>
        </w:tc>
        <w:tc>
          <w:tcPr>
            <w:tcW w:w="1377"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0.2413</w:t>
            </w:r>
          </w:p>
        </w:tc>
        <w:tc>
          <w:tcPr>
            <w:tcW w:w="3915" w:type="dxa"/>
            <w:tcBorders/>
            <w:vAlign w:val="center"/>
          </w:tcPr>
          <w:p>
            <w:pPr>
              <w:pStyle w:val="Normal"/>
              <w:rPr>
                <w:rFonts w:ascii="Times New Roman" w:hAnsi="Times New Roman" w:cs="Times New Roman"/>
              </w:rPr>
            </w:pPr>
            <w:r>
              <w:rPr>
                <w:rFonts w:eastAsia="MS Mincho" w:cs="Times New Roman" w:ascii="Times New Roman" w:hAnsi="Times New Roman"/>
                <w:kern w:val="0"/>
                <w:lang w:eastAsia="en-US" w:bidi="ar-SA"/>
              </w:rPr>
              <w:t xml:space="preserve">Percent polyclonal + </w:t>
            </w:r>
            <w:r>
              <w:rPr>
                <w:rFonts w:eastAsia="MS Mincho" w:cs="Times New Roman" w:ascii="Times New Roman" w:hAnsi="Times New Roman"/>
                <w:lang w:eastAsia="en-US" w:bidi="ar-SA"/>
              </w:rPr>
              <w:t>Percentage of h</w:t>
            </w:r>
            <w:r>
              <w:rPr>
                <w:rFonts w:ascii="Times New Roman" w:hAnsi="Times New Roman"/>
              </w:rPr>
              <w:t>ighly related pairs (r&gt;0.125)</w:t>
            </w:r>
            <w:r>
              <w:rPr>
                <w:rFonts w:eastAsia="MS Mincho" w:cs="Times New Roman" w:ascii="Times New Roman" w:hAnsi="Times New Roman"/>
                <w:lang w:eastAsia="en-US" w:bidi="ar-SA"/>
              </w:rPr>
              <w:t xml:space="preserve"> </w:t>
            </w:r>
            <w:r>
              <w:rPr>
                <w:rFonts w:eastAsia="MS Mincho" w:cs="Times New Roman" w:ascii="Times New Roman" w:hAnsi="Times New Roman"/>
                <w:kern w:val="0"/>
                <w:lang w:eastAsia="en-US" w:bidi="ar-SA"/>
              </w:rPr>
              <w:t>+ WHR</w:t>
            </w:r>
          </w:p>
          <w:p>
            <w:pPr>
              <w:pStyle w:val="Normal"/>
              <w:rPr>
                <w:rFonts w:ascii="Times New Roman" w:hAnsi="Times New Roman" w:eastAsia="MS Mincho" w:cs="Times New Roman"/>
                <w:lang w:eastAsia="en-US" w:bidi="ar-SA"/>
              </w:rPr>
            </w:pPr>
            <w:r>
              <w:rPr>
                <w:rFonts w:eastAsia="MS Mincho" w:cs="Times New Roman" w:ascii="Times New Roman" w:hAnsi="Times New Roman"/>
                <w:lang w:eastAsia="en-US" w:bidi="ar-SA"/>
              </w:rPr>
            </w:r>
          </w:p>
        </w:tc>
      </w:tr>
      <w:tr>
        <w:trPr/>
        <w:tc>
          <w:tcPr>
            <w:tcW w:w="1841"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6-month incidence</w:t>
            </w:r>
          </w:p>
        </w:tc>
        <w:tc>
          <w:tcPr>
            <w:tcW w:w="1170"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0.1368</w:t>
            </w:r>
          </w:p>
        </w:tc>
        <w:tc>
          <w:tcPr>
            <w:tcW w:w="1174"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0.1016</w:t>
            </w:r>
          </w:p>
        </w:tc>
        <w:tc>
          <w:tcPr>
            <w:tcW w:w="1377"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0.2412</w:t>
            </w:r>
          </w:p>
        </w:tc>
        <w:tc>
          <w:tcPr>
            <w:tcW w:w="3915" w:type="dxa"/>
            <w:tcBorders/>
            <w:vAlign w:val="center"/>
          </w:tcPr>
          <w:p>
            <w:pPr>
              <w:pStyle w:val="Normal"/>
              <w:rPr>
                <w:rFonts w:ascii="Times New Roman" w:hAnsi="Times New Roman" w:cs="Times New Roman"/>
              </w:rPr>
            </w:pPr>
            <w:r>
              <w:rPr>
                <w:rFonts w:eastAsia="MS Mincho" w:cs="Times New Roman" w:ascii="Times New Roman" w:hAnsi="Times New Roman"/>
                <w:lang w:eastAsia="en-US" w:bidi="ar-SA"/>
              </w:rPr>
              <w:t>Percent polyclonal + Percentage of h</w:t>
            </w:r>
            <w:r>
              <w:rPr>
                <w:rFonts w:ascii="Times New Roman" w:hAnsi="Times New Roman"/>
              </w:rPr>
              <w:t>ighly related pairs (r&gt;0.125)</w:t>
            </w:r>
            <w:r>
              <w:rPr>
                <w:rFonts w:eastAsia="MS Mincho" w:cs="Times New Roman" w:ascii="Times New Roman" w:hAnsi="Times New Roman"/>
                <w:lang w:eastAsia="en-US" w:bidi="ar-SA"/>
              </w:rPr>
              <w:t xml:space="preserve"> + WHR</w:t>
            </w:r>
          </w:p>
          <w:p>
            <w:pPr>
              <w:pStyle w:val="Normal"/>
              <w:rPr>
                <w:rFonts w:ascii="Times New Roman" w:hAnsi="Times New Roman" w:eastAsia="MS Mincho" w:cs="Times New Roman"/>
                <w:lang w:eastAsia="en-US" w:bidi="ar-SA"/>
              </w:rPr>
            </w:pPr>
            <w:r>
              <w:rPr>
                <w:rFonts w:eastAsia="MS Mincho" w:cs="Times New Roman" w:ascii="Times New Roman" w:hAnsi="Times New Roman"/>
                <w:lang w:eastAsia="en-US" w:bidi="ar-SA"/>
              </w:rPr>
            </w:r>
          </w:p>
        </w:tc>
      </w:tr>
      <w:tr>
        <w:trPr/>
        <w:tc>
          <w:tcPr>
            <w:tcW w:w="1841"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12-month incidence</w:t>
            </w:r>
          </w:p>
        </w:tc>
        <w:tc>
          <w:tcPr>
            <w:tcW w:w="1170"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0.2850</w:t>
            </w:r>
          </w:p>
        </w:tc>
        <w:tc>
          <w:tcPr>
            <w:tcW w:w="1174"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0.2163</w:t>
            </w:r>
          </w:p>
        </w:tc>
        <w:tc>
          <w:tcPr>
            <w:tcW w:w="1377" w:type="dxa"/>
            <w:tcBorders/>
            <w:vAlign w:val="center"/>
          </w:tcPr>
          <w:p>
            <w:pPr>
              <w:pStyle w:val="Normal"/>
              <w:jc w:val="center"/>
              <w:rPr>
                <w:rFonts w:ascii="Times New Roman" w:hAnsi="Times New Roman" w:cs="Times New Roman"/>
              </w:rPr>
            </w:pPr>
            <w:r>
              <w:rPr>
                <w:rFonts w:eastAsia="MS Mincho" w:cs="Times New Roman" w:ascii="Times New Roman" w:hAnsi="Times New Roman"/>
                <w:kern w:val="0"/>
                <w:lang w:eastAsia="en-US" w:bidi="ar-SA"/>
              </w:rPr>
              <w:t>0.2717</w:t>
            </w:r>
          </w:p>
        </w:tc>
        <w:tc>
          <w:tcPr>
            <w:tcW w:w="3915" w:type="dxa"/>
            <w:tcBorders/>
            <w:vAlign w:val="center"/>
          </w:tcPr>
          <w:p>
            <w:pPr>
              <w:pStyle w:val="Normal"/>
              <w:rPr>
                <w:rFonts w:ascii="Times New Roman" w:hAnsi="Times New Roman" w:cs="Times New Roman"/>
                <w:lang w:eastAsia="en-US" w:bidi="ar-SA"/>
              </w:rPr>
            </w:pPr>
            <w:r>
              <w:rPr>
                <w:rFonts w:eastAsia="MS Mincho" w:cs="Times New Roman" w:ascii="Times New Roman" w:hAnsi="Times New Roman"/>
                <w:lang w:eastAsia="en-US" w:bidi="ar-SA"/>
              </w:rPr>
              <w:t>Percent polyclonal + Percentage of h</w:t>
            </w:r>
            <w:r>
              <w:rPr>
                <w:rFonts w:ascii="Times New Roman" w:hAnsi="Times New Roman"/>
              </w:rPr>
              <w:t>ighly related pairs (r&gt;0.125)</w:t>
            </w:r>
            <w:r>
              <w:rPr>
                <w:rFonts w:eastAsia="MS Mincho" w:cs="Times New Roman" w:ascii="Times New Roman" w:hAnsi="Times New Roman"/>
                <w:lang w:eastAsia="en-US" w:bidi="ar-SA"/>
              </w:rPr>
              <w:t xml:space="preserve"> + WHR</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Style w:val="Strong"/>
          <w:rFonts w:cs="Times New Roman" w:ascii="Times New Roman" w:hAnsi="Times New Roman"/>
        </w:rPr>
        <w:t xml:space="preserve">Notes: </w:t>
      </w:r>
      <w:r>
        <w:rPr>
          <w:rStyle w:val="Strong"/>
          <w:rFonts w:cs="Times New Roman" w:ascii="Times New Roman" w:hAnsi="Times New Roman"/>
          <w:b w:val="false"/>
          <w:bCs w:val="false"/>
        </w:rPr>
        <w:t>Top predictors selected reflects the combination of parasite genetic metrics most frequently chosen across repetitions.</w:t>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drawing>
          <wp:anchor behindDoc="0" distT="0" distB="0" distL="0" distR="0" simplePos="0" locked="0" layoutInCell="0" allowOverlap="1" relativeHeight="8">
            <wp:simplePos x="0" y="0"/>
            <wp:positionH relativeFrom="column">
              <wp:posOffset>260350</wp:posOffset>
            </wp:positionH>
            <wp:positionV relativeFrom="paragraph">
              <wp:posOffset>-1397635</wp:posOffset>
            </wp:positionV>
            <wp:extent cx="4714240" cy="8994775"/>
            <wp:effectExtent l="0" t="0" r="0" b="0"/>
            <wp:wrapSquare wrapText="largest"/>
            <wp:docPr id="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title=""/>
                    <pic:cNvPicPr>
                      <a:picLocks noChangeAspect="1" noChangeArrowheads="1"/>
                    </pic:cNvPicPr>
                  </pic:nvPicPr>
                  <pic:blipFill>
                    <a:blip r:embed="rId6"/>
                    <a:stretch>
                      <a:fillRect/>
                    </a:stretch>
                  </pic:blipFill>
                  <pic:spPr bwMode="auto">
                    <a:xfrm>
                      <a:off x="0" y="0"/>
                      <a:ext cx="4714240" cy="8994775"/>
                    </a:xfrm>
                    <a:prstGeom prst="rect">
                      <a:avLst/>
                    </a:prstGeom>
                    <a:noFill/>
                  </pic:spPr>
                </pic:pic>
              </a:graphicData>
            </a:graphic>
          </wp:anchor>
        </w:drawing>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pPr>
      <w:r>
        <w:rPr>
          <w:rStyle w:val="Strong"/>
          <w:rFonts w:ascii="Times New Roman" w:hAnsi="Times New Roman"/>
          <w:sz w:val="22"/>
          <w:szCs w:val="22"/>
        </w:rPr>
        <w:t xml:space="preserve">Supplementary Figure S1. </w:t>
      </w:r>
      <w:r>
        <w:rPr>
          <w:rFonts w:ascii="Times New Roman" w:hAnsi="Times New Roman"/>
          <w:b/>
          <w:bCs/>
          <w:sz w:val="22"/>
          <w:szCs w:val="22"/>
        </w:rPr>
        <w:t xml:space="preserve">Distribution of infection and parasitemia measures across age categories. </w:t>
      </w:r>
      <w:r>
        <w:rPr>
          <w:rFonts w:ascii="Times New Roman" w:hAnsi="Times New Roman"/>
          <w:sz w:val="22"/>
          <w:szCs w:val="22"/>
        </w:rPr>
        <w:t xml:space="preserve">(A) Log-transformed average parasitemia by age group. (B) Complexity of infection (COI) by age group. (C) Effective complexity of infection (eCOI) by age group. Age categories were defined as: children &lt;5 years, children 5–15 years, and individuals &gt;15 years. Boxplots display the median (horizontal line), </w:t>
      </w:r>
      <w:r>
        <w:rPr>
          <w:rFonts w:ascii="Times New Roman" w:hAnsi="Times New Roman"/>
          <w:sz w:val="22"/>
          <w:szCs w:val="22"/>
        </w:rPr>
        <w:t>Q1 - Q3</w:t>
      </w:r>
      <w:r>
        <w:rPr>
          <w:rFonts w:ascii="Times New Roman" w:hAnsi="Times New Roman"/>
          <w:sz w:val="22"/>
          <w:szCs w:val="22"/>
        </w:rPr>
        <w:t xml:space="preserve"> (box), and outliers (points). Pairwise group comparisons were performed using the Mann–Whitney U test, and adjusted </w:t>
      </w:r>
      <w:r>
        <w:rPr>
          <w:rStyle w:val="Emphasis"/>
          <w:rFonts w:ascii="Times New Roman" w:hAnsi="Times New Roman"/>
          <w:sz w:val="22"/>
          <w:szCs w:val="22"/>
        </w:rPr>
        <w:t>p</w:t>
      </w:r>
      <w:r>
        <w:rPr>
          <w:rFonts w:ascii="Times New Roman" w:hAnsi="Times New Roman"/>
          <w:sz w:val="22"/>
          <w:szCs w:val="22"/>
        </w:rPr>
        <w:t>-values are shown above the comparisons.</w:t>
      </w:r>
    </w:p>
    <w:p>
      <w:pPr>
        <w:pStyle w:val="Normal"/>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mc:AlternateContent>
          <mc:Choice Requires="wps">
            <w:drawing>
              <wp:anchor behindDoc="0" distT="0" distB="0" distL="0" distR="0" simplePos="0" locked="0" layoutInCell="1" allowOverlap="1" relativeHeight="2" wp14:anchorId="5ADE6C77">
                <wp:simplePos x="0" y="0"/>
                <wp:positionH relativeFrom="column">
                  <wp:posOffset>-128905</wp:posOffset>
                </wp:positionH>
                <wp:positionV relativeFrom="paragraph">
                  <wp:posOffset>22639020</wp:posOffset>
                </wp:positionV>
                <wp:extent cx="387985" cy="339725"/>
                <wp:effectExtent l="0" t="0" r="0" b="0"/>
                <wp:wrapNone/>
                <wp:docPr id="2" name="Text Frame 5"/>
                <a:graphic xmlns:a="http://schemas.openxmlformats.org/drawingml/2006/main">
                  <a:graphicData uri="http://schemas.microsoft.com/office/word/2010/wordprocessingShape">
                    <wps:wsp>
                      <wps:cNvSpPr/>
                      <wps:spPr>
                        <a:xfrm>
                          <a:off x="0" y="0"/>
                          <a:ext cx="388080" cy="339840"/>
                        </a:xfrm>
                        <a:prstGeom prst="rect">
                          <a:avLst/>
                        </a:prstGeom>
                        <a:noFill/>
                        <a:ln w="0">
                          <a:noFill/>
                        </a:ln>
                      </wps:spPr>
                      <wps:style>
                        <a:lnRef idx="0"/>
                        <a:fillRef idx="0"/>
                        <a:effectRef idx="0"/>
                        <a:fontRef idx="minor"/>
                      </wps:style>
                      <wps:txbx>
                        <w:txbxContent>
                          <w:p>
                            <w:pPr>
                              <w:pStyle w:val="FrameContents"/>
                              <w:overflowPunct w:val="true"/>
                              <w:rPr>
                                <w:color w:val="000000"/>
                              </w:rPr>
                            </w:pPr>
                            <w:r>
                              <w:rPr>
                                <w:b/>
                                <w:bCs/>
                                <w:color w:val="000000"/>
                              </w:rPr>
                              <w:t>4B</w:t>
                            </w:r>
                          </w:p>
                        </w:txbxContent>
                      </wps:txbx>
                      <wps:bodyPr lIns="0" rIns="0" tIns="0" bIns="0" anchor="t">
                        <a:noAutofit/>
                      </wps:bodyPr>
                    </wps:wsp>
                  </a:graphicData>
                </a:graphic>
              </wp:anchor>
            </w:drawing>
          </mc:Choice>
          <mc:Fallback>
            <w:pict>
              <v:rect id="shape_0" ID="Text Frame 5" path="m0,0l-2147483645,0l-2147483645,-2147483646l0,-2147483646xe" stroked="f" o:allowincell="f" style="position:absolute;margin-left:-10.15pt;margin-top:1782.6pt;width:30.5pt;height:26.7pt;mso-wrap-style:square;v-text-anchor:top" wp14:anchorId="5ADE6C77">
                <v:fill o:detectmouseclick="t" on="false"/>
                <v:stroke color="#3465a4" joinstyle="round" endcap="flat"/>
                <v:textbox>
                  <w:txbxContent>
                    <w:p>
                      <w:pPr>
                        <w:pStyle w:val="FrameContents"/>
                        <w:overflowPunct w:val="true"/>
                        <w:rPr>
                          <w:color w:val="000000"/>
                        </w:rPr>
                      </w:pPr>
                      <w:r>
                        <w:rPr>
                          <w:b/>
                          <w:bCs/>
                          <w:color w:val="000000"/>
                        </w:rPr>
                        <w:t>4B</w:t>
                      </w:r>
                    </w:p>
                  </w:txbxContent>
                </v:textbox>
                <w10:wrap type="none"/>
              </v:rect>
            </w:pict>
          </mc:Fallback>
        </mc:AlternateContent>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jc w:val="both"/>
        <w:rPr>
          <w:rStyle w:val="Strong"/>
          <w:rFonts w:ascii="Times New Roman" w:hAnsi="Times New Roman"/>
          <w:sz w:val="22"/>
          <w:szCs w:val="22"/>
        </w:rPr>
      </w:pPr>
      <w:r>
        <w:rPr>
          <w:rFonts w:ascii="Times New Roman" w:hAnsi="Times New Roman"/>
          <w:sz w:val="22"/>
          <w:szCs w:val="22"/>
        </w:rPr>
        <w:drawing>
          <wp:anchor behindDoc="0" distT="0" distB="0" distL="0" distR="0" simplePos="0" locked="0" layoutInCell="0" allowOverlap="1" relativeHeight="9">
            <wp:simplePos x="0" y="0"/>
            <wp:positionH relativeFrom="column">
              <wp:posOffset>170180</wp:posOffset>
            </wp:positionH>
            <wp:positionV relativeFrom="paragraph">
              <wp:posOffset>-66040</wp:posOffset>
            </wp:positionV>
            <wp:extent cx="4697095" cy="8963025"/>
            <wp:effectExtent l="0" t="0" r="0" b="0"/>
            <wp:wrapSquare wrapText="largest"/>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7"/>
                    <a:stretch>
                      <a:fillRect/>
                    </a:stretch>
                  </pic:blipFill>
                  <pic:spPr bwMode="auto">
                    <a:xfrm>
                      <a:off x="0" y="0"/>
                      <a:ext cx="4697095" cy="8963025"/>
                    </a:xfrm>
                    <a:prstGeom prst="rect">
                      <a:avLst/>
                    </a:prstGeom>
                    <a:noFill/>
                  </pic:spPr>
                </pic:pic>
              </a:graphicData>
            </a:graphic>
          </wp:anchor>
        </w:drawing>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Style w:val="Strong"/>
          <w:rFonts w:ascii="Times New Roman" w:hAnsi="Times New Roman"/>
          <w:sz w:val="22"/>
          <w:szCs w:val="22"/>
        </w:rPr>
      </w:pPr>
      <w:r>
        <w:rPr>
          <w:rFonts w:ascii="Times New Roman" w:hAnsi="Times New Roman"/>
          <w:sz w:val="22"/>
          <w:szCs w:val="22"/>
        </w:rPr>
      </w:r>
    </w:p>
    <w:p>
      <w:pPr>
        <w:pStyle w:val="BodyText"/>
        <w:jc w:val="both"/>
        <w:rPr>
          <w:rFonts w:ascii="Times New Roman" w:hAnsi="Times New Roman"/>
          <w:sz w:val="22"/>
          <w:szCs w:val="22"/>
        </w:rPr>
      </w:pPr>
      <w:r>
        <w:rPr>
          <w:rStyle w:val="Strong"/>
          <w:rFonts w:ascii="Times New Roman" w:hAnsi="Times New Roman"/>
          <w:sz w:val="22"/>
          <w:szCs w:val="22"/>
        </w:rPr>
        <w:t xml:space="preserve">Supplementary Figure S2. Seasonal variation in parasitemia and infection complexity across collection rounds. </w:t>
      </w:r>
      <w:r>
        <w:rPr>
          <w:rFonts w:ascii="Times New Roman" w:hAnsi="Times New Roman"/>
          <w:sz w:val="22"/>
          <w:szCs w:val="22"/>
        </w:rPr>
        <w:t>(a) Boxplot of log-transformed parasitemia by sampling period (January–March vs June–September). (b) Boxplot of COI by sampling period, showing higher multiplicity of infection in June–September. (c) Boxplot of eCOI by sampling period, with higher values observed in June–September. The blue figures in the box plots are means. Parasitemia was significantly higher during June–September. Together, these results indicate seasonal intensification of transmission reflected in both parasite density and infection complexity.</w:t>
      </w:r>
    </w:p>
    <w:p>
      <w:pPr>
        <w:pStyle w:val="BodyText"/>
        <w:jc w:val="both"/>
        <w:rPr/>
      </w:pPr>
      <w:r>
        <w:rPr/>
      </w:r>
    </w:p>
    <w:p>
      <w:pPr>
        <w:pStyle w:val="BodyText"/>
        <w:rPr>
          <w:rStyle w:val="Strong"/>
        </w:rPr>
      </w:pPr>
      <w:r>
        <w:rPr/>
        <w:drawing>
          <wp:anchor behindDoc="0" distT="0" distB="0" distL="0" distR="0" simplePos="0" locked="0" layoutInCell="0" allowOverlap="1" relativeHeight="4">
            <wp:simplePos x="0" y="0"/>
            <wp:positionH relativeFrom="column">
              <wp:posOffset>0</wp:posOffset>
            </wp:positionH>
            <wp:positionV relativeFrom="paragraph">
              <wp:posOffset>20320</wp:posOffset>
            </wp:positionV>
            <wp:extent cx="6120130" cy="3916045"/>
            <wp:effectExtent l="0" t="0" r="0" b="0"/>
            <wp:wrapSquare wrapText="largest"/>
            <wp:docPr id="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 descr="" title=""/>
                    <pic:cNvPicPr>
                      <a:picLocks noChangeAspect="1" noChangeArrowheads="1"/>
                    </pic:cNvPicPr>
                  </pic:nvPicPr>
                  <pic:blipFill>
                    <a:blip r:embed="rId8"/>
                    <a:stretch>
                      <a:fillRect/>
                    </a:stretch>
                  </pic:blipFill>
                  <pic:spPr bwMode="auto">
                    <a:xfrm>
                      <a:off x="0" y="0"/>
                      <a:ext cx="6120130" cy="3916045"/>
                    </a:xfrm>
                    <a:prstGeom prst="rect">
                      <a:avLst/>
                    </a:prstGeom>
                    <a:noFill/>
                  </pic:spPr>
                </pic:pic>
              </a:graphicData>
            </a:graphic>
          </wp:anchor>
        </w:drawing>
      </w:r>
    </w:p>
    <w:p>
      <w:pPr>
        <w:pStyle w:val="BodyText"/>
        <w:jc w:val="both"/>
        <w:rPr>
          <w:rFonts w:ascii="Times New Roman" w:hAnsi="Times New Roman"/>
        </w:rPr>
      </w:pPr>
      <w:r>
        <w:rPr>
          <w:rStyle w:val="Strong"/>
          <w:rFonts w:ascii="Times New Roman" w:hAnsi="Times New Roman"/>
        </w:rPr>
        <w:t xml:space="preserve">Supplementary Figure S3. </w:t>
      </w:r>
      <w:r>
        <w:rPr>
          <w:rFonts w:ascii="Times New Roman" w:hAnsi="Times New Roman"/>
          <w:b/>
          <w:bCs/>
        </w:rPr>
        <w:t>Average complexity of infection (COI) by site and season. Bars show the mean COI for Round 1 (January–March 2023, blue) and Round 2 (July–September 2023, orange)</w:t>
      </w:r>
      <w:r>
        <w:rPr>
          <w:rFonts w:ascii="Times New Roman" w:hAnsi="Times New Roman"/>
        </w:rPr>
        <w:t>. Sites are arranged in descending order of Round 1 mean COI. Overall seasonal differences were assessed using a mixed-effects model adjusting for repeated sampling within sites. A modest but statistically significant reduction in COI was observed in July–September compared to January–March (p = 0.0303), corresponding to an average decrease of ~4.5%.</w:t>
      </w:r>
    </w:p>
    <w:p>
      <w:pPr>
        <w:pStyle w:val="BodyText"/>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drawing>
          <wp:anchor behindDoc="0" distT="0" distB="0" distL="0" distR="0" simplePos="0" locked="0" layoutInCell="0" allowOverlap="1" relativeHeight="5">
            <wp:simplePos x="0" y="0"/>
            <wp:positionH relativeFrom="column">
              <wp:posOffset>-35560</wp:posOffset>
            </wp:positionH>
            <wp:positionV relativeFrom="paragraph">
              <wp:posOffset>57150</wp:posOffset>
            </wp:positionV>
            <wp:extent cx="6120130" cy="3496945"/>
            <wp:effectExtent l="0" t="0" r="0" b="0"/>
            <wp:wrapSquare wrapText="largest"/>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9"/>
                    <a:stretch>
                      <a:fillRect/>
                    </a:stretch>
                  </pic:blipFill>
                  <pic:spPr bwMode="auto">
                    <a:xfrm>
                      <a:off x="0" y="0"/>
                      <a:ext cx="6120130" cy="3496945"/>
                    </a:xfrm>
                    <a:prstGeom prst="rect">
                      <a:avLst/>
                    </a:prstGeom>
                    <a:noFill/>
                  </pic:spPr>
                </pic:pic>
              </a:graphicData>
            </a:graphic>
          </wp:anchor>
        </w:drawing>
      </w:r>
    </w:p>
    <w:p>
      <w:pPr>
        <w:pStyle w:val="BodyText"/>
        <w:jc w:val="both"/>
        <w:rPr/>
      </w:pPr>
      <w:r>
        <w:rPr>
          <w:rStyle w:val="Strong"/>
          <w:rFonts w:ascii="Times New Roman" w:hAnsi="Times New Roman"/>
        </w:rPr>
        <w:t xml:space="preserve">Supplementary Figure S4. Average Effective complexity of infection (eCOI) by site and season. Bars show the mean COI for Round 1 (January–March 2023, blue) and Round 2 (July–September 2023, orange). </w:t>
      </w:r>
      <w:r>
        <w:rPr>
          <w:rStyle w:val="Strong"/>
          <w:rFonts w:ascii="Times New Roman" w:hAnsi="Times New Roman"/>
          <w:b w:val="false"/>
          <w:bCs w:val="false"/>
        </w:rPr>
        <w:t>Sites are arranged in descending order of Round 1 mean eCOI. Overall seasonal differences were assessed using a mixed-effects model adjusting for repeated sampling within sites. A modest but statistically significant reduction in COI was observed in July–September compared to January–March (p = 0.0088), corresponding to an average decrease of ~4.4%.</w:t>
      </w:r>
    </w:p>
    <w:p>
      <w:pPr>
        <w:pStyle w:val="BodyText"/>
        <w:rPr>
          <w:rStyle w:val="Strong"/>
          <w:rFonts w:ascii="Times New Roman" w:hAnsi="Times New Roman"/>
        </w:rPr>
      </w:pPr>
      <w:r>
        <w:rPr>
          <w:rFonts w:ascii="Times New Roman" w:hAnsi="Times New Roman"/>
        </w:rPr>
      </w:r>
    </w:p>
    <w:p>
      <w:pPr>
        <w:pStyle w:val="BodyText"/>
        <w:rPr>
          <w:rStyle w:val="Strong"/>
        </w:rPr>
      </w:pPr>
      <w:r>
        <w:rPr/>
      </w:r>
    </w:p>
    <w:p>
      <w:pPr>
        <w:pStyle w:val="BodyText"/>
        <w:rPr>
          <w:rStyle w:val="Strong"/>
        </w:rPr>
      </w:pPr>
      <w:r>
        <w:rPr/>
      </w:r>
    </w:p>
    <w:p>
      <w:pPr>
        <w:pStyle w:val="BodyText"/>
        <w:rPr>
          <w:rStyle w:val="Strong"/>
        </w:rPr>
      </w:pPr>
      <w:r>
        <w:rPr/>
      </w:r>
    </w:p>
    <w:p>
      <w:pPr>
        <w:pStyle w:val="BodyText"/>
        <w:rPr>
          <w:rStyle w:val="Strong"/>
        </w:rPr>
      </w:pPr>
      <w:r>
        <w:rPr/>
      </w:r>
    </w:p>
    <w:p>
      <w:pPr>
        <w:pStyle w:val="BodyText"/>
        <w:rPr/>
      </w:pPr>
      <w:r>
        <w:rPr/>
      </w:r>
    </w:p>
    <w:p>
      <w:pPr>
        <w:pStyle w:val="BodyText"/>
        <w:rPr/>
      </w:pPr>
      <w:r>
        <w:rPr/>
      </w:r>
    </w:p>
    <w:p>
      <w:pPr>
        <w:pStyle w:val="Normal"/>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r>
    </w:p>
    <w:p>
      <w:pPr>
        <w:pStyle w:val="Normal"/>
        <w:rPr>
          <w:rStyle w:val="Strong"/>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120130" cy="3495675"/>
            <wp:effectExtent l="0" t="0" r="0" b="0"/>
            <wp:wrapSquare wrapText="largest"/>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0"/>
                    <a:stretch>
                      <a:fillRect/>
                    </a:stretch>
                  </pic:blipFill>
                  <pic:spPr bwMode="auto">
                    <a:xfrm>
                      <a:off x="0" y="0"/>
                      <a:ext cx="6120130" cy="3495675"/>
                    </a:xfrm>
                    <a:prstGeom prst="rect">
                      <a:avLst/>
                    </a:prstGeom>
                    <a:noFill/>
                  </pic:spPr>
                </pic:pic>
              </a:graphicData>
            </a:graphic>
          </wp:anchor>
        </w:drawing>
      </w:r>
    </w:p>
    <w:p>
      <w:pPr>
        <w:pStyle w:val="Normal"/>
        <w:rPr>
          <w:rStyle w:val="Strong"/>
        </w:rPr>
      </w:pPr>
      <w:r>
        <w:rPr/>
      </w:r>
    </w:p>
    <w:p>
      <w:pPr>
        <w:pStyle w:val="Normal"/>
        <w:jc w:val="both"/>
        <w:rPr/>
      </w:pPr>
      <w:r>
        <w:rPr>
          <w:rStyle w:val="Strong"/>
          <w:rFonts w:ascii="Times New Roman" w:hAnsi="Times New Roman"/>
        </w:rPr>
        <w:t xml:space="preserve">Supplementary Figure S5. </w:t>
      </w:r>
      <w:r>
        <w:rPr>
          <w:rStyle w:val="Strong"/>
          <w:rFonts w:ascii="Times New Roman" w:hAnsi="Times New Roman"/>
        </w:rPr>
        <w:t>Relationship</w:t>
      </w:r>
      <w:r>
        <w:rPr>
          <w:rStyle w:val="Strong"/>
          <w:rFonts w:ascii="Times New Roman" w:hAnsi="Times New Roman"/>
        </w:rPr>
        <w:t xml:space="preserve"> between molecular diversity metrics among children &lt;15 years and malaria transmission intensity. </w:t>
      </w:r>
      <w:r>
        <w:rPr>
          <w:rFonts w:ascii="Times New Roman" w:hAnsi="Times New Roman"/>
        </w:rPr>
        <w:t>Analyses restricted to participants under 15 years of age demonstrated similar patterns to those observed in the full dataset, with positive associations between transmission metrics (prevalence, round 1 incidence, and round 2 incidence) and molecular</w:t>
      </w:r>
      <w:r>
        <w:rPr>
          <w:rStyle w:val="Strong"/>
          <w:rFonts w:ascii="Times New Roman" w:hAnsi="Times New Roman"/>
          <w:b w:val="false"/>
          <w:bCs w:val="false"/>
        </w:rPr>
        <w:t xml:space="preserve"> diversity metrics (</w:t>
      </w:r>
      <w:r>
        <w:rPr>
          <w:rStyle w:val="Strong"/>
          <w:rFonts w:ascii="Times New Roman" w:hAnsi="Times New Roman"/>
        </w:rPr>
        <w:t xml:space="preserve"> </w:t>
      </w:r>
      <w:r>
        <w:rPr>
          <w:rStyle w:val="Strong"/>
          <w:rFonts w:ascii="Times New Roman" w:hAnsi="Times New Roman"/>
          <w:b w:val="false"/>
          <w:bCs w:val="false"/>
        </w:rPr>
        <w:t>COI, eCOI, percent</w:t>
      </w:r>
      <w:r>
        <w:rPr>
          <w:rStyle w:val="Strong"/>
          <w:rFonts w:ascii="Times New Roman" w:hAnsi="Times New Roman"/>
        </w:rPr>
        <w:t xml:space="preserve"> </w:t>
      </w:r>
      <w:r>
        <w:rPr>
          <w:rFonts w:ascii="Times New Roman" w:hAnsi="Times New Roman"/>
        </w:rPr>
        <w:t xml:space="preserve">polyclonal, heterozygosity), and negative associations with </w:t>
      </w:r>
      <w:r>
        <w:rPr>
          <w:rStyle w:val="Strong"/>
          <w:rFonts w:ascii="Times New Roman" w:hAnsi="Times New Roman"/>
          <w:b w:val="false"/>
          <w:bCs w:val="false"/>
        </w:rPr>
        <w:t>molecular diversity metrics</w:t>
      </w:r>
      <w:r>
        <w:rPr>
          <w:rFonts w:ascii="Times New Roman" w:hAnsi="Times New Roman"/>
        </w:rPr>
        <w:t xml:space="preserve"> (within-host relatedness, average IBD, and proportion of highly related pairs (</w:t>
      </w:r>
      <w:r>
        <w:rPr>
          <w:rFonts w:ascii="Times New Roman" w:hAnsi="Times New Roman"/>
          <w:i/>
          <w:iCs/>
        </w:rPr>
        <w:t>r</w:t>
      </w:r>
      <w:r>
        <w:rPr>
          <w:rFonts w:ascii="Times New Roman" w:hAnsi="Times New Roman"/>
        </w:rPr>
        <w:t xml:space="preserve"> &gt; 0.125)). These results highlight the robustness of the observed relationships across age groups, and support the use of parasite genomic diversity as a surrogate marker for transmission intensity in endemic settings.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0" allowOverlap="1" relativeHeight="7">
            <wp:simplePos x="0" y="0"/>
            <wp:positionH relativeFrom="column">
              <wp:posOffset>0</wp:posOffset>
            </wp:positionH>
            <wp:positionV relativeFrom="paragraph">
              <wp:posOffset>67310</wp:posOffset>
            </wp:positionV>
            <wp:extent cx="6120130" cy="3495675"/>
            <wp:effectExtent l="0" t="0" r="0" b="0"/>
            <wp:wrapSquare wrapText="largest"/>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1"/>
                    <a:stretch>
                      <a:fillRect/>
                    </a:stretch>
                  </pic:blipFill>
                  <pic:spPr bwMode="auto">
                    <a:xfrm>
                      <a:off x="0" y="0"/>
                      <a:ext cx="6120130" cy="3495675"/>
                    </a:xfrm>
                    <a:prstGeom prst="rect">
                      <a:avLst/>
                    </a:prstGeom>
                    <a:noFill/>
                  </pic:spPr>
                </pic:pic>
              </a:graphicData>
            </a:graphic>
          </wp:anchor>
        </w:drawing>
      </w:r>
    </w:p>
    <w:p>
      <w:pPr>
        <w:pStyle w:val="Normal"/>
        <w:rPr/>
      </w:pPr>
      <w:r>
        <w:rPr/>
      </w:r>
    </w:p>
    <w:p>
      <w:pPr>
        <w:pStyle w:val="Normal"/>
        <w:jc w:val="both"/>
        <w:rPr/>
      </w:pPr>
      <w:r>
        <w:rPr>
          <w:rStyle w:val="Strong"/>
          <w:rFonts w:ascii="Times New Roman" w:hAnsi="Times New Roman"/>
        </w:rPr>
        <w:t xml:space="preserve">Supplementary Figure S6. Association between parasite genetic diversity metrics among children &lt;15 years and malaria transmission intensity. </w:t>
      </w:r>
      <w:r>
        <w:rPr>
          <w:rFonts w:ascii="Times New Roman" w:hAnsi="Times New Roman"/>
        </w:rPr>
        <w:t>Site-level regression analyses restricted to genetic diversity metrics of participants under 15 years revealed similar trends to those observed across all ages. As in the full dataset, malaria prevalence was strongly associated with COI, eCOI, and percent polyclonal infections, and inversely associated with within-host relatedness and the proportion of highly related pairs (</w:t>
      </w:r>
      <w:r>
        <w:rPr>
          <w:rFonts w:ascii="Times New Roman" w:hAnsi="Times New Roman"/>
          <w:i/>
          <w:iCs/>
        </w:rPr>
        <w:t>r</w:t>
      </w:r>
      <w:r>
        <w:rPr>
          <w:rFonts w:ascii="Times New Roman" w:hAnsi="Times New Roman"/>
        </w:rPr>
        <w:t xml:space="preserve"> &gt; 0.125). Associations with incidence were comparable to those obtained using all ages – slightly higher in Round 1 and similar in Round 2.These findings confirm that the observed molecular–epidemiological relationships are robust across age groups.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even" r:id="rId12"/>
      <w:footerReference w:type="default" r:id="rId13"/>
      <w:footerReference w:type="first" r:id="rId14"/>
      <w:type w:val="nextPage"/>
      <w:pgSz w:w="11906" w:h="16838"/>
      <w:pgMar w:left="1134" w:right="1134" w:gutter="0" w:header="0" w:top="1134" w:footer="1134" w:bottom="1693"/>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2" w:name="PageNumWizard_FOOTER_Converted11"/>
    <w:r>
      <w:rPr/>
      <w:fldChar w:fldCharType="begin"/>
    </w:r>
    <w:r>
      <w:rPr/>
      <w:instrText xml:space="preserve"> PAGE </w:instrText>
    </w:r>
    <w:r>
      <w:rPr/>
      <w:fldChar w:fldCharType="separate"/>
    </w:r>
    <w:r>
      <w:rPr/>
      <w:t>7</w:t>
    </w:r>
    <w:r>
      <w:rPr/>
      <w:fldChar w:fldCharType="end"/>
    </w:r>
    <w:bookmarkEnd w:id="2"/>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3" w:name="PageNumWizard_FOOTER_Converted11"/>
    <w:r>
      <w:rPr/>
      <w:fldChar w:fldCharType="begin"/>
    </w:r>
    <w:r>
      <w:rPr/>
      <w:instrText xml:space="preserve"> PAGE </w:instrText>
    </w:r>
    <w:r>
      <w:rPr/>
      <w:fldChar w:fldCharType="separate"/>
    </w:r>
    <w:r>
      <w:rPr/>
      <w:t>7</w:t>
    </w:r>
    <w:r>
      <w:rPr/>
      <w:fldChar w:fldCharType="end"/>
    </w:r>
    <w:bookmarkEnd w:id="3"/>
  </w:p>
</w:ft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docVars>
    <w:docVar w:name="dgnword-docGUID" w:val="{734D42B4-C256-4EC0-8989-BD6632E0A6BB}"/>
    <w:docVar w:name="dgnword-eventsink" w:val="209511884779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Normal"/>
    <w:next w:val="Normal"/>
    <w:uiPriority w:val="9"/>
    <w:qFormat/>
    <w:pPr>
      <w:keepNext w:val="true"/>
      <w:keepLines/>
      <w:spacing w:before="480" w:after="0"/>
      <w:outlineLvl w:val="0"/>
    </w:pPr>
    <w:rPr>
      <w:rFonts w:ascii="Arial" w:hAnsi="Arial" w:eastAsia="DejaVu Sans" w:cs="DejaVu Sans" w:asciiTheme="majorHAnsi" w:cstheme="majorBidi" w:eastAsiaTheme="majorEastAsia" w:hAnsiTheme="majorHAnsi"/>
      <w:b/>
      <w:bCs/>
      <w:color w:themeColor="accent1" w:themeShade="bf" w:val="117A02"/>
      <w:sz w:val="28"/>
      <w:szCs w:val="28"/>
    </w:rPr>
  </w:style>
  <w:style w:type="character" w:styleId="DefaultParagraphFont" w:default="1">
    <w:name w:val="Default Paragraph Font"/>
    <w:uiPriority w:val="1"/>
    <w:unhideWhenUsed/>
    <w:qFormat/>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character" w:styleId="CommentReference">
    <w:name w:val="annotation reference"/>
    <w:basedOn w:val="DefaultParagraphFont"/>
    <w:uiPriority w:val="99"/>
    <w:semiHidden/>
    <w:unhideWhenUsed/>
    <w:qFormat/>
    <w:rsid w:val="00f51ba2"/>
    <w:rPr>
      <w:sz w:val="16"/>
      <w:szCs w:val="16"/>
    </w:rPr>
  </w:style>
  <w:style w:type="character" w:styleId="CommentTextChar" w:customStyle="1">
    <w:name w:val="Comment Text Char"/>
    <w:basedOn w:val="DefaultParagraphFont"/>
    <w:link w:val="CommentText"/>
    <w:uiPriority w:val="99"/>
    <w:qFormat/>
    <w:rsid w:val="00f51ba2"/>
    <w:rPr>
      <w:rFonts w:cs="Mangal"/>
      <w:sz w:val="20"/>
      <w:szCs w:val="18"/>
    </w:rPr>
  </w:style>
  <w:style w:type="character" w:styleId="CommentSubjectChar" w:customStyle="1">
    <w:name w:val="Comment Subject Char"/>
    <w:basedOn w:val="CommentTextChar"/>
    <w:link w:val="annotationsubject"/>
    <w:uiPriority w:val="99"/>
    <w:semiHidden/>
    <w:qFormat/>
    <w:rsid w:val="00f51ba2"/>
    <w:rPr>
      <w:rFonts w:cs="Mangal"/>
      <w:b/>
      <w:bCs/>
      <w:sz w:val="20"/>
      <w:szCs w:val="18"/>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FrameContents" w:customStyle="1">
    <w:name w:val="Frame Contents"/>
    <w:basedOn w:val="Normal"/>
    <w:qFormat/>
    <w:pPr/>
    <w:rPr/>
  </w:style>
  <w:style w:type="paragraph" w:styleId="FrameContentsuser" w:customStyle="1">
    <w:name w:val="Frame Contents (user)"/>
    <w:basedOn w:val="Normal"/>
    <w:qFormat/>
    <w:pPr/>
    <w:rPr/>
  </w:style>
  <w:style w:type="paragraph" w:styleId="TableContents" w:customStyle="1">
    <w:name w:val="Table Contents"/>
    <w:basedOn w:val="Normal"/>
    <w:qFormat/>
    <w:pPr>
      <w:widowControl w:val="false"/>
      <w:suppressLineNumbers/>
    </w:pPr>
    <w:rPr/>
  </w:style>
  <w:style w:type="paragraph" w:styleId="CommentText">
    <w:name w:val="annotation text"/>
    <w:basedOn w:val="Normal"/>
    <w:link w:val="CommentTextChar"/>
    <w:uiPriority w:val="99"/>
    <w:unhideWhenUsed/>
    <w:rsid w:val="00f51ba2"/>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f51ba2"/>
    <w:pPr/>
    <w:rPr>
      <w:b/>
      <w:bCs/>
    </w:rPr>
  </w:style>
  <w:style w:type="paragraph" w:styleId="Revision">
    <w:name w:val="Revision"/>
    <w:uiPriority w:val="99"/>
    <w:semiHidden/>
    <w:qFormat/>
    <w:rsid w:val="00f51ba2"/>
    <w:pPr>
      <w:widowControl/>
      <w:suppressAutoHyphens w:val="false"/>
      <w:bidi w:val="0"/>
      <w:spacing w:before="0" w:after="0"/>
      <w:jc w:val="start"/>
    </w:pPr>
    <w:rPr>
      <w:rFonts w:ascii="Liberation Serif" w:hAnsi="Liberation Serif" w:eastAsia="Noto Serif CJK SC" w:cs="Mangal"/>
      <w:color w:val="auto"/>
      <w:kern w:val="2"/>
      <w:sz w:val="24"/>
      <w:szCs w:val="21"/>
      <w:lang w:val="en-US" w:eastAsia="zh-CN" w:bidi="hi-IN"/>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shakykiyaga91@gmail.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LibreOffice/25.2.6.2$Linux_X86_64 LibreOffice_project/520$Build-2</Application>
  <AppVersion>15.0000</AppVersion>
  <Pages>12</Pages>
  <Words>1532</Words>
  <Characters>8375</Characters>
  <CharactersWithSpaces>9244</CharactersWithSpaces>
  <Paragraphs>655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2025-08-27T16:25:53Z</dcterms:created>
  <dc:creator/>
  <dc:description/>
  <dc:language>en-US</dc:language>
  <cp:lastModifiedBy/>
  <cp:lastPrinted>2025-11-21T11:58:02Z</cp:lastPrinted>
  <dcterms:modified xsi:type="dcterms:W3CDTF">2025-11-29T19:14:58Z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file>