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6C41C" w14:textId="77777777" w:rsidR="00CB5902" w:rsidRDefault="00CB5902" w:rsidP="00CB5902">
      <w:pPr>
        <w:spacing w:before="240" w:after="200"/>
        <w:jc w:val="both"/>
        <w:rPr>
          <w:rFonts w:eastAsia="Calibri" w:cs="Calibri"/>
          <w:szCs w:val="24"/>
        </w:rPr>
      </w:pPr>
      <w:r>
        <w:rPr>
          <w:rFonts w:eastAsia="Calibri" w:cs="Calibri"/>
          <w:b/>
          <w:szCs w:val="24"/>
        </w:rPr>
        <w:t>The effect of SSRI/SNRI antidepressant treatment on the gut microbiota of patients with major depressive disorder</w:t>
      </w:r>
    </w:p>
    <w:p w14:paraId="04BDC1E0" w14:textId="71A570B5" w:rsidR="00CB5902" w:rsidRPr="008D3389" w:rsidRDefault="00CB5902" w:rsidP="008D3389">
      <w:pPr>
        <w:pBdr>
          <w:top w:val="nil"/>
          <w:left w:val="nil"/>
          <w:bottom w:val="nil"/>
          <w:right w:val="nil"/>
          <w:between w:val="nil"/>
        </w:pBdr>
        <w:spacing w:before="240" w:after="200"/>
        <w:jc w:val="both"/>
        <w:rPr>
          <w:rFonts w:eastAsia="Calibri" w:cs="Calibri"/>
          <w:szCs w:val="24"/>
        </w:rPr>
      </w:pPr>
      <w:r w:rsidRPr="00C4559E">
        <w:rPr>
          <w:rFonts w:eastAsia="Calibri" w:cs="Calibri"/>
          <w:szCs w:val="24"/>
        </w:rPr>
        <w:t>Eugenia Emile Natasha, MSc</w:t>
      </w:r>
      <w:r w:rsidRPr="00C4559E">
        <w:rPr>
          <w:rFonts w:eastAsia="Calibri" w:cs="Calibri"/>
          <w:szCs w:val="24"/>
          <w:vertAlign w:val="superscript"/>
        </w:rPr>
        <w:t>1</w:t>
      </w:r>
      <w:r w:rsidRPr="00C4559E">
        <w:rPr>
          <w:rFonts w:eastAsia="Calibri" w:cs="Calibri"/>
          <w:szCs w:val="24"/>
        </w:rPr>
        <w:t>*, Danique Mulder MSc</w:t>
      </w:r>
      <w:r w:rsidRPr="00C4559E">
        <w:rPr>
          <w:rFonts w:eastAsia="Calibri" w:cs="Calibri"/>
          <w:szCs w:val="24"/>
          <w:vertAlign w:val="superscript"/>
        </w:rPr>
        <w:t>1</w:t>
      </w:r>
      <w:r w:rsidRPr="00C4559E">
        <w:rPr>
          <w:rFonts w:eastAsia="Calibri" w:cs="Calibri"/>
          <w:szCs w:val="24"/>
        </w:rPr>
        <w:t xml:space="preserve">*, Leon </w:t>
      </w:r>
      <w:proofErr w:type="spellStart"/>
      <w:r w:rsidRPr="00C4559E">
        <w:rPr>
          <w:rFonts w:eastAsia="Calibri" w:cs="Calibri"/>
          <w:szCs w:val="24"/>
        </w:rPr>
        <w:t>Fehse</w:t>
      </w:r>
      <w:proofErr w:type="spellEnd"/>
      <w:r w:rsidRPr="00C4559E">
        <w:rPr>
          <w:rFonts w:eastAsia="Calibri" w:cs="Calibri"/>
          <w:szCs w:val="24"/>
        </w:rPr>
        <w:t xml:space="preserve"> MSc</w:t>
      </w:r>
      <w:r w:rsidRPr="00C4559E">
        <w:rPr>
          <w:rFonts w:eastAsia="Calibri" w:cs="Calibri"/>
          <w:szCs w:val="24"/>
          <w:vertAlign w:val="superscript"/>
        </w:rPr>
        <w:t>2</w:t>
      </w:r>
      <w:r w:rsidRPr="00C4559E">
        <w:rPr>
          <w:rFonts w:eastAsia="Calibri" w:cs="Calibri"/>
          <w:szCs w:val="24"/>
        </w:rPr>
        <w:t>, Nils R. Winter PhD</w:t>
      </w:r>
      <w:r w:rsidRPr="00C4559E">
        <w:rPr>
          <w:rFonts w:eastAsia="Calibri" w:cs="Calibri"/>
          <w:szCs w:val="24"/>
          <w:vertAlign w:val="superscript"/>
        </w:rPr>
        <w:t>3</w:t>
      </w:r>
      <w:r w:rsidRPr="00C4559E">
        <w:rPr>
          <w:rFonts w:eastAsia="Calibri" w:cs="Calibri"/>
          <w:szCs w:val="24"/>
        </w:rPr>
        <w:t>, Lukas Fisch MSc</w:t>
      </w:r>
      <w:r w:rsidRPr="00C4559E">
        <w:rPr>
          <w:rFonts w:eastAsia="Calibri" w:cs="Calibri"/>
          <w:szCs w:val="24"/>
          <w:vertAlign w:val="superscript"/>
        </w:rPr>
        <w:t>3</w:t>
      </w:r>
      <w:r w:rsidRPr="00C4559E">
        <w:rPr>
          <w:rFonts w:eastAsia="Calibri" w:cs="Calibri"/>
          <w:szCs w:val="24"/>
        </w:rPr>
        <w:t xml:space="preserve">, Marius </w:t>
      </w:r>
      <w:proofErr w:type="spellStart"/>
      <w:r w:rsidRPr="00C4559E">
        <w:rPr>
          <w:rFonts w:eastAsia="Calibri" w:cs="Calibri"/>
          <w:szCs w:val="24"/>
        </w:rPr>
        <w:t>Welzel</w:t>
      </w:r>
      <w:proofErr w:type="spellEnd"/>
      <w:r w:rsidRPr="00C4559E">
        <w:rPr>
          <w:rFonts w:eastAsia="Calibri" w:cs="Calibri"/>
          <w:szCs w:val="24"/>
        </w:rPr>
        <w:t xml:space="preserve"> PhD</w:t>
      </w:r>
      <w:r w:rsidRPr="00C4559E">
        <w:rPr>
          <w:rFonts w:eastAsia="Calibri" w:cs="Calibri"/>
          <w:szCs w:val="24"/>
          <w:vertAlign w:val="superscript"/>
        </w:rPr>
        <w:t>2</w:t>
      </w:r>
      <w:r w:rsidRPr="00C4559E">
        <w:rPr>
          <w:rFonts w:eastAsia="Calibri" w:cs="Calibri"/>
          <w:szCs w:val="24"/>
        </w:rPr>
        <w:t>, Corinna Bang PhD</w:t>
      </w:r>
      <w:r w:rsidRPr="00C4559E">
        <w:rPr>
          <w:rFonts w:eastAsia="Calibri" w:cs="Calibri"/>
          <w:szCs w:val="24"/>
          <w:vertAlign w:val="superscript"/>
        </w:rPr>
        <w:t>4</w:t>
      </w:r>
      <w:r w:rsidRPr="00C4559E">
        <w:rPr>
          <w:rFonts w:eastAsia="Calibri" w:cs="Calibri"/>
          <w:szCs w:val="24"/>
        </w:rPr>
        <w:t xml:space="preserve">, Susanne </w:t>
      </w:r>
      <w:proofErr w:type="spellStart"/>
      <w:r w:rsidRPr="00C4559E">
        <w:rPr>
          <w:rFonts w:eastAsia="Calibri" w:cs="Calibri"/>
          <w:szCs w:val="24"/>
        </w:rPr>
        <w:t>Meinert</w:t>
      </w:r>
      <w:proofErr w:type="spellEnd"/>
      <w:r w:rsidRPr="00C4559E">
        <w:rPr>
          <w:rFonts w:eastAsia="Calibri" w:cs="Calibri"/>
          <w:szCs w:val="24"/>
        </w:rPr>
        <w:t xml:space="preserve"> MSc</w:t>
      </w:r>
      <w:r w:rsidRPr="00C4559E">
        <w:rPr>
          <w:rFonts w:eastAsia="Calibri" w:cs="Calibri"/>
          <w:szCs w:val="24"/>
          <w:vertAlign w:val="superscript"/>
        </w:rPr>
        <w:t>3,</w:t>
      </w:r>
      <w:r>
        <w:rPr>
          <w:rFonts w:eastAsia="Calibri" w:cs="Calibri"/>
          <w:szCs w:val="24"/>
          <w:vertAlign w:val="superscript"/>
        </w:rPr>
        <w:t>5</w:t>
      </w:r>
      <w:r w:rsidRPr="00C4559E">
        <w:rPr>
          <w:rFonts w:eastAsia="Calibri" w:cs="Calibri"/>
          <w:szCs w:val="24"/>
        </w:rPr>
        <w:t xml:space="preserve">, Kira </w:t>
      </w:r>
      <w:proofErr w:type="spellStart"/>
      <w:r w:rsidRPr="00C4559E">
        <w:rPr>
          <w:rFonts w:eastAsia="Calibri" w:cs="Calibri"/>
          <w:szCs w:val="24"/>
        </w:rPr>
        <w:t>Flinkenflügel</w:t>
      </w:r>
      <w:proofErr w:type="spellEnd"/>
      <w:r w:rsidRPr="00C4559E">
        <w:rPr>
          <w:rFonts w:eastAsia="Calibri" w:cs="Calibri"/>
          <w:szCs w:val="24"/>
        </w:rPr>
        <w:t xml:space="preserve"> MSc</w:t>
      </w:r>
      <w:r w:rsidRPr="00C4559E">
        <w:rPr>
          <w:rFonts w:eastAsia="Calibri" w:cs="Calibri"/>
          <w:szCs w:val="24"/>
          <w:vertAlign w:val="superscript"/>
        </w:rPr>
        <w:t>3</w:t>
      </w:r>
      <w:r w:rsidRPr="00C4559E">
        <w:rPr>
          <w:rFonts w:eastAsia="Calibri" w:cs="Calibri"/>
          <w:szCs w:val="24"/>
        </w:rPr>
        <w:t xml:space="preserve">, Tiana </w:t>
      </w:r>
      <w:proofErr w:type="spellStart"/>
      <w:r w:rsidRPr="00C4559E">
        <w:rPr>
          <w:rFonts w:eastAsia="Calibri" w:cs="Calibri"/>
          <w:szCs w:val="24"/>
        </w:rPr>
        <w:t>Borgers</w:t>
      </w:r>
      <w:proofErr w:type="spellEnd"/>
      <w:r w:rsidRPr="00C4559E">
        <w:rPr>
          <w:rFonts w:eastAsia="Calibri" w:cs="Calibri"/>
          <w:szCs w:val="24"/>
        </w:rPr>
        <w:t xml:space="preserve"> PhD</w:t>
      </w:r>
      <w:r w:rsidRPr="00C4559E">
        <w:rPr>
          <w:rFonts w:eastAsia="Calibri" w:cs="Calibri"/>
          <w:szCs w:val="24"/>
          <w:vertAlign w:val="superscript"/>
        </w:rPr>
        <w:t>3</w:t>
      </w:r>
      <w:r w:rsidRPr="00C4559E">
        <w:rPr>
          <w:rFonts w:eastAsia="Calibri" w:cs="Calibri"/>
          <w:szCs w:val="24"/>
        </w:rPr>
        <w:t xml:space="preserve">, </w:t>
      </w:r>
      <w:proofErr w:type="spellStart"/>
      <w:r w:rsidRPr="00C4559E">
        <w:rPr>
          <w:rFonts w:eastAsia="Calibri" w:cs="Calibri"/>
          <w:szCs w:val="24"/>
        </w:rPr>
        <w:t>Janik</w:t>
      </w:r>
      <w:proofErr w:type="spellEnd"/>
      <w:r w:rsidRPr="00C4559E">
        <w:rPr>
          <w:rFonts w:eastAsia="Calibri" w:cs="Calibri"/>
          <w:szCs w:val="24"/>
        </w:rPr>
        <w:t xml:space="preserve"> </w:t>
      </w:r>
      <w:proofErr w:type="spellStart"/>
      <w:r w:rsidRPr="00C4559E">
        <w:rPr>
          <w:rFonts w:eastAsia="Calibri" w:cs="Calibri"/>
          <w:szCs w:val="24"/>
        </w:rPr>
        <w:t>Goltermann</w:t>
      </w:r>
      <w:proofErr w:type="spellEnd"/>
      <w:r w:rsidRPr="00C4559E">
        <w:rPr>
          <w:rFonts w:eastAsia="Calibri" w:cs="Calibri"/>
          <w:szCs w:val="24"/>
        </w:rPr>
        <w:t xml:space="preserve"> PhD</w:t>
      </w:r>
      <w:r w:rsidRPr="00C4559E">
        <w:rPr>
          <w:rFonts w:eastAsia="Calibri" w:cs="Calibri"/>
          <w:szCs w:val="24"/>
          <w:vertAlign w:val="superscript"/>
        </w:rPr>
        <w:t>3</w:t>
      </w:r>
      <w:r w:rsidRPr="00C4559E">
        <w:rPr>
          <w:rFonts w:eastAsia="Calibri" w:cs="Calibri"/>
          <w:szCs w:val="24"/>
        </w:rPr>
        <w:t xml:space="preserve">, Elisabeth J. </w:t>
      </w:r>
      <w:proofErr w:type="spellStart"/>
      <w:r w:rsidRPr="00C4559E">
        <w:rPr>
          <w:rFonts w:eastAsia="Calibri" w:cs="Calibri"/>
          <w:szCs w:val="24"/>
        </w:rPr>
        <w:t>Leehr</w:t>
      </w:r>
      <w:proofErr w:type="spellEnd"/>
      <w:r w:rsidRPr="00C4559E">
        <w:rPr>
          <w:rFonts w:eastAsia="Calibri" w:cs="Calibri"/>
          <w:szCs w:val="24"/>
        </w:rPr>
        <w:t xml:space="preserve"> PhD</w:t>
      </w:r>
      <w:r w:rsidRPr="00C4559E">
        <w:rPr>
          <w:rFonts w:eastAsia="Calibri" w:cs="Calibri"/>
          <w:szCs w:val="24"/>
          <w:vertAlign w:val="superscript"/>
        </w:rPr>
        <w:t>3</w:t>
      </w:r>
      <w:r w:rsidRPr="00C4559E">
        <w:rPr>
          <w:rFonts w:eastAsia="Calibri" w:cs="Calibri"/>
          <w:szCs w:val="24"/>
        </w:rPr>
        <w:t xml:space="preserve">, Carsten </w:t>
      </w:r>
      <w:proofErr w:type="spellStart"/>
      <w:r w:rsidRPr="00C4559E">
        <w:rPr>
          <w:rFonts w:eastAsia="Calibri" w:cs="Calibri"/>
          <w:szCs w:val="24"/>
        </w:rPr>
        <w:t>Culmsee</w:t>
      </w:r>
      <w:proofErr w:type="spellEnd"/>
      <w:r w:rsidRPr="00C4559E">
        <w:rPr>
          <w:rFonts w:eastAsia="Calibri" w:cs="Calibri"/>
          <w:szCs w:val="24"/>
        </w:rPr>
        <w:t xml:space="preserve"> PhD</w:t>
      </w:r>
      <w:r>
        <w:rPr>
          <w:rFonts w:eastAsia="Calibri" w:cs="Calibri"/>
          <w:szCs w:val="24"/>
          <w:vertAlign w:val="superscript"/>
        </w:rPr>
        <w:t>6</w:t>
      </w:r>
      <w:r w:rsidRPr="00C4559E">
        <w:rPr>
          <w:rFonts w:eastAsia="Calibri" w:cs="Calibri"/>
          <w:szCs w:val="24"/>
          <w:vertAlign w:val="superscript"/>
        </w:rPr>
        <w:t>,</w:t>
      </w:r>
      <w:r>
        <w:rPr>
          <w:rFonts w:eastAsia="Calibri" w:cs="Calibri"/>
          <w:szCs w:val="24"/>
          <w:vertAlign w:val="superscript"/>
        </w:rPr>
        <w:t>7</w:t>
      </w:r>
      <w:r w:rsidRPr="00C4559E">
        <w:rPr>
          <w:rFonts w:eastAsia="Calibri" w:cs="Calibri"/>
          <w:szCs w:val="24"/>
        </w:rPr>
        <w:t xml:space="preserve">, </w:t>
      </w:r>
      <w:proofErr w:type="spellStart"/>
      <w:r w:rsidRPr="00C4559E">
        <w:rPr>
          <w:rFonts w:eastAsia="Calibri" w:cs="Calibri"/>
          <w:szCs w:val="24"/>
        </w:rPr>
        <w:t>Frederike</w:t>
      </w:r>
      <w:proofErr w:type="spellEnd"/>
      <w:r w:rsidRPr="00C4559E">
        <w:rPr>
          <w:rFonts w:eastAsia="Calibri" w:cs="Calibri"/>
          <w:szCs w:val="24"/>
        </w:rPr>
        <w:t xml:space="preserve"> Stein PhD</w:t>
      </w:r>
      <w:r>
        <w:rPr>
          <w:rFonts w:eastAsia="Calibri" w:cs="Calibri"/>
          <w:szCs w:val="24"/>
          <w:vertAlign w:val="superscript"/>
        </w:rPr>
        <w:t>8</w:t>
      </w:r>
      <w:r w:rsidRPr="00C4559E">
        <w:rPr>
          <w:rFonts w:eastAsia="Calibri" w:cs="Calibri"/>
          <w:szCs w:val="24"/>
        </w:rPr>
        <w:t>, Florian Thomas-</w:t>
      </w:r>
      <w:proofErr w:type="spellStart"/>
      <w:r w:rsidRPr="00C4559E">
        <w:rPr>
          <w:rFonts w:eastAsia="Calibri" w:cs="Calibri"/>
          <w:szCs w:val="24"/>
        </w:rPr>
        <w:t>Odenthal</w:t>
      </w:r>
      <w:proofErr w:type="spellEnd"/>
      <w:r w:rsidRPr="00C4559E">
        <w:rPr>
          <w:rFonts w:eastAsia="Calibri" w:cs="Calibri"/>
          <w:szCs w:val="24"/>
        </w:rPr>
        <w:t xml:space="preserve"> PhD</w:t>
      </w:r>
      <w:r>
        <w:rPr>
          <w:rFonts w:eastAsia="Calibri" w:cs="Calibri"/>
          <w:szCs w:val="24"/>
          <w:vertAlign w:val="superscript"/>
        </w:rPr>
        <w:t>8</w:t>
      </w:r>
      <w:r w:rsidRPr="00C4559E">
        <w:rPr>
          <w:rFonts w:eastAsia="Calibri" w:cs="Calibri"/>
          <w:szCs w:val="24"/>
        </w:rPr>
        <w:t xml:space="preserve">, Paula </w:t>
      </w:r>
      <w:proofErr w:type="spellStart"/>
      <w:r w:rsidRPr="00C4559E">
        <w:rPr>
          <w:rFonts w:eastAsia="Calibri" w:cs="Calibri"/>
          <w:szCs w:val="24"/>
        </w:rPr>
        <w:t>Usemann</w:t>
      </w:r>
      <w:proofErr w:type="spellEnd"/>
      <w:r w:rsidRPr="00C4559E">
        <w:rPr>
          <w:rFonts w:eastAsia="Calibri" w:cs="Calibri"/>
          <w:szCs w:val="24"/>
        </w:rPr>
        <w:t xml:space="preserve"> MSc</w:t>
      </w:r>
      <w:r>
        <w:rPr>
          <w:rFonts w:eastAsia="Calibri" w:cs="Calibri"/>
          <w:szCs w:val="24"/>
          <w:vertAlign w:val="superscript"/>
        </w:rPr>
        <w:t>8</w:t>
      </w:r>
      <w:r w:rsidRPr="00C4559E">
        <w:rPr>
          <w:rFonts w:eastAsia="Calibri" w:cs="Calibri"/>
          <w:szCs w:val="24"/>
        </w:rPr>
        <w:t xml:space="preserve">, Lea </w:t>
      </w:r>
      <w:proofErr w:type="spellStart"/>
      <w:r w:rsidRPr="00C4559E">
        <w:rPr>
          <w:rFonts w:eastAsia="Calibri" w:cs="Calibri"/>
          <w:szCs w:val="24"/>
        </w:rPr>
        <w:t>Teutenberg</w:t>
      </w:r>
      <w:proofErr w:type="spellEnd"/>
      <w:r w:rsidRPr="00C4559E">
        <w:rPr>
          <w:rFonts w:eastAsia="Calibri" w:cs="Calibri"/>
          <w:szCs w:val="24"/>
        </w:rPr>
        <w:t xml:space="preserve"> MSc</w:t>
      </w:r>
      <w:r>
        <w:rPr>
          <w:rFonts w:eastAsia="Calibri" w:cs="Calibri"/>
          <w:szCs w:val="24"/>
          <w:vertAlign w:val="superscript"/>
        </w:rPr>
        <w:t>8</w:t>
      </w:r>
      <w:r w:rsidRPr="00C4559E">
        <w:rPr>
          <w:rFonts w:eastAsia="Calibri" w:cs="Calibri"/>
          <w:szCs w:val="24"/>
        </w:rPr>
        <w:t xml:space="preserve">, Igor </w:t>
      </w:r>
      <w:proofErr w:type="spellStart"/>
      <w:r w:rsidRPr="00C4559E">
        <w:rPr>
          <w:rFonts w:eastAsia="Calibri" w:cs="Calibri"/>
          <w:szCs w:val="24"/>
        </w:rPr>
        <w:t>Nenadic</w:t>
      </w:r>
      <w:proofErr w:type="spellEnd"/>
      <w:r w:rsidRPr="00C4559E">
        <w:rPr>
          <w:rFonts w:eastAsia="Calibri" w:cs="Calibri"/>
          <w:szCs w:val="24"/>
        </w:rPr>
        <w:t xml:space="preserve"> PhD</w:t>
      </w:r>
      <w:r>
        <w:rPr>
          <w:rFonts w:eastAsia="Calibri" w:cs="Calibri"/>
          <w:szCs w:val="24"/>
          <w:vertAlign w:val="superscript"/>
        </w:rPr>
        <w:t>8</w:t>
      </w:r>
      <w:r w:rsidRPr="00C4559E">
        <w:rPr>
          <w:rFonts w:eastAsia="Calibri" w:cs="Calibri"/>
          <w:szCs w:val="24"/>
        </w:rPr>
        <w:t xml:space="preserve">, Benjamin </w:t>
      </w:r>
      <w:proofErr w:type="spellStart"/>
      <w:r w:rsidRPr="00C4559E">
        <w:rPr>
          <w:rFonts w:eastAsia="Calibri" w:cs="Calibri"/>
          <w:szCs w:val="24"/>
        </w:rPr>
        <w:t>Straube</w:t>
      </w:r>
      <w:proofErr w:type="spellEnd"/>
      <w:r w:rsidRPr="00C4559E">
        <w:rPr>
          <w:rFonts w:eastAsia="Calibri" w:cs="Calibri"/>
          <w:szCs w:val="24"/>
        </w:rPr>
        <w:t xml:space="preserve"> PhD</w:t>
      </w:r>
      <w:r>
        <w:rPr>
          <w:rFonts w:eastAsia="Calibri" w:cs="Calibri"/>
          <w:szCs w:val="24"/>
          <w:vertAlign w:val="superscript"/>
        </w:rPr>
        <w:t>8</w:t>
      </w:r>
      <w:r w:rsidRPr="00C4559E">
        <w:rPr>
          <w:rFonts w:eastAsia="Calibri" w:cs="Calibri"/>
          <w:szCs w:val="24"/>
        </w:rPr>
        <w:t>, Nina Alexander PhD</w:t>
      </w:r>
      <w:r>
        <w:rPr>
          <w:rFonts w:eastAsia="Calibri" w:cs="Calibri"/>
          <w:szCs w:val="24"/>
          <w:vertAlign w:val="superscript"/>
        </w:rPr>
        <w:t>8</w:t>
      </w:r>
      <w:r w:rsidRPr="00C4559E">
        <w:rPr>
          <w:rFonts w:eastAsia="Calibri" w:cs="Calibri"/>
          <w:szCs w:val="24"/>
        </w:rPr>
        <w:t xml:space="preserve">, Hamidreza </w:t>
      </w:r>
      <w:proofErr w:type="spellStart"/>
      <w:r w:rsidRPr="00C4559E">
        <w:rPr>
          <w:rFonts w:eastAsia="Calibri" w:cs="Calibri"/>
          <w:szCs w:val="24"/>
        </w:rPr>
        <w:t>Jamalabadi</w:t>
      </w:r>
      <w:proofErr w:type="spellEnd"/>
      <w:r w:rsidRPr="00C4559E">
        <w:rPr>
          <w:rFonts w:eastAsia="Calibri" w:cs="Calibri"/>
          <w:szCs w:val="24"/>
        </w:rPr>
        <w:t xml:space="preserve"> PhD</w:t>
      </w:r>
      <w:r>
        <w:rPr>
          <w:rFonts w:eastAsia="Calibri" w:cs="Calibri"/>
          <w:szCs w:val="24"/>
          <w:vertAlign w:val="superscript"/>
        </w:rPr>
        <w:t>8</w:t>
      </w:r>
      <w:r w:rsidRPr="00C4559E">
        <w:rPr>
          <w:rFonts w:eastAsia="Calibri" w:cs="Calibri"/>
          <w:szCs w:val="24"/>
        </w:rPr>
        <w:t>, Andreas Jansen PhD</w:t>
      </w:r>
      <w:r>
        <w:rPr>
          <w:rFonts w:eastAsia="Calibri" w:cs="Calibri"/>
          <w:szCs w:val="24"/>
          <w:vertAlign w:val="superscript"/>
        </w:rPr>
        <w:t>8</w:t>
      </w:r>
      <w:r w:rsidRPr="00C4559E">
        <w:rPr>
          <w:rFonts w:eastAsia="Calibri" w:cs="Calibri"/>
          <w:szCs w:val="24"/>
        </w:rPr>
        <w:t>, Robert Nitsch MD PhD</w:t>
      </w:r>
      <w:r>
        <w:rPr>
          <w:rFonts w:eastAsia="Calibri" w:cs="Calibri"/>
          <w:szCs w:val="24"/>
          <w:vertAlign w:val="superscript"/>
        </w:rPr>
        <w:t>5</w:t>
      </w:r>
      <w:r w:rsidRPr="00C4559E">
        <w:rPr>
          <w:rFonts w:eastAsia="Calibri" w:cs="Calibri"/>
          <w:szCs w:val="24"/>
        </w:rPr>
        <w:t xml:space="preserve">, Andreas </w:t>
      </w:r>
      <w:proofErr w:type="spellStart"/>
      <w:r w:rsidRPr="00C4559E">
        <w:rPr>
          <w:rFonts w:eastAsia="Calibri" w:cs="Calibri"/>
          <w:szCs w:val="24"/>
        </w:rPr>
        <w:t>Lügering</w:t>
      </w:r>
      <w:proofErr w:type="spellEnd"/>
      <w:r w:rsidRPr="00C4559E">
        <w:rPr>
          <w:rFonts w:eastAsia="Calibri" w:cs="Calibri"/>
          <w:szCs w:val="24"/>
        </w:rPr>
        <w:t xml:space="preserve"> MD</w:t>
      </w:r>
      <w:r>
        <w:rPr>
          <w:rFonts w:eastAsia="Calibri" w:cs="Calibri"/>
          <w:szCs w:val="24"/>
          <w:vertAlign w:val="superscript"/>
        </w:rPr>
        <w:t>9</w:t>
      </w:r>
      <w:r w:rsidRPr="00C4559E">
        <w:rPr>
          <w:rFonts w:eastAsia="Calibri" w:cs="Calibri"/>
          <w:szCs w:val="24"/>
        </w:rPr>
        <w:t>, Andre Franke PhD</w:t>
      </w:r>
      <w:r w:rsidRPr="00C4559E">
        <w:rPr>
          <w:rFonts w:eastAsia="Calibri" w:cs="Calibri"/>
          <w:szCs w:val="24"/>
          <w:vertAlign w:val="superscript"/>
        </w:rPr>
        <w:t>4</w:t>
      </w:r>
      <w:r w:rsidRPr="00C4559E">
        <w:rPr>
          <w:rFonts w:eastAsia="Calibri" w:cs="Calibri"/>
          <w:szCs w:val="24"/>
        </w:rPr>
        <w:t xml:space="preserve">, Udo </w:t>
      </w:r>
      <w:proofErr w:type="spellStart"/>
      <w:r w:rsidRPr="00C4559E">
        <w:rPr>
          <w:rFonts w:eastAsia="Calibri" w:cs="Calibri"/>
          <w:szCs w:val="24"/>
        </w:rPr>
        <w:t>Dannlowski</w:t>
      </w:r>
      <w:proofErr w:type="spellEnd"/>
      <w:r w:rsidRPr="00C4559E">
        <w:rPr>
          <w:rFonts w:eastAsia="Calibri" w:cs="Calibri"/>
          <w:szCs w:val="24"/>
        </w:rPr>
        <w:t xml:space="preserve"> MD, PhD</w:t>
      </w:r>
      <w:r w:rsidRPr="00C4559E">
        <w:rPr>
          <w:rFonts w:eastAsia="Calibri" w:cs="Calibri"/>
          <w:szCs w:val="24"/>
          <w:vertAlign w:val="superscript"/>
        </w:rPr>
        <w:t>3,1</w:t>
      </w:r>
      <w:r>
        <w:rPr>
          <w:rFonts w:eastAsia="Calibri" w:cs="Calibri"/>
          <w:szCs w:val="24"/>
          <w:vertAlign w:val="superscript"/>
        </w:rPr>
        <w:t>0</w:t>
      </w:r>
      <w:r w:rsidRPr="00C4559E">
        <w:rPr>
          <w:rFonts w:eastAsia="Calibri" w:cs="Calibri"/>
          <w:szCs w:val="24"/>
        </w:rPr>
        <w:t xml:space="preserve">, </w:t>
      </w:r>
      <w:proofErr w:type="spellStart"/>
      <w:r w:rsidRPr="00C4559E">
        <w:rPr>
          <w:rFonts w:eastAsia="Calibri" w:cs="Calibri"/>
          <w:szCs w:val="24"/>
        </w:rPr>
        <w:t>Tilo</w:t>
      </w:r>
      <w:proofErr w:type="spellEnd"/>
      <w:r w:rsidRPr="00C4559E">
        <w:rPr>
          <w:rFonts w:eastAsia="Calibri" w:cs="Calibri"/>
          <w:szCs w:val="24"/>
        </w:rPr>
        <w:t xml:space="preserve"> Kircher MD</w:t>
      </w:r>
      <w:r>
        <w:rPr>
          <w:rFonts w:eastAsia="Calibri" w:cs="Calibri"/>
          <w:szCs w:val="24"/>
          <w:vertAlign w:val="superscript"/>
        </w:rPr>
        <w:t>6</w:t>
      </w:r>
      <w:r w:rsidRPr="00C4559E">
        <w:rPr>
          <w:rFonts w:eastAsia="Calibri" w:cs="Calibri"/>
          <w:szCs w:val="24"/>
          <w:vertAlign w:val="superscript"/>
        </w:rPr>
        <w:t>,8</w:t>
      </w:r>
      <w:r w:rsidRPr="00C4559E">
        <w:rPr>
          <w:rFonts w:eastAsia="Calibri" w:cs="Calibri"/>
          <w:szCs w:val="24"/>
        </w:rPr>
        <w:t>, Dominik Heider PhD</w:t>
      </w:r>
      <w:r w:rsidRPr="00C4559E">
        <w:rPr>
          <w:rFonts w:eastAsia="Calibri" w:cs="Calibri"/>
          <w:szCs w:val="24"/>
          <w:vertAlign w:val="superscript"/>
        </w:rPr>
        <w:t>2</w:t>
      </w:r>
      <w:r w:rsidRPr="00C4559E">
        <w:rPr>
          <w:rFonts w:eastAsia="Calibri" w:cs="Calibri"/>
          <w:szCs w:val="24"/>
        </w:rPr>
        <w:t>, Tim Hahn PhD</w:t>
      </w:r>
      <w:r w:rsidRPr="00C4559E">
        <w:rPr>
          <w:rFonts w:eastAsia="Calibri" w:cs="Calibri"/>
          <w:szCs w:val="24"/>
          <w:vertAlign w:val="superscript"/>
        </w:rPr>
        <w:t>3</w:t>
      </w:r>
      <w:r w:rsidRPr="00C4559E">
        <w:rPr>
          <w:rFonts w:eastAsia="Calibri" w:cs="Calibri"/>
          <w:szCs w:val="24"/>
        </w:rPr>
        <w:t>,</w:t>
      </w:r>
      <w:r w:rsidRPr="00D01301">
        <w:rPr>
          <w:rFonts w:eastAsia="Calibri" w:cs="Calibri"/>
          <w:szCs w:val="24"/>
        </w:rPr>
        <w:t xml:space="preserve"> Janna N. Vrijsen PhD</w:t>
      </w:r>
      <w:r w:rsidRPr="00D01301">
        <w:rPr>
          <w:rFonts w:eastAsia="Calibri" w:cs="Calibri"/>
          <w:szCs w:val="24"/>
          <w:vertAlign w:val="superscript"/>
        </w:rPr>
        <w:t>1,1</w:t>
      </w:r>
      <w:r>
        <w:rPr>
          <w:rFonts w:eastAsia="Calibri" w:cs="Calibri"/>
          <w:szCs w:val="24"/>
          <w:vertAlign w:val="superscript"/>
        </w:rPr>
        <w:t>1</w:t>
      </w:r>
      <w:r w:rsidRPr="00D01301">
        <w:rPr>
          <w:rFonts w:eastAsia="Calibri" w:cs="Calibri"/>
          <w:szCs w:val="24"/>
          <w:vertAlign w:val="superscript"/>
        </w:rPr>
        <w:t>,1</w:t>
      </w:r>
      <w:r>
        <w:rPr>
          <w:rFonts w:eastAsia="Calibri" w:cs="Calibri"/>
          <w:szCs w:val="24"/>
          <w:vertAlign w:val="superscript"/>
        </w:rPr>
        <w:t>2</w:t>
      </w:r>
      <w:r w:rsidRPr="00D01301">
        <w:rPr>
          <w:rFonts w:eastAsia="Calibri" w:cs="Calibri"/>
          <w:szCs w:val="24"/>
        </w:rPr>
        <w:t>, Philip van Eijndhoven MD PhD</w:t>
      </w:r>
      <w:r w:rsidRPr="00D01301">
        <w:rPr>
          <w:rFonts w:eastAsia="Calibri" w:cs="Calibri"/>
          <w:szCs w:val="24"/>
          <w:vertAlign w:val="superscript"/>
        </w:rPr>
        <w:t>1</w:t>
      </w:r>
      <w:r w:rsidRPr="00D01301">
        <w:rPr>
          <w:rFonts w:eastAsia="Calibri" w:cs="Calibri"/>
          <w:szCs w:val="24"/>
        </w:rPr>
        <w:t>, Indira Tendolkar MD PhD</w:t>
      </w:r>
      <w:r w:rsidRPr="00D01301">
        <w:rPr>
          <w:rFonts w:eastAsia="Calibri" w:cs="Calibri"/>
          <w:szCs w:val="24"/>
          <w:vertAlign w:val="superscript"/>
        </w:rPr>
        <w:t>1</w:t>
      </w:r>
      <w:r w:rsidRPr="00D01301">
        <w:rPr>
          <w:rFonts w:eastAsia="Calibri" w:cs="Calibri"/>
          <w:szCs w:val="24"/>
        </w:rPr>
        <w:t xml:space="preserve">, Andreas </w:t>
      </w:r>
      <w:proofErr w:type="spellStart"/>
      <w:r w:rsidRPr="00D01301">
        <w:rPr>
          <w:rFonts w:eastAsia="Calibri" w:cs="Calibri"/>
          <w:szCs w:val="24"/>
        </w:rPr>
        <w:t>Reif</w:t>
      </w:r>
      <w:proofErr w:type="spellEnd"/>
      <w:r w:rsidRPr="00D01301">
        <w:rPr>
          <w:rFonts w:eastAsia="Calibri" w:cs="Calibri"/>
          <w:szCs w:val="24"/>
        </w:rPr>
        <w:t xml:space="preserve"> MD</w:t>
      </w:r>
      <w:r w:rsidRPr="00D01301">
        <w:rPr>
          <w:rFonts w:eastAsia="Calibri" w:cs="Calibri"/>
          <w:szCs w:val="24"/>
          <w:vertAlign w:val="superscript"/>
        </w:rPr>
        <w:t>1</w:t>
      </w:r>
      <w:r>
        <w:rPr>
          <w:rFonts w:eastAsia="Calibri" w:cs="Calibri"/>
          <w:szCs w:val="24"/>
          <w:vertAlign w:val="superscript"/>
        </w:rPr>
        <w:t>3</w:t>
      </w:r>
      <w:r w:rsidRPr="00D01301">
        <w:rPr>
          <w:rFonts w:eastAsia="Calibri" w:cs="Calibri"/>
          <w:szCs w:val="24"/>
          <w:vertAlign w:val="superscript"/>
        </w:rPr>
        <w:t>,1</w:t>
      </w:r>
      <w:r>
        <w:rPr>
          <w:rFonts w:eastAsia="Calibri" w:cs="Calibri"/>
          <w:szCs w:val="24"/>
          <w:vertAlign w:val="superscript"/>
        </w:rPr>
        <w:t>4</w:t>
      </w:r>
      <w:r w:rsidRPr="00D01301">
        <w:rPr>
          <w:rFonts w:eastAsia="Calibri" w:cs="Calibri"/>
          <w:szCs w:val="24"/>
        </w:rPr>
        <w:t>, Sharmili Edwin Thanarajah MD</w:t>
      </w:r>
      <w:r>
        <w:rPr>
          <w:rFonts w:eastAsia="Calibri" w:cs="Calibri"/>
          <w:szCs w:val="24"/>
          <w:vertAlign w:val="superscript"/>
        </w:rPr>
        <w:t>13</w:t>
      </w:r>
      <w:r w:rsidRPr="00D01301">
        <w:rPr>
          <w:rFonts w:eastAsia="Calibri" w:cs="Calibri"/>
          <w:szCs w:val="24"/>
          <w:vertAlign w:val="superscript"/>
        </w:rPr>
        <w:t>,1</w:t>
      </w:r>
      <w:r>
        <w:rPr>
          <w:rFonts w:eastAsia="Calibri" w:cs="Calibri"/>
          <w:szCs w:val="24"/>
          <w:vertAlign w:val="superscript"/>
        </w:rPr>
        <w:t>4</w:t>
      </w:r>
      <w:r w:rsidRPr="00D01301">
        <w:rPr>
          <w:rFonts w:eastAsia="Calibri" w:cs="Calibri"/>
          <w:szCs w:val="24"/>
          <w:vertAlign w:val="superscript"/>
        </w:rPr>
        <w:t>,1</w:t>
      </w:r>
      <w:r>
        <w:rPr>
          <w:rFonts w:eastAsia="Calibri" w:cs="Calibri"/>
          <w:szCs w:val="24"/>
          <w:vertAlign w:val="superscript"/>
        </w:rPr>
        <w:t>5</w:t>
      </w:r>
      <w:r w:rsidRPr="00D01301">
        <w:rPr>
          <w:rFonts w:eastAsia="Calibri" w:cs="Calibri"/>
          <w:szCs w:val="24"/>
        </w:rPr>
        <w:t>, Silke Matura PhD</w:t>
      </w:r>
      <w:r w:rsidRPr="00D01301">
        <w:rPr>
          <w:rFonts w:eastAsia="Calibri" w:cs="Calibri"/>
          <w:szCs w:val="24"/>
          <w:vertAlign w:val="superscript"/>
        </w:rPr>
        <w:t>1</w:t>
      </w:r>
      <w:r>
        <w:rPr>
          <w:rFonts w:eastAsia="Calibri" w:cs="Calibri"/>
          <w:szCs w:val="24"/>
          <w:vertAlign w:val="superscript"/>
        </w:rPr>
        <w:t>3</w:t>
      </w:r>
      <w:r w:rsidRPr="00D01301">
        <w:rPr>
          <w:rFonts w:eastAsia="Calibri" w:cs="Calibri"/>
          <w:szCs w:val="24"/>
        </w:rPr>
        <w:t>, Alejandro Arias Vasquez PhD</w:t>
      </w:r>
      <w:r w:rsidRPr="00D01301">
        <w:rPr>
          <w:rFonts w:eastAsia="Calibri" w:cs="Calibri"/>
          <w:szCs w:val="24"/>
          <w:vertAlign w:val="superscript"/>
        </w:rPr>
        <w:t>1</w:t>
      </w:r>
      <w:r w:rsidRPr="00D01301">
        <w:rPr>
          <w:rFonts w:eastAsia="Calibri" w:cs="Calibri"/>
          <w:szCs w:val="24"/>
        </w:rPr>
        <w:t>#, Mirjam Bloemendaal PhD</w:t>
      </w:r>
      <w:r w:rsidRPr="00D01301">
        <w:rPr>
          <w:rFonts w:eastAsia="Calibri" w:cs="Calibri"/>
          <w:szCs w:val="24"/>
          <w:vertAlign w:val="superscript"/>
        </w:rPr>
        <w:t>1</w:t>
      </w:r>
      <w:r>
        <w:rPr>
          <w:rFonts w:eastAsia="Calibri" w:cs="Calibri"/>
          <w:szCs w:val="24"/>
          <w:vertAlign w:val="superscript"/>
        </w:rPr>
        <w:t>3,15</w:t>
      </w:r>
      <w:r w:rsidRPr="00D01301">
        <w:rPr>
          <w:rFonts w:eastAsia="Calibri" w:cs="Calibri"/>
          <w:szCs w:val="24"/>
        </w:rPr>
        <w:t>#^</w:t>
      </w:r>
    </w:p>
    <w:p w14:paraId="43F662BB" w14:textId="58900C08" w:rsidR="00562F48" w:rsidRPr="008D3389" w:rsidRDefault="00562F48" w:rsidP="00E22350">
      <w:pPr>
        <w:pStyle w:val="Geenafstand"/>
        <w:rPr>
          <w:rFonts w:ascii="Calibri" w:hAnsi="Calibri" w:cs="Calibri"/>
          <w:b/>
          <w:bCs/>
          <w:sz w:val="24"/>
          <w:szCs w:val="24"/>
          <w:u w:val="single"/>
        </w:rPr>
      </w:pPr>
      <w:r w:rsidRPr="00CB5902">
        <w:rPr>
          <w:rFonts w:ascii="Calibri" w:hAnsi="Calibri" w:cs="Calibri"/>
          <w:b/>
          <w:bCs/>
          <w:sz w:val="24"/>
          <w:szCs w:val="24"/>
          <w:u w:val="single"/>
        </w:rPr>
        <w:t>Supplemental Online Content</w:t>
      </w:r>
    </w:p>
    <w:sdt>
      <w:sdtPr>
        <w:rPr>
          <w:rFonts w:ascii="Calibri" w:eastAsia="Arial" w:hAnsi="Calibri" w:cs="Arial"/>
          <w:color w:val="auto"/>
          <w:sz w:val="24"/>
          <w:szCs w:val="22"/>
          <w:lang w:val="en"/>
        </w:rPr>
        <w:id w:val="1543793392"/>
        <w:docPartObj>
          <w:docPartGallery w:val="Table of Contents"/>
          <w:docPartUnique/>
        </w:docPartObj>
      </w:sdtPr>
      <w:sdtEndPr>
        <w:rPr>
          <w:b/>
          <w:bCs/>
        </w:rPr>
      </w:sdtEndPr>
      <w:sdtContent>
        <w:p w14:paraId="1A831DE8" w14:textId="5FFCDB15" w:rsidR="00E22350" w:rsidRPr="00575946" w:rsidRDefault="00A318DF">
          <w:pPr>
            <w:pStyle w:val="Kopvaninhoudsopgave"/>
            <w:rPr>
              <w:b/>
              <w:bCs/>
              <w:color w:val="auto"/>
              <w:sz w:val="24"/>
              <w:szCs w:val="24"/>
              <w:lang w:val="en-US"/>
            </w:rPr>
          </w:pPr>
          <w:r w:rsidRPr="00575946">
            <w:rPr>
              <w:b/>
              <w:bCs/>
              <w:color w:val="auto"/>
              <w:sz w:val="24"/>
              <w:szCs w:val="24"/>
              <w:lang w:val="en-US"/>
            </w:rPr>
            <w:t xml:space="preserve">Table of contents </w:t>
          </w:r>
        </w:p>
        <w:p w14:paraId="1EB361EC" w14:textId="68060269" w:rsidR="008D3389" w:rsidRDefault="00E22350">
          <w:pPr>
            <w:pStyle w:val="Inhopg2"/>
            <w:rPr>
              <w:rFonts w:asciiTheme="minorHAnsi" w:eastAsiaTheme="minorEastAsia" w:hAnsiTheme="minorHAnsi" w:cstheme="minorBidi"/>
              <w:b w:val="0"/>
              <w:bCs w:val="0"/>
              <w:kern w:val="2"/>
              <w:szCs w:val="24"/>
              <w:lang w:val="nl-NL"/>
              <w14:ligatures w14:val="standardContextual"/>
            </w:rPr>
          </w:pPr>
          <w:r>
            <w:fldChar w:fldCharType="begin"/>
          </w:r>
          <w:r>
            <w:instrText xml:space="preserve"> TOC \o "1-3" \h \z \u </w:instrText>
          </w:r>
          <w:r>
            <w:fldChar w:fldCharType="separate"/>
          </w:r>
          <w:hyperlink w:anchor="_Toc214877549" w:history="1">
            <w:r w:rsidR="008D3389" w:rsidRPr="007079D7">
              <w:rPr>
                <w:rStyle w:val="Hyperlink"/>
              </w:rPr>
              <w:t>1. Supplementary Methods</w:t>
            </w:r>
            <w:r w:rsidR="008D3389">
              <w:rPr>
                <w:webHidden/>
              </w:rPr>
              <w:tab/>
            </w:r>
            <w:r w:rsidR="008D3389">
              <w:rPr>
                <w:webHidden/>
              </w:rPr>
              <w:fldChar w:fldCharType="begin"/>
            </w:r>
            <w:r w:rsidR="008D3389">
              <w:rPr>
                <w:webHidden/>
              </w:rPr>
              <w:instrText xml:space="preserve"> PAGEREF _Toc214877549 \h </w:instrText>
            </w:r>
            <w:r w:rsidR="008D3389">
              <w:rPr>
                <w:webHidden/>
              </w:rPr>
            </w:r>
            <w:r w:rsidR="008D3389">
              <w:rPr>
                <w:webHidden/>
              </w:rPr>
              <w:fldChar w:fldCharType="separate"/>
            </w:r>
            <w:r w:rsidR="008D3389">
              <w:rPr>
                <w:webHidden/>
              </w:rPr>
              <w:t>2</w:t>
            </w:r>
            <w:r w:rsidR="008D3389">
              <w:rPr>
                <w:webHidden/>
              </w:rPr>
              <w:fldChar w:fldCharType="end"/>
            </w:r>
          </w:hyperlink>
        </w:p>
        <w:p w14:paraId="62C0685C" w14:textId="6A11D307"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50" w:history="1">
            <w:r w:rsidRPr="007079D7">
              <w:rPr>
                <w:rStyle w:val="Hyperlink"/>
                <w:noProof/>
                <w:lang w:val="en-US"/>
              </w:rPr>
              <w:t>1.1. Study populations</w:t>
            </w:r>
            <w:r>
              <w:rPr>
                <w:noProof/>
                <w:webHidden/>
              </w:rPr>
              <w:tab/>
            </w:r>
            <w:r>
              <w:rPr>
                <w:noProof/>
                <w:webHidden/>
              </w:rPr>
              <w:fldChar w:fldCharType="begin"/>
            </w:r>
            <w:r>
              <w:rPr>
                <w:noProof/>
                <w:webHidden/>
              </w:rPr>
              <w:instrText xml:space="preserve"> PAGEREF _Toc214877550 \h </w:instrText>
            </w:r>
            <w:r>
              <w:rPr>
                <w:noProof/>
                <w:webHidden/>
              </w:rPr>
            </w:r>
            <w:r>
              <w:rPr>
                <w:noProof/>
                <w:webHidden/>
              </w:rPr>
              <w:fldChar w:fldCharType="separate"/>
            </w:r>
            <w:r>
              <w:rPr>
                <w:noProof/>
                <w:webHidden/>
              </w:rPr>
              <w:t>2</w:t>
            </w:r>
            <w:r>
              <w:rPr>
                <w:noProof/>
                <w:webHidden/>
              </w:rPr>
              <w:fldChar w:fldCharType="end"/>
            </w:r>
          </w:hyperlink>
        </w:p>
        <w:p w14:paraId="0A707228" w14:textId="13DE962F"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51" w:history="1">
            <w:r w:rsidRPr="007079D7">
              <w:rPr>
                <w:rStyle w:val="Hyperlink"/>
                <w:rFonts w:eastAsia="Calibri"/>
                <w:noProof/>
              </w:rPr>
              <w:t>1.2. ATC codes classification</w:t>
            </w:r>
            <w:r>
              <w:rPr>
                <w:noProof/>
                <w:webHidden/>
              </w:rPr>
              <w:tab/>
            </w:r>
            <w:r>
              <w:rPr>
                <w:noProof/>
                <w:webHidden/>
              </w:rPr>
              <w:fldChar w:fldCharType="begin"/>
            </w:r>
            <w:r>
              <w:rPr>
                <w:noProof/>
                <w:webHidden/>
              </w:rPr>
              <w:instrText xml:space="preserve"> PAGEREF _Toc214877551 \h </w:instrText>
            </w:r>
            <w:r>
              <w:rPr>
                <w:noProof/>
                <w:webHidden/>
              </w:rPr>
            </w:r>
            <w:r>
              <w:rPr>
                <w:noProof/>
                <w:webHidden/>
              </w:rPr>
              <w:fldChar w:fldCharType="separate"/>
            </w:r>
            <w:r>
              <w:rPr>
                <w:noProof/>
                <w:webHidden/>
              </w:rPr>
              <w:t>4</w:t>
            </w:r>
            <w:r>
              <w:rPr>
                <w:noProof/>
                <w:webHidden/>
              </w:rPr>
              <w:fldChar w:fldCharType="end"/>
            </w:r>
          </w:hyperlink>
        </w:p>
        <w:p w14:paraId="16D82F1E" w14:textId="64C27657"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52" w:history="1">
            <w:r w:rsidRPr="007079D7">
              <w:rPr>
                <w:rStyle w:val="Hyperlink"/>
                <w:rFonts w:eastAsia="Calibri"/>
                <w:noProof/>
              </w:rPr>
              <w:t>1.3. Microbiota data acquisition and preprocessing</w:t>
            </w:r>
            <w:r>
              <w:rPr>
                <w:noProof/>
                <w:webHidden/>
              </w:rPr>
              <w:tab/>
            </w:r>
            <w:r>
              <w:rPr>
                <w:noProof/>
                <w:webHidden/>
              </w:rPr>
              <w:fldChar w:fldCharType="begin"/>
            </w:r>
            <w:r>
              <w:rPr>
                <w:noProof/>
                <w:webHidden/>
              </w:rPr>
              <w:instrText xml:space="preserve"> PAGEREF _Toc214877552 \h </w:instrText>
            </w:r>
            <w:r>
              <w:rPr>
                <w:noProof/>
                <w:webHidden/>
              </w:rPr>
            </w:r>
            <w:r>
              <w:rPr>
                <w:noProof/>
                <w:webHidden/>
              </w:rPr>
              <w:fldChar w:fldCharType="separate"/>
            </w:r>
            <w:r>
              <w:rPr>
                <w:noProof/>
                <w:webHidden/>
              </w:rPr>
              <w:t>6</w:t>
            </w:r>
            <w:r>
              <w:rPr>
                <w:noProof/>
                <w:webHidden/>
              </w:rPr>
              <w:fldChar w:fldCharType="end"/>
            </w:r>
          </w:hyperlink>
        </w:p>
        <w:p w14:paraId="7E94496B" w14:textId="57E44916"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53" w:history="1">
            <w:r w:rsidRPr="007079D7">
              <w:rPr>
                <w:rStyle w:val="Hyperlink"/>
                <w:noProof/>
              </w:rPr>
              <w:t>1.4. Description of covariates</w:t>
            </w:r>
            <w:r>
              <w:rPr>
                <w:noProof/>
                <w:webHidden/>
              </w:rPr>
              <w:tab/>
            </w:r>
            <w:r>
              <w:rPr>
                <w:noProof/>
                <w:webHidden/>
              </w:rPr>
              <w:fldChar w:fldCharType="begin"/>
            </w:r>
            <w:r>
              <w:rPr>
                <w:noProof/>
                <w:webHidden/>
              </w:rPr>
              <w:instrText xml:space="preserve"> PAGEREF _Toc214877553 \h </w:instrText>
            </w:r>
            <w:r>
              <w:rPr>
                <w:noProof/>
                <w:webHidden/>
              </w:rPr>
            </w:r>
            <w:r>
              <w:rPr>
                <w:noProof/>
                <w:webHidden/>
              </w:rPr>
              <w:fldChar w:fldCharType="separate"/>
            </w:r>
            <w:r>
              <w:rPr>
                <w:noProof/>
                <w:webHidden/>
              </w:rPr>
              <w:t>7</w:t>
            </w:r>
            <w:r>
              <w:rPr>
                <w:noProof/>
                <w:webHidden/>
              </w:rPr>
              <w:fldChar w:fldCharType="end"/>
            </w:r>
          </w:hyperlink>
        </w:p>
        <w:p w14:paraId="19D17E91" w14:textId="198AB8F4"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54" w:history="1">
            <w:r w:rsidRPr="007079D7">
              <w:rPr>
                <w:rStyle w:val="Hyperlink"/>
                <w:rFonts w:eastAsia="Calibri"/>
                <w:noProof/>
                <w:lang w:val="en-US"/>
              </w:rPr>
              <w:t xml:space="preserve">eFigure 2. </w:t>
            </w:r>
            <w:r w:rsidRPr="007079D7">
              <w:rPr>
                <w:rStyle w:val="Hyperlink"/>
                <w:rFonts w:eastAsia="Calibri"/>
                <w:bCs/>
                <w:iCs/>
                <w:noProof/>
                <w:lang w:val="en-US"/>
              </w:rPr>
              <w:t>Sequencing batch effect in the MACS cohort</w:t>
            </w:r>
            <w:r>
              <w:rPr>
                <w:noProof/>
                <w:webHidden/>
              </w:rPr>
              <w:tab/>
            </w:r>
            <w:r>
              <w:rPr>
                <w:noProof/>
                <w:webHidden/>
              </w:rPr>
              <w:fldChar w:fldCharType="begin"/>
            </w:r>
            <w:r>
              <w:rPr>
                <w:noProof/>
                <w:webHidden/>
              </w:rPr>
              <w:instrText xml:space="preserve"> PAGEREF _Toc214877554 \h </w:instrText>
            </w:r>
            <w:r>
              <w:rPr>
                <w:noProof/>
                <w:webHidden/>
              </w:rPr>
            </w:r>
            <w:r>
              <w:rPr>
                <w:noProof/>
                <w:webHidden/>
              </w:rPr>
              <w:fldChar w:fldCharType="separate"/>
            </w:r>
            <w:r>
              <w:rPr>
                <w:noProof/>
                <w:webHidden/>
              </w:rPr>
              <w:t>7</w:t>
            </w:r>
            <w:r>
              <w:rPr>
                <w:noProof/>
                <w:webHidden/>
              </w:rPr>
              <w:fldChar w:fldCharType="end"/>
            </w:r>
          </w:hyperlink>
        </w:p>
        <w:p w14:paraId="14F13B59" w14:textId="62AE0D6E"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55" w:history="1">
            <w:r w:rsidRPr="007079D7">
              <w:rPr>
                <w:rStyle w:val="Hyperlink"/>
                <w:rFonts w:eastAsia="Calibri"/>
                <w:noProof/>
              </w:rPr>
              <w:t>1.5. Sensitivity analyses</w:t>
            </w:r>
            <w:r>
              <w:rPr>
                <w:noProof/>
                <w:webHidden/>
              </w:rPr>
              <w:tab/>
            </w:r>
            <w:r>
              <w:rPr>
                <w:noProof/>
                <w:webHidden/>
              </w:rPr>
              <w:fldChar w:fldCharType="begin"/>
            </w:r>
            <w:r>
              <w:rPr>
                <w:noProof/>
                <w:webHidden/>
              </w:rPr>
              <w:instrText xml:space="preserve"> PAGEREF _Toc214877555 \h </w:instrText>
            </w:r>
            <w:r>
              <w:rPr>
                <w:noProof/>
                <w:webHidden/>
              </w:rPr>
            </w:r>
            <w:r>
              <w:rPr>
                <w:noProof/>
                <w:webHidden/>
              </w:rPr>
              <w:fldChar w:fldCharType="separate"/>
            </w:r>
            <w:r>
              <w:rPr>
                <w:noProof/>
                <w:webHidden/>
              </w:rPr>
              <w:t>10</w:t>
            </w:r>
            <w:r>
              <w:rPr>
                <w:noProof/>
                <w:webHidden/>
              </w:rPr>
              <w:fldChar w:fldCharType="end"/>
            </w:r>
          </w:hyperlink>
        </w:p>
        <w:p w14:paraId="057E816E" w14:textId="1E037A3E" w:rsidR="008D3389" w:rsidRDefault="008D3389">
          <w:pPr>
            <w:pStyle w:val="Inhopg2"/>
            <w:rPr>
              <w:rFonts w:asciiTheme="minorHAnsi" w:eastAsiaTheme="minorEastAsia" w:hAnsiTheme="minorHAnsi" w:cstheme="minorBidi"/>
              <w:b w:val="0"/>
              <w:bCs w:val="0"/>
              <w:kern w:val="2"/>
              <w:szCs w:val="24"/>
              <w:lang w:val="nl-NL"/>
              <w14:ligatures w14:val="standardContextual"/>
            </w:rPr>
          </w:pPr>
          <w:hyperlink w:anchor="_Toc214877556" w:history="1">
            <w:r w:rsidRPr="007079D7">
              <w:rPr>
                <w:rStyle w:val="Hyperlink"/>
              </w:rPr>
              <w:t>2. Supplementary Figures</w:t>
            </w:r>
            <w:r>
              <w:rPr>
                <w:webHidden/>
              </w:rPr>
              <w:tab/>
            </w:r>
            <w:r>
              <w:rPr>
                <w:webHidden/>
              </w:rPr>
              <w:fldChar w:fldCharType="begin"/>
            </w:r>
            <w:r>
              <w:rPr>
                <w:webHidden/>
              </w:rPr>
              <w:instrText xml:space="preserve"> PAGEREF _Toc214877556 \h </w:instrText>
            </w:r>
            <w:r>
              <w:rPr>
                <w:webHidden/>
              </w:rPr>
            </w:r>
            <w:r>
              <w:rPr>
                <w:webHidden/>
              </w:rPr>
              <w:fldChar w:fldCharType="separate"/>
            </w:r>
            <w:r>
              <w:rPr>
                <w:webHidden/>
              </w:rPr>
              <w:t>11</w:t>
            </w:r>
            <w:r>
              <w:rPr>
                <w:webHidden/>
              </w:rPr>
              <w:fldChar w:fldCharType="end"/>
            </w:r>
          </w:hyperlink>
        </w:p>
        <w:p w14:paraId="6137FFFF" w14:textId="3B026316"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57" w:history="1">
            <w:r w:rsidRPr="007079D7">
              <w:rPr>
                <w:rStyle w:val="Hyperlink"/>
                <w:bCs/>
                <w:iCs/>
                <w:noProof/>
                <w:lang w:val="en-US"/>
              </w:rPr>
              <w:t>eFigure 3.</w:t>
            </w:r>
            <w:r w:rsidRPr="007079D7">
              <w:rPr>
                <w:rStyle w:val="Hyperlink"/>
                <w:rFonts w:eastAsia="Calibri" w:cs="Calibri"/>
                <w:bCs/>
                <w:iCs/>
                <w:noProof/>
                <w:lang w:val="en-US"/>
              </w:rPr>
              <w:t xml:space="preserve"> </w:t>
            </w:r>
            <w:r w:rsidRPr="007079D7">
              <w:rPr>
                <w:rStyle w:val="Hyperlink"/>
                <w:rFonts w:eastAsia="Calibri" w:cs="Calibri"/>
                <w:bCs/>
                <w:noProof/>
                <w:lang w:val="en-US"/>
              </w:rPr>
              <w:t>Distribution of treatment psychotropic medications</w:t>
            </w:r>
            <w:r>
              <w:rPr>
                <w:noProof/>
                <w:webHidden/>
              </w:rPr>
              <w:tab/>
            </w:r>
            <w:r>
              <w:rPr>
                <w:noProof/>
                <w:webHidden/>
              </w:rPr>
              <w:fldChar w:fldCharType="begin"/>
            </w:r>
            <w:r>
              <w:rPr>
                <w:noProof/>
                <w:webHidden/>
              </w:rPr>
              <w:instrText xml:space="preserve"> PAGEREF _Toc214877557 \h </w:instrText>
            </w:r>
            <w:r>
              <w:rPr>
                <w:noProof/>
                <w:webHidden/>
              </w:rPr>
            </w:r>
            <w:r>
              <w:rPr>
                <w:noProof/>
                <w:webHidden/>
              </w:rPr>
              <w:fldChar w:fldCharType="separate"/>
            </w:r>
            <w:r>
              <w:rPr>
                <w:noProof/>
                <w:webHidden/>
              </w:rPr>
              <w:t>11</w:t>
            </w:r>
            <w:r>
              <w:rPr>
                <w:noProof/>
                <w:webHidden/>
              </w:rPr>
              <w:fldChar w:fldCharType="end"/>
            </w:r>
          </w:hyperlink>
        </w:p>
        <w:p w14:paraId="3C64CBD4" w14:textId="724A1662"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58" w:history="1">
            <w:r w:rsidRPr="007079D7">
              <w:rPr>
                <w:rStyle w:val="Hyperlink"/>
                <w:bCs/>
                <w:iCs/>
                <w:noProof/>
                <w:lang w:val="en-US"/>
              </w:rPr>
              <w:t>eFigure 4</w:t>
            </w:r>
            <w:r w:rsidRPr="007079D7">
              <w:rPr>
                <w:rStyle w:val="Hyperlink"/>
                <w:noProof/>
                <w:lang w:val="en-US"/>
              </w:rPr>
              <w:t>.</w:t>
            </w:r>
            <w:r w:rsidRPr="007079D7">
              <w:rPr>
                <w:rStyle w:val="Hyperlink"/>
                <w:rFonts w:eastAsia="Calibri"/>
                <w:noProof/>
                <w:lang w:val="en-US"/>
              </w:rPr>
              <w:t xml:space="preserve"> </w:t>
            </w:r>
            <w:r w:rsidRPr="007079D7">
              <w:rPr>
                <w:rStyle w:val="Hyperlink"/>
                <w:rFonts w:eastAsia="Calibri"/>
                <w:bCs/>
                <w:noProof/>
                <w:lang w:val="en-US"/>
              </w:rPr>
              <w:t>Abundance distribution MDD-associated genera in the MACS cohort</w:t>
            </w:r>
            <w:r>
              <w:rPr>
                <w:noProof/>
                <w:webHidden/>
              </w:rPr>
              <w:tab/>
            </w:r>
            <w:r>
              <w:rPr>
                <w:noProof/>
                <w:webHidden/>
              </w:rPr>
              <w:fldChar w:fldCharType="begin"/>
            </w:r>
            <w:r>
              <w:rPr>
                <w:noProof/>
                <w:webHidden/>
              </w:rPr>
              <w:instrText xml:space="preserve"> PAGEREF _Toc214877558 \h </w:instrText>
            </w:r>
            <w:r>
              <w:rPr>
                <w:noProof/>
                <w:webHidden/>
              </w:rPr>
            </w:r>
            <w:r>
              <w:rPr>
                <w:noProof/>
                <w:webHidden/>
              </w:rPr>
              <w:fldChar w:fldCharType="separate"/>
            </w:r>
            <w:r>
              <w:rPr>
                <w:noProof/>
                <w:webHidden/>
              </w:rPr>
              <w:t>12</w:t>
            </w:r>
            <w:r>
              <w:rPr>
                <w:noProof/>
                <w:webHidden/>
              </w:rPr>
              <w:fldChar w:fldCharType="end"/>
            </w:r>
          </w:hyperlink>
        </w:p>
        <w:p w14:paraId="01EC56F7" w14:textId="067186B9"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59" w:history="1">
            <w:r w:rsidRPr="007079D7">
              <w:rPr>
                <w:rStyle w:val="Hyperlink"/>
                <w:rFonts w:eastAsia="Calibri"/>
                <w:noProof/>
                <w:lang w:val="en-US"/>
              </w:rPr>
              <w:t xml:space="preserve">eFigure 5. </w:t>
            </w:r>
            <w:r w:rsidRPr="007079D7">
              <w:rPr>
                <w:rStyle w:val="Hyperlink"/>
                <w:rFonts w:eastAsia="Calibri" w:cs="Calibri"/>
                <w:bCs/>
                <w:noProof/>
                <w:lang w:val="en-US"/>
              </w:rPr>
              <w:t>Abundance distribution of MDD-associated genera in the MIND-Set cohort</w:t>
            </w:r>
            <w:r>
              <w:rPr>
                <w:noProof/>
                <w:webHidden/>
              </w:rPr>
              <w:tab/>
            </w:r>
            <w:r>
              <w:rPr>
                <w:noProof/>
                <w:webHidden/>
              </w:rPr>
              <w:fldChar w:fldCharType="begin"/>
            </w:r>
            <w:r>
              <w:rPr>
                <w:noProof/>
                <w:webHidden/>
              </w:rPr>
              <w:instrText xml:space="preserve"> PAGEREF _Toc214877559 \h </w:instrText>
            </w:r>
            <w:r>
              <w:rPr>
                <w:noProof/>
                <w:webHidden/>
              </w:rPr>
            </w:r>
            <w:r>
              <w:rPr>
                <w:noProof/>
                <w:webHidden/>
              </w:rPr>
              <w:fldChar w:fldCharType="separate"/>
            </w:r>
            <w:r>
              <w:rPr>
                <w:noProof/>
                <w:webHidden/>
              </w:rPr>
              <w:t>14</w:t>
            </w:r>
            <w:r>
              <w:rPr>
                <w:noProof/>
                <w:webHidden/>
              </w:rPr>
              <w:fldChar w:fldCharType="end"/>
            </w:r>
          </w:hyperlink>
        </w:p>
        <w:p w14:paraId="62D0F820" w14:textId="45097910" w:rsidR="008D3389" w:rsidRDefault="008D3389">
          <w:pPr>
            <w:pStyle w:val="Inhopg3"/>
            <w:tabs>
              <w:tab w:val="right" w:leader="dot" w:pos="9736"/>
            </w:tabs>
            <w:rPr>
              <w:rFonts w:asciiTheme="minorHAnsi" w:eastAsiaTheme="minorEastAsia" w:hAnsiTheme="minorHAnsi" w:cstheme="minorBidi"/>
              <w:noProof/>
              <w:kern w:val="2"/>
              <w:szCs w:val="24"/>
              <w:lang w:val="nl-NL"/>
              <w14:ligatures w14:val="standardContextual"/>
            </w:rPr>
          </w:pPr>
          <w:hyperlink w:anchor="_Toc214877560" w:history="1">
            <w:r w:rsidRPr="007079D7">
              <w:rPr>
                <w:rStyle w:val="Hyperlink"/>
                <w:rFonts w:eastAsia="Calibri"/>
                <w:noProof/>
                <w:lang w:val="en-US"/>
              </w:rPr>
              <w:t xml:space="preserve">eFigure 6. </w:t>
            </w:r>
            <w:r w:rsidRPr="007079D7">
              <w:rPr>
                <w:rStyle w:val="Hyperlink"/>
                <w:rFonts w:eastAsia="Calibri" w:cs="Calibri"/>
                <w:bCs/>
                <w:noProof/>
                <w:lang w:val="en-US"/>
              </w:rPr>
              <w:t>Associations between genus abundance and MDD and SSRI/SNRI treatment</w:t>
            </w:r>
            <w:r>
              <w:rPr>
                <w:noProof/>
                <w:webHidden/>
              </w:rPr>
              <w:tab/>
            </w:r>
            <w:r>
              <w:rPr>
                <w:noProof/>
                <w:webHidden/>
              </w:rPr>
              <w:fldChar w:fldCharType="begin"/>
            </w:r>
            <w:r>
              <w:rPr>
                <w:noProof/>
                <w:webHidden/>
              </w:rPr>
              <w:instrText xml:space="preserve"> PAGEREF _Toc214877560 \h </w:instrText>
            </w:r>
            <w:r>
              <w:rPr>
                <w:noProof/>
                <w:webHidden/>
              </w:rPr>
            </w:r>
            <w:r>
              <w:rPr>
                <w:noProof/>
                <w:webHidden/>
              </w:rPr>
              <w:fldChar w:fldCharType="separate"/>
            </w:r>
            <w:r>
              <w:rPr>
                <w:noProof/>
                <w:webHidden/>
              </w:rPr>
              <w:t>16</w:t>
            </w:r>
            <w:r>
              <w:rPr>
                <w:noProof/>
                <w:webHidden/>
              </w:rPr>
              <w:fldChar w:fldCharType="end"/>
            </w:r>
          </w:hyperlink>
        </w:p>
        <w:p w14:paraId="05CBDEE3" w14:textId="3F6F26DB" w:rsidR="008D3389" w:rsidRDefault="008D3389">
          <w:pPr>
            <w:pStyle w:val="Inhopg2"/>
            <w:rPr>
              <w:rFonts w:asciiTheme="minorHAnsi" w:eastAsiaTheme="minorEastAsia" w:hAnsiTheme="minorHAnsi" w:cstheme="minorBidi"/>
              <w:b w:val="0"/>
              <w:bCs w:val="0"/>
              <w:kern w:val="2"/>
              <w:szCs w:val="24"/>
              <w:lang w:val="nl-NL"/>
              <w14:ligatures w14:val="standardContextual"/>
            </w:rPr>
          </w:pPr>
          <w:hyperlink w:anchor="_Toc214877561" w:history="1">
            <w:r w:rsidRPr="007079D7">
              <w:rPr>
                <w:rStyle w:val="Hyperlink"/>
              </w:rPr>
              <w:t>References</w:t>
            </w:r>
            <w:r>
              <w:rPr>
                <w:webHidden/>
              </w:rPr>
              <w:tab/>
            </w:r>
            <w:r>
              <w:rPr>
                <w:webHidden/>
              </w:rPr>
              <w:fldChar w:fldCharType="begin"/>
            </w:r>
            <w:r>
              <w:rPr>
                <w:webHidden/>
              </w:rPr>
              <w:instrText xml:space="preserve"> PAGEREF _Toc214877561 \h </w:instrText>
            </w:r>
            <w:r>
              <w:rPr>
                <w:webHidden/>
              </w:rPr>
            </w:r>
            <w:r>
              <w:rPr>
                <w:webHidden/>
              </w:rPr>
              <w:fldChar w:fldCharType="separate"/>
            </w:r>
            <w:r>
              <w:rPr>
                <w:webHidden/>
              </w:rPr>
              <w:t>17</w:t>
            </w:r>
            <w:r>
              <w:rPr>
                <w:webHidden/>
              </w:rPr>
              <w:fldChar w:fldCharType="end"/>
            </w:r>
          </w:hyperlink>
        </w:p>
        <w:p w14:paraId="0D3B71DD" w14:textId="79326D39" w:rsidR="0034697F" w:rsidRDefault="00E22350" w:rsidP="0034697F">
          <w:pPr>
            <w:rPr>
              <w:b/>
              <w:bCs/>
            </w:rPr>
          </w:pPr>
          <w:r>
            <w:rPr>
              <w:b/>
              <w:bCs/>
            </w:rPr>
            <w:fldChar w:fldCharType="end"/>
          </w:r>
        </w:p>
      </w:sdtContent>
    </w:sdt>
    <w:p w14:paraId="20330227" w14:textId="09C6085C" w:rsidR="00785A82" w:rsidRPr="0034697F" w:rsidRDefault="00785A82" w:rsidP="0034697F">
      <w:pPr>
        <w:rPr>
          <w:b/>
          <w:bCs/>
        </w:rPr>
      </w:pPr>
      <w:r w:rsidRPr="00483771">
        <w:rPr>
          <w:rFonts w:cs="Calibri"/>
          <w:b/>
          <w:bCs/>
          <w:sz w:val="44"/>
          <w:szCs w:val="44"/>
          <w:lang w:val="en-US"/>
        </w:rPr>
        <w:br w:type="page"/>
      </w:r>
    </w:p>
    <w:p w14:paraId="556B1802" w14:textId="15E3B9A7" w:rsidR="00CB5902" w:rsidRDefault="00F04347" w:rsidP="00F04347">
      <w:pPr>
        <w:pStyle w:val="Kop2"/>
        <w:rPr>
          <w:rFonts w:eastAsia="Calibri"/>
          <w:lang w:val="en-US"/>
        </w:rPr>
      </w:pPr>
      <w:bookmarkStart w:id="0" w:name="_ht1hhkkjzzne" w:colFirst="0" w:colLast="0"/>
      <w:bookmarkStart w:id="1" w:name="_omevlb78s5ix" w:colFirst="0" w:colLast="0"/>
      <w:bookmarkStart w:id="2" w:name="_Toc214877549"/>
      <w:bookmarkEnd w:id="0"/>
      <w:bookmarkEnd w:id="1"/>
      <w:r w:rsidRPr="00483771">
        <w:rPr>
          <w:rFonts w:eastAsia="Calibri"/>
          <w:lang w:val="en-US"/>
        </w:rPr>
        <w:lastRenderedPageBreak/>
        <w:t xml:space="preserve">1. </w:t>
      </w:r>
      <w:r w:rsidR="00CB5902">
        <w:rPr>
          <w:rFonts w:eastAsia="Calibri"/>
          <w:lang w:val="en-US"/>
        </w:rPr>
        <w:t>Supplementary Methods</w:t>
      </w:r>
      <w:bookmarkEnd w:id="2"/>
    </w:p>
    <w:p w14:paraId="02029F9C" w14:textId="573BDB2C" w:rsidR="00F04347" w:rsidRPr="00CB5902" w:rsidRDefault="00CB5902" w:rsidP="00CB5902">
      <w:pPr>
        <w:pStyle w:val="Kop3"/>
        <w:rPr>
          <w:lang w:val="en-US"/>
        </w:rPr>
      </w:pPr>
      <w:bookmarkStart w:id="3" w:name="_Toc214877550"/>
      <w:r w:rsidRPr="00CB5902">
        <w:rPr>
          <w:lang w:val="en-US"/>
        </w:rPr>
        <w:t xml:space="preserve">1.1. </w:t>
      </w:r>
      <w:r w:rsidR="00F04347" w:rsidRPr="00CB5902">
        <w:rPr>
          <w:lang w:val="en-US"/>
        </w:rPr>
        <w:t>Study populations</w:t>
      </w:r>
      <w:bookmarkEnd w:id="3"/>
    </w:p>
    <w:p w14:paraId="39B1E649" w14:textId="03D9A8B0" w:rsidR="00F04347" w:rsidRPr="00CB5902" w:rsidRDefault="00E22350" w:rsidP="00CB5902">
      <w:pPr>
        <w:rPr>
          <w:b/>
          <w:u w:val="single"/>
          <w:lang w:val="en-US"/>
        </w:rPr>
      </w:pPr>
      <w:bookmarkStart w:id="4" w:name="_8aqa9gakmunf" w:colFirst="0" w:colLast="0"/>
      <w:bookmarkEnd w:id="4"/>
      <w:r w:rsidRPr="00CB5902">
        <w:rPr>
          <w:u w:val="single"/>
          <w:lang w:val="en-US"/>
        </w:rPr>
        <w:t>MACS</w:t>
      </w:r>
    </w:p>
    <w:p w14:paraId="78DC445A" w14:textId="0AD8497E" w:rsidR="00F04347" w:rsidRPr="00483771" w:rsidRDefault="00F04347" w:rsidP="00F04347">
      <w:pPr>
        <w:spacing w:before="240" w:after="240"/>
        <w:jc w:val="both"/>
        <w:rPr>
          <w:rFonts w:eastAsia="Calibri" w:cs="Calibri"/>
          <w:szCs w:val="24"/>
          <w:lang w:val="en-US"/>
        </w:rPr>
      </w:pPr>
      <w:r w:rsidRPr="00483771">
        <w:rPr>
          <w:rFonts w:eastAsia="Calibri" w:cs="Calibri"/>
          <w:szCs w:val="24"/>
          <w:lang w:val="en-US"/>
        </w:rPr>
        <w:t>The Marburg-Münster Affective Cohort Study (MACS) is an observational, prospective, case-control study, conducted at the Department of Psychiatry and Psychotherapy at the University of Münster and University of Marburg, Germany. The study, described previously</w:t>
      </w:r>
      <w:r w:rsidR="00666E6F">
        <w:rPr>
          <w:rFonts w:eastAsia="Calibri" w:cs="Calibri"/>
          <w:szCs w:val="24"/>
          <w:lang w:val="en-US"/>
        </w:rPr>
        <w:fldChar w:fldCharType="begin"/>
      </w:r>
      <w:r w:rsidR="00846464">
        <w:rPr>
          <w:rFonts w:eastAsia="Calibri" w:cs="Calibri"/>
          <w:szCs w:val="24"/>
          <w:lang w:val="en-US"/>
        </w:rPr>
        <w:instrText xml:space="preserve"> ADDIN ZOTERO_ITEM CSL_CITATION {"citationID":"tzm5CYt9","properties":{"formattedCitation":"\\super 1,2\\nosupersub{}","plainCitation":"1,2","noteIndex":0},"citationItems":[{"id":1077,"uris":["http://zotero.org/users/10526741/items/E8PLWP3G"],"itemData":{"id":1077,"type":"article-journal","container-title":"Journal of Affective Disorders","DOI":"10.1016/j.jad.2024.03.119","ISSN":"01650327","journalAbbreviation":"Journal of Affective Disorders","language":"en","page":"12-21","source":"DOI.org (Crossref)","title":"Exploring the complex interrelation between depressive symptoms, risk, and protective factors: A comprehensive network approach","title-short":"Exploring the complex interrelation between depressive symptoms, risk, and protective factors","volume":"355","author":[{"family":"Iovoli","given":"Flavio"},{"family":"Hall","given":"Mila"},{"family":"Nenadic","given":"Igor"},{"family":"Straube","given":"Benjamin"},{"family":"Alexander","given":"Nina"},{"family":"Jamalabadi","given":"Hamidreza"},{"family":"Jansen","given":"Andreas"},{"family":"Stein","given":"Frederike"},{"family":"Brosch","given":"Katharina"},{"family":"Thomas-Odenthal","given":"Florian"},{"family":"Usemann","given":"Paula"},{"family":"Teutenberg","given":"Lea"},{"family":"Wroblewski","given":"Adrian"},{"family":"Pfarr","given":"Julia"},{"family":"Thiel","given":"Katharina"},{"family":"Flinkenflügel","given":"Kira"},{"family":"Meinert","given":"Susanne"},{"family":"Grotegerd","given":"Dominik"},{"family":"Hahn","given":"Tim"},{"family":"Goltermann","given":"Janik"},{"family":"Gruber","given":"Marius"},{"family":"Repple","given":"Jonathan"},{"family":"Enneking","given":"Verena"},{"family":"Winter","given":"Alexandra"},{"family":"Dannlowski","given":"Udo"},{"family":"Kircher","given":"Tilo"},{"family":"Rubel","given":"Julian A."}],"issued":{"date-parts":[["2024",6]]}}},{"id":1078,"uris":["http://zotero.org/users/10526741/items/QHNNVTK8"],"itemData":{"id":1078,"type":"article-journal","container-title":"NeuroImage","DOI":"10.1016/j.neuroimage.2018.01.079","ISSN":"10538119","journalAbbreviation":"NeuroImage","language":"en","page":"450-460","source":"DOI.org (Crossref)","title":"The Marburg-Münster Affective Disorders Cohort Study (MACS): A quality assurance protocol for MR neuroimaging data","title-short":"The Marburg-Münster Affective Disorders Cohort Study (MACS)","volume":"172","author":[{"family":"Vogelbacher","given":"Christoph"},{"family":"Möbius","given":"Thomas W.D."},{"family":"Sommer","given":"Jens"},{"family":"Schuster","given":"Verena"},{"family":"Dannlowski","given":"Udo"},{"family":"Kircher","given":"Tilo"},{"family":"Dempfle","given":"Astrid"},{"family":"Jansen","given":"Andreas"},{"family":"Bopp","given":"Miriam H.A."}],"issued":{"date-parts":[["2018",5]]}}}],"schema":"https://github.com/citation-style-language/schema/raw/master/csl-citation.json"} </w:instrText>
      </w:r>
      <w:r w:rsidR="00666E6F">
        <w:rPr>
          <w:rFonts w:eastAsia="Calibri" w:cs="Calibri"/>
          <w:szCs w:val="24"/>
          <w:lang w:val="en-US"/>
        </w:rPr>
        <w:fldChar w:fldCharType="separate"/>
      </w:r>
      <w:r w:rsidR="00846464" w:rsidRPr="00846464">
        <w:rPr>
          <w:rFonts w:cs="Calibri"/>
          <w:vertAlign w:val="superscript"/>
        </w:rPr>
        <w:t>1,2</w:t>
      </w:r>
      <w:r w:rsidR="00666E6F">
        <w:rPr>
          <w:rFonts w:eastAsia="Calibri" w:cs="Calibri"/>
          <w:szCs w:val="24"/>
          <w:lang w:val="en-US"/>
        </w:rPr>
        <w:fldChar w:fldCharType="end"/>
      </w:r>
      <w:r w:rsidRPr="00483771">
        <w:rPr>
          <w:rFonts w:eastAsia="Calibri" w:cs="Calibri"/>
          <w:szCs w:val="24"/>
          <w:lang w:val="en-US"/>
        </w:rPr>
        <w:t xml:space="preserve">, aims to investigate underlying neurobiological and environmental risk factors for affective disorders. The cohort comprises patients with an acute or lifetime diagnosis of an affective disorder and a group of unaffected individuals who reported no history of any psychiatric disorders. Individuals aged 18–67 years, of Caucasian ancestry, receiving in- or outpatient treatment from participating local clinics in Marburg or Münster, or responding to newspaper advertisements, were recruited between 2014 and 2018. Study procedures were conducted at the Marburg University Hospital and Münster University Hospital. Psychiatric diagnoses, including an MDD diagnosis, were determined by trained clinicians using the Structural Clinical Interview for DSM-IV, axis 1 disorders (SCID-I). Individuals were included if they had an active or lifetime major depressive episode, with or without somatic or other psychiatric comorbidities. For the current project, patients without an affective </w:t>
      </w:r>
      <w:r w:rsidRPr="004901E7">
        <w:rPr>
          <w:rFonts w:eastAsia="Calibri" w:cs="Calibri"/>
          <w:szCs w:val="24"/>
          <w:lang w:val="en-US"/>
        </w:rPr>
        <w:t xml:space="preserve">disorder diagnosis were excluded (n=297). For a complete description of sample selection, see </w:t>
      </w:r>
      <w:proofErr w:type="spellStart"/>
      <w:r w:rsidR="00B214E2" w:rsidRPr="00B214E2">
        <w:rPr>
          <w:rFonts w:eastAsia="Calibri" w:cs="Calibri"/>
          <w:b/>
          <w:bCs/>
          <w:szCs w:val="24"/>
          <w:lang w:val="en-US"/>
        </w:rPr>
        <w:t>e</w:t>
      </w:r>
      <w:r w:rsidRPr="004901E7">
        <w:rPr>
          <w:rFonts w:eastAsia="Calibri" w:cs="Calibri"/>
          <w:b/>
          <w:szCs w:val="24"/>
          <w:lang w:val="en-US"/>
        </w:rPr>
        <w:t>Figure</w:t>
      </w:r>
      <w:proofErr w:type="spellEnd"/>
      <w:r w:rsidRPr="004901E7">
        <w:rPr>
          <w:rFonts w:eastAsia="Calibri" w:cs="Calibri"/>
          <w:b/>
          <w:szCs w:val="24"/>
          <w:lang w:val="en-US"/>
        </w:rPr>
        <w:t xml:space="preserve"> 1</w:t>
      </w:r>
      <w:r w:rsidRPr="004901E7">
        <w:rPr>
          <w:rFonts w:eastAsia="Calibri" w:cs="Calibri"/>
          <w:szCs w:val="24"/>
          <w:lang w:val="en-US"/>
        </w:rPr>
        <w:t>. Upon the completion of baseline participation, individuals were invited to participate in a non-</w:t>
      </w:r>
      <w:r w:rsidRPr="00483771">
        <w:rPr>
          <w:rFonts w:eastAsia="Calibri" w:cs="Calibri"/>
          <w:szCs w:val="24"/>
          <w:lang w:val="en-US"/>
        </w:rPr>
        <w:t>mandatory follow-up examination after two years. The study received ethical approval from the Ethics Committees of the Medical Faculties, University of Marburg (07/14), and University of Münster (2014-422-b-S).</w:t>
      </w:r>
    </w:p>
    <w:p w14:paraId="35372CA1" w14:textId="77777777" w:rsidR="00F04347" w:rsidRPr="00483771" w:rsidRDefault="00F04347" w:rsidP="00F04347">
      <w:pPr>
        <w:spacing w:before="240" w:after="240"/>
        <w:jc w:val="both"/>
        <w:rPr>
          <w:rFonts w:eastAsia="Calibri" w:cs="Calibri"/>
          <w:szCs w:val="24"/>
          <w:lang w:val="en-US"/>
        </w:rPr>
      </w:pPr>
      <w:r w:rsidRPr="00483771">
        <w:rPr>
          <w:rFonts w:eastAsia="Calibri" w:cs="Calibri"/>
          <w:szCs w:val="24"/>
          <w:lang w:val="en-US"/>
        </w:rPr>
        <w:t xml:space="preserve"> </w:t>
      </w:r>
    </w:p>
    <w:p w14:paraId="20B7E0C0" w14:textId="264A2D4B" w:rsidR="00F04347" w:rsidRPr="00CB5902" w:rsidRDefault="00E22350" w:rsidP="00CB5902">
      <w:pPr>
        <w:rPr>
          <w:b/>
          <w:u w:val="single"/>
          <w:lang w:val="en-US"/>
        </w:rPr>
      </w:pPr>
      <w:bookmarkStart w:id="5" w:name="_tqkzmzgnqppf" w:colFirst="0" w:colLast="0"/>
      <w:bookmarkEnd w:id="5"/>
      <w:r w:rsidRPr="00CB5902">
        <w:rPr>
          <w:u w:val="single"/>
          <w:lang w:val="en-US"/>
        </w:rPr>
        <w:t>MIND-Set</w:t>
      </w:r>
    </w:p>
    <w:p w14:paraId="4935EB6F" w14:textId="749DDE6D" w:rsidR="00F04347" w:rsidRPr="00483771" w:rsidRDefault="00F04347" w:rsidP="00F04347">
      <w:pPr>
        <w:spacing w:before="240" w:after="240"/>
        <w:jc w:val="both"/>
        <w:rPr>
          <w:rFonts w:eastAsia="Calibri" w:cs="Calibri"/>
          <w:szCs w:val="24"/>
          <w:lang w:val="en-US"/>
        </w:rPr>
      </w:pPr>
      <w:r w:rsidRPr="00483771">
        <w:rPr>
          <w:rFonts w:eastAsia="Calibri" w:cs="Calibri"/>
          <w:szCs w:val="24"/>
          <w:lang w:val="en-US"/>
        </w:rPr>
        <w:t>The Measuring Integrated Novel Dimensions in Neurodevelopmental and Stress-related Mental Disorders (MIND-Set) cohor</w:t>
      </w:r>
      <w:r w:rsidR="00846464">
        <w:rPr>
          <w:rFonts w:eastAsia="Calibri" w:cs="Calibri"/>
          <w:szCs w:val="24"/>
          <w:lang w:val="en-US"/>
        </w:rPr>
        <w:t>t</w:t>
      </w:r>
      <w:r w:rsidR="00846464">
        <w:rPr>
          <w:rFonts w:eastAsia="Calibri" w:cs="Calibri"/>
          <w:szCs w:val="24"/>
          <w:lang w:val="en-US"/>
        </w:rPr>
        <w:fldChar w:fldCharType="begin"/>
      </w:r>
      <w:r w:rsidR="00846464">
        <w:rPr>
          <w:rFonts w:eastAsia="Calibri" w:cs="Calibri"/>
          <w:szCs w:val="24"/>
          <w:lang w:val="en-US"/>
        </w:rPr>
        <w:instrText xml:space="preserve"> ADDIN ZOTERO_ITEM CSL_CITATION {"citationID":"dtFK95XO","properties":{"formattedCitation":"\\super 3\\nosupersub{}","plainCitation":"3","noteIndex":0},"citationItems":[{"id":678,"uris":["http://zotero.org/users/10526741/items/FBLFELAP"],"itemData":{"id":678,"type":"article-journal","abstract":"BACKGROUND: It is widely acknowledged that comorbidity between psychiatric disorders is common. Shared and diverse underpinnings of psychiatric disorders cannot be systematically understood based on symptom-based categories of mental disorders, which map poorly onto pathophysiological mechanisms. In the Measuring Integrated Novel Dimensions in Neurodevelopmental and Stress-Related Mental Disorders (MIND-SET) study, we make use of current concepts of comorbidity that transcend the current diagnostic categories. We test this approach to psychiatric problems in patients with frequently occurring psychiatric disorders and their comorbidities (excluding psychosis).\nOBJECTIVE: The main aim of the MIND-SET project is to determine the shared and specific mechanisms of neurodevelopmental and stress-related psychiatric disorders at different observational levels.\nMETHODS: This is an observational cross-sectional study. Data from different observational levels as defined in the Research Domain Criteria (genetics, physiology, neuropsychology, system-level neuroimaging, behavior, self-report, and experimental neurocognitive paradigms) are collected over four time points. Included are adult (aged ≥18 years), nonpsychotic, psychiatric patients with a clinical diagnosis of a stress-related disorder (mood disorder, anxiety disorder, or substance use disorder) or a neurodevelopmental disorder (autism spectrum disorder or attention-deficit/hyperactivity disorder). Individuals with no current or past psychiatric diagnosis are included as neurotypical controls. Data collection started in June 2016 with the aim to include a total of 650 patients and 150 neurotypical controls by 2021. The data collection procedure includes online questionnaires and three subsequent sessions with (1) standardized clinical examination, physical examination, and blood sampling; (2) psychological constructs, neuropsychological tests, and biological marker sampling; and (3) neuroimaging measures.\nRESULTS: We aim to include a total of 650 patients and 150 neurotypical control participants in the time period between 2016 and 2022. In October 2021, we are at 95% of our target.\nCONCLUSIONS: The MIND-SET study enables us to investigate the mechanistic underpinnings of nonpsychotic psychiatric disorders transdiagnostically. We will identify both shared and disorder-specific markers at different observational levels that can be used as targets for future diagnostic and treatment approaches.","container-title":"JMIRx med","DOI":"10.2196/31269","ISSN":"2563-6316","issue":"1","journalAbbreviation":"JMIRx Med","language":"eng","note":"PMID: 37725542\nPMCID: PMC10414459","page":"e31269","source":"PubMed","title":"Measuring Integrated Novel Dimensions in Neurodevelopmental and Stress-Related Mental Disorders (MIND-SET): Protocol for a Cross-sectional Comorbidity Study From a Research Domain Criteria Perspective","title-short":"Measuring Integrated Novel Dimensions in Neurodevelopmental and Stress-Related Mental Disorders (MIND-SET)","volume":"3","author":[{"family":"Eijndhoven","given":"Philip","non-dropping-particle":"van"},{"family":"Collard","given":"Rose"},{"family":"Vrijsen","given":"Janna"},{"family":"Geurts","given":"Dirk E. M."},{"family":"Vasquez","given":"Alejandro Arias"},{"family":"Schellekens","given":"Arnt"},{"family":"Munckhof","given":"Eva","non-dropping-particle":"van den"},{"family":"Brolsma","given":"Sophie"},{"family":"Duyser","given":"Fleur"},{"family":"Bergman","given":"Annemiek"},{"family":"Oort","given":"Jasper","non-dropping-particle":"van"},{"family":"Tendolkar","given":"Indira"},{"family":"Schene","given":"Aart"}],"issued":{"date-parts":[["2022",3,29]]}}}],"schema":"https://github.com/citation-style-language/schema/raw/master/csl-citation.json"} </w:instrText>
      </w:r>
      <w:r w:rsidR="00846464">
        <w:rPr>
          <w:rFonts w:eastAsia="Calibri" w:cs="Calibri"/>
          <w:szCs w:val="24"/>
          <w:lang w:val="en-US"/>
        </w:rPr>
        <w:fldChar w:fldCharType="separate"/>
      </w:r>
      <w:r w:rsidR="00846464" w:rsidRPr="00846464">
        <w:rPr>
          <w:rFonts w:cs="Calibri"/>
          <w:vertAlign w:val="superscript"/>
        </w:rPr>
        <w:t>3</w:t>
      </w:r>
      <w:r w:rsidR="00846464">
        <w:rPr>
          <w:rFonts w:eastAsia="Calibri" w:cs="Calibri"/>
          <w:szCs w:val="24"/>
          <w:lang w:val="en-US"/>
        </w:rPr>
        <w:fldChar w:fldCharType="end"/>
      </w:r>
      <w:r w:rsidR="00846464">
        <w:rPr>
          <w:rFonts w:eastAsia="Calibri" w:cs="Calibri"/>
          <w:szCs w:val="24"/>
          <w:lang w:val="en-US"/>
        </w:rPr>
        <w:t xml:space="preserve"> w</w:t>
      </w:r>
      <w:r w:rsidRPr="00483771">
        <w:rPr>
          <w:rFonts w:eastAsia="Calibri" w:cs="Calibri"/>
          <w:szCs w:val="24"/>
          <w:lang w:val="en-US"/>
        </w:rPr>
        <w:t>as used as a replication cohort. The MIND-Set cohort is an observational, cross-sectional study, which aims to elucidate shared and specific mechanisms of stress-related and neurodevelopmental psychiatric disorders. Individuals aged 18 years and older were recruited through the Department of Psychiatry of the Radboud University Medical Center, Nijmegen, the Netherlands between 2016 and 2021. At the time of recruitment, participants were outpatients at the Department of Psychiatry of the Radboud University Medical Center. The SCID-I for mood and anxiety disorders was conducted by trained clinicians to confirm the MDD diagnosis, alongside other standardized instruments to assess the presence of other psychiatric and neurodevelopmental disorders (see Van Eijndhoven et al.</w:t>
      </w:r>
      <w:r w:rsidR="0090046D">
        <w:rPr>
          <w:rFonts w:eastAsia="Calibri" w:cs="Calibri"/>
          <w:szCs w:val="24"/>
          <w:lang w:val="en-US"/>
        </w:rPr>
        <w:fldChar w:fldCharType="begin"/>
      </w:r>
      <w:r w:rsidR="003870A7">
        <w:rPr>
          <w:rFonts w:eastAsia="Calibri" w:cs="Calibri"/>
          <w:szCs w:val="24"/>
          <w:lang w:val="en-US"/>
        </w:rPr>
        <w:instrText xml:space="preserve"> ADDIN ZOTERO_ITEM CSL_CITATION {"citationID":"W1EJI2lb","properties":{"formattedCitation":"\\super 3\\nosupersub{}","plainCitation":"3","noteIndex":0},"citationItems":[{"id":678,"uris":["http://zotero.org/users/10526741/items/FBLFELAP"],"itemData":{"id":678,"type":"article-journal","abstract":"BACKGROUND: It is widely acknowledged that comorbidity between psychiatric disorders is common. Shared and diverse underpinnings of psychiatric disorders cannot be systematically understood based on symptom-based categories of mental disorders, which map poorly onto pathophysiological mechanisms. In the Measuring Integrated Novel Dimensions in Neurodevelopmental and Stress-Related Mental Disorders (MIND-SET) study, we make use of current concepts of comorbidity that transcend the current diagnostic categories. We test this approach to psychiatric problems in patients with frequently occurring psychiatric disorders and their comorbidities (excluding psychosis).\nOBJECTIVE: The main aim of the MIND-SET project is to determine the shared and specific mechanisms of neurodevelopmental and stress-related psychiatric disorders at different observational levels.\nMETHODS: This is an observational cross-sectional study. Data from different observational levels as defined in the Research Domain Criteria (genetics, physiology, neuropsychology, system-level neuroimaging, behavior, self-report, and experimental neurocognitive paradigms) are collected over four time points. Included are adult (aged ≥18 years), nonpsychotic, psychiatric patients with a clinical diagnosis of a stress-related disorder (mood disorder, anxiety disorder, or substance use disorder) or a neurodevelopmental disorder (autism spectrum disorder or attention-deficit/hyperactivity disorder). Individuals with no current or past psychiatric diagnosis are included as neurotypical controls. Data collection started in June 2016 with the aim to include a total of 650 patients and 150 neurotypical controls by 2021. The data collection procedure includes online questionnaires and three subsequent sessions with (1) standardized clinical examination, physical examination, and blood sampling; (2) psychological constructs, neuropsychological tests, and biological marker sampling; and (3) neuroimaging measures.\nRESULTS: We aim to include a total of 650 patients and 150 neurotypical control participants in the time period between 2016 and 2022. In October 2021, we are at 95% of our target.\nCONCLUSIONS: The MIND-SET study enables us to investigate the mechanistic underpinnings of nonpsychotic psychiatric disorders transdiagnostically. We will identify both shared and disorder-specific markers at different observational levels that can be used as targets for future diagnostic and treatment approaches.","container-title":"JMIRx med","DOI":"10.2196/31269","ISSN":"2563-6316","issue":"1","journalAbbreviation":"JMIRx Med","language":"eng","note":"PMID: 37725542\nPMCID: PMC10414459","page":"e31269","source":"PubMed","title":"Measuring Integrated Novel Dimensions in Neurodevelopmental and Stress-Related Mental Disorders (MIND-SET): Protocol for a Cross-sectional Comorbidity Study From a Research Domain Criteria Perspective","title-short":"Measuring Integrated Novel Dimensions in Neurodevelopmental and Stress-Related Mental Disorders (MIND-SET)","volume":"3","author":[{"family":"Eijndhoven","given":"Philip","non-dropping-particle":"van"},{"family":"Collard","given":"Rose"},{"family":"Vrijsen","given":"Janna"},{"family":"Geurts","given":"Dirk E. M."},{"family":"Vasquez","given":"Alejandro Arias"},{"family":"Schellekens","given":"Arnt"},{"family":"Munckhof","given":"Eva","non-dropping-particle":"van den"},{"family":"Brolsma","given":"Sophie"},{"family":"Duyser","given":"Fleur"},{"family":"Bergman","given":"Annemiek"},{"family":"Oort","given":"Jasper","non-dropping-particle":"van"},{"family":"Tendolkar","given":"Indira"},{"family":"Schene","given":"Aart"}],"issued":{"date-parts":[["2022",3,29]]}}}],"schema":"https://github.com/citation-style-language/schema/raw/master/csl-citation.json"} </w:instrText>
      </w:r>
      <w:r w:rsidR="0090046D">
        <w:rPr>
          <w:rFonts w:eastAsia="Calibri" w:cs="Calibri"/>
          <w:szCs w:val="24"/>
          <w:lang w:val="en-US"/>
        </w:rPr>
        <w:fldChar w:fldCharType="separate"/>
      </w:r>
      <w:r w:rsidR="0090046D" w:rsidRPr="00846464">
        <w:rPr>
          <w:rFonts w:cs="Calibri"/>
          <w:vertAlign w:val="superscript"/>
        </w:rPr>
        <w:t>3</w:t>
      </w:r>
      <w:r w:rsidR="0090046D">
        <w:rPr>
          <w:rFonts w:eastAsia="Calibri" w:cs="Calibri"/>
          <w:szCs w:val="24"/>
          <w:lang w:val="en-US"/>
        </w:rPr>
        <w:fldChar w:fldCharType="end"/>
      </w:r>
      <w:r w:rsidRPr="00483771">
        <w:rPr>
          <w:rFonts w:eastAsia="Calibri" w:cs="Calibri"/>
          <w:szCs w:val="24"/>
          <w:lang w:val="en-US"/>
        </w:rPr>
        <w:t xml:space="preserve"> for a description of all measurement instruments). Individuals were included if they fulfilled the criteria for a stress-related disorder (mood, anxiety or substance use disorders) and/or neurodevelopmental disorder (attention deficit/hyperactivity disorder (ADHD) or autism spectrum disorder (ASD)). For the current project, only individuals with an acute or lifetime diagnosis of MDD, </w:t>
      </w:r>
      <w:r w:rsidRPr="004901E7">
        <w:rPr>
          <w:rFonts w:eastAsia="Calibri" w:cs="Calibri"/>
          <w:szCs w:val="24"/>
          <w:lang w:val="en-US"/>
        </w:rPr>
        <w:t xml:space="preserve">with or without psychiatric comorbidities, </w:t>
      </w:r>
      <w:r w:rsidRPr="004901E7">
        <w:rPr>
          <w:rFonts w:eastAsia="Calibri" w:cs="Calibri"/>
          <w:szCs w:val="24"/>
          <w:lang w:val="en-US"/>
        </w:rPr>
        <w:lastRenderedPageBreak/>
        <w:t xml:space="preserve">were included. For a complete description of sample selection, see </w:t>
      </w:r>
      <w:proofErr w:type="spellStart"/>
      <w:r w:rsidR="00B214E2" w:rsidRPr="00B214E2">
        <w:rPr>
          <w:rFonts w:eastAsia="Calibri" w:cs="Calibri"/>
          <w:b/>
          <w:bCs/>
          <w:szCs w:val="24"/>
          <w:lang w:val="en-US"/>
        </w:rPr>
        <w:t>e</w:t>
      </w:r>
      <w:r w:rsidRPr="004901E7">
        <w:rPr>
          <w:rFonts w:eastAsia="Calibri" w:cs="Calibri"/>
          <w:b/>
          <w:szCs w:val="24"/>
          <w:lang w:val="en-US"/>
        </w:rPr>
        <w:t>Figure</w:t>
      </w:r>
      <w:proofErr w:type="spellEnd"/>
      <w:r w:rsidRPr="004901E7">
        <w:rPr>
          <w:rFonts w:eastAsia="Calibri" w:cs="Calibri"/>
          <w:b/>
          <w:szCs w:val="24"/>
          <w:lang w:val="en-US"/>
        </w:rPr>
        <w:t xml:space="preserve"> 1</w:t>
      </w:r>
      <w:r w:rsidRPr="004901E7">
        <w:rPr>
          <w:rFonts w:eastAsia="Calibri" w:cs="Calibri"/>
          <w:szCs w:val="24"/>
          <w:lang w:val="en-US"/>
        </w:rPr>
        <w:t>. A group</w:t>
      </w:r>
      <w:r w:rsidRPr="00483771">
        <w:rPr>
          <w:rFonts w:eastAsia="Calibri" w:cs="Calibri"/>
          <w:szCs w:val="24"/>
          <w:lang w:val="en-US"/>
        </w:rPr>
        <w:t xml:space="preserve"> of individuals free from psychiatric disorders was recruited from the local general population, screened via telephone interviews using the same diagnostic tools. Exclusion criteria comprised active psychotic disorders, IQ estimation &lt; 70, sensorimotor disabilities, insufficient Dutch language comprehension, </w:t>
      </w:r>
      <w:r w:rsidR="008D3389" w:rsidRPr="008D3389">
        <w:drawing>
          <wp:anchor distT="0" distB="0" distL="114300" distR="114300" simplePos="0" relativeHeight="251607552" behindDoc="0" locked="0" layoutInCell="1" allowOverlap="1" wp14:anchorId="4599C887" wp14:editId="69E6674D">
            <wp:simplePos x="0" y="0"/>
            <wp:positionH relativeFrom="column">
              <wp:posOffset>-642620</wp:posOffset>
            </wp:positionH>
            <wp:positionV relativeFrom="page">
              <wp:posOffset>2200275</wp:posOffset>
            </wp:positionV>
            <wp:extent cx="7377430" cy="4304665"/>
            <wp:effectExtent l="0" t="0" r="0" b="635"/>
            <wp:wrapTopAndBottom/>
            <wp:docPr id="13193858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77430" cy="430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771">
        <w:rPr>
          <w:rFonts w:eastAsia="Calibri" w:cs="Calibri"/>
          <w:szCs w:val="24"/>
          <w:lang w:val="en-US"/>
        </w:rPr>
        <w:t>or taking antibiotics at the time of recruitment. The study received ethical approvals from the local medical ethics committee (NL55618.091.015).</w:t>
      </w:r>
    </w:p>
    <w:p w14:paraId="68876883" w14:textId="77777777" w:rsidR="008D3389" w:rsidRDefault="008D3389" w:rsidP="008D3389">
      <w:pPr>
        <w:rPr>
          <w:b/>
          <w:bCs/>
          <w:sz w:val="20"/>
          <w:szCs w:val="18"/>
        </w:rPr>
      </w:pPr>
    </w:p>
    <w:p w14:paraId="6C2FC302" w14:textId="6DE44066" w:rsidR="00785A82" w:rsidRPr="008D3389" w:rsidRDefault="00562F48" w:rsidP="008D3389">
      <w:pPr>
        <w:rPr>
          <w:b/>
          <w:bCs/>
          <w:i/>
          <w:iCs/>
          <w:sz w:val="20"/>
          <w:szCs w:val="18"/>
          <w:lang w:val="en-US"/>
        </w:rPr>
      </w:pPr>
      <w:proofErr w:type="spellStart"/>
      <w:r w:rsidRPr="008D3389">
        <w:rPr>
          <w:b/>
          <w:bCs/>
          <w:i/>
          <w:iCs/>
          <w:sz w:val="20"/>
          <w:szCs w:val="18"/>
        </w:rPr>
        <w:t>eFigure</w:t>
      </w:r>
      <w:proofErr w:type="spellEnd"/>
      <w:r w:rsidR="00785A82" w:rsidRPr="008D3389">
        <w:rPr>
          <w:b/>
          <w:bCs/>
          <w:i/>
          <w:iCs/>
          <w:sz w:val="20"/>
          <w:szCs w:val="18"/>
        </w:rPr>
        <w:t xml:space="preserve"> 1</w:t>
      </w:r>
      <w:r w:rsidR="00785A82" w:rsidRPr="008D3389">
        <w:rPr>
          <w:i/>
          <w:iCs/>
          <w:sz w:val="20"/>
          <w:szCs w:val="18"/>
        </w:rPr>
        <w:t>:</w:t>
      </w:r>
      <w:r w:rsidR="00785A82" w:rsidRPr="008D3389">
        <w:rPr>
          <w:i/>
          <w:iCs/>
          <w:sz w:val="12"/>
          <w:szCs w:val="14"/>
          <w:lang w:val="en-US"/>
        </w:rPr>
        <w:t xml:space="preserve"> </w:t>
      </w:r>
      <w:r w:rsidR="00785A82" w:rsidRPr="008D3389">
        <w:rPr>
          <w:i/>
          <w:iCs/>
          <w:sz w:val="20"/>
          <w:szCs w:val="18"/>
          <w:lang w:val="en-US"/>
        </w:rPr>
        <w:t>Flowchart for participant selection</w:t>
      </w:r>
    </w:p>
    <w:p w14:paraId="55D9255A" w14:textId="2B810DE2" w:rsidR="00785A82" w:rsidRPr="0034697F" w:rsidRDefault="00FE523A" w:rsidP="008D3389">
      <w:pPr>
        <w:jc w:val="both"/>
        <w:rPr>
          <w:rFonts w:eastAsia="Calibri" w:cs="Calibri"/>
          <w:b/>
          <w:sz w:val="20"/>
          <w:szCs w:val="20"/>
          <w:lang w:val="en-US"/>
        </w:rPr>
      </w:pPr>
      <w:r w:rsidRPr="00483771">
        <w:rPr>
          <w:rFonts w:eastAsia="Calibri" w:cs="Calibri"/>
          <w:sz w:val="20"/>
          <w:szCs w:val="20"/>
          <w:lang w:val="en-US"/>
        </w:rPr>
        <w:t xml:space="preserve">Summary of the number of participants included/excluded in every step in the </w:t>
      </w:r>
      <w:r w:rsidRPr="00483771">
        <w:rPr>
          <w:rFonts w:eastAsia="Calibri" w:cs="Calibri"/>
          <w:b/>
          <w:sz w:val="20"/>
          <w:szCs w:val="20"/>
          <w:lang w:val="en-US"/>
        </w:rPr>
        <w:t>(A)</w:t>
      </w:r>
      <w:r w:rsidRPr="00483771">
        <w:rPr>
          <w:rFonts w:eastAsia="Calibri" w:cs="Calibri"/>
          <w:sz w:val="20"/>
          <w:szCs w:val="20"/>
          <w:lang w:val="en-US"/>
        </w:rPr>
        <w:t xml:space="preserve"> MACS and </w:t>
      </w:r>
      <w:r w:rsidRPr="00483771">
        <w:rPr>
          <w:rFonts w:eastAsia="Calibri" w:cs="Calibri"/>
          <w:b/>
          <w:sz w:val="20"/>
          <w:szCs w:val="20"/>
          <w:lang w:val="en-US"/>
        </w:rPr>
        <w:t>(B)</w:t>
      </w:r>
      <w:r w:rsidRPr="00483771">
        <w:rPr>
          <w:rFonts w:eastAsia="Calibri" w:cs="Calibri"/>
          <w:sz w:val="20"/>
          <w:szCs w:val="20"/>
          <w:lang w:val="en-US"/>
        </w:rPr>
        <w:t xml:space="preserve"> MIND-Set cohort. We selected participants based on several criteria: available fecal sample; MDD diagnosis for patients; available data about age, gender, BMI, and symptom severity; and not on any psychotropic medication for the unaffected controls.</w:t>
      </w:r>
      <w:r w:rsidR="00785A82" w:rsidRPr="00483771">
        <w:rPr>
          <w:rFonts w:eastAsia="Calibri" w:cs="Calibri"/>
          <w:szCs w:val="24"/>
          <w:lang w:val="en-US"/>
        </w:rPr>
        <w:br w:type="page"/>
      </w:r>
    </w:p>
    <w:p w14:paraId="7878CBEC" w14:textId="6FB89B6C" w:rsidR="00FE523A" w:rsidRPr="00483771" w:rsidRDefault="00CB5902" w:rsidP="00CB5902">
      <w:pPr>
        <w:pStyle w:val="Kop3"/>
        <w:rPr>
          <w:rFonts w:eastAsia="Calibri"/>
        </w:rPr>
      </w:pPr>
      <w:bookmarkStart w:id="6" w:name="_Toc214877551"/>
      <w:r>
        <w:rPr>
          <w:rFonts w:eastAsia="Calibri"/>
        </w:rPr>
        <w:lastRenderedPageBreak/>
        <w:t>1.2</w:t>
      </w:r>
      <w:r w:rsidR="00FE523A" w:rsidRPr="00483771">
        <w:rPr>
          <w:rFonts w:eastAsia="Calibri"/>
        </w:rPr>
        <w:t>. ATC codes classification</w:t>
      </w:r>
      <w:bookmarkEnd w:id="6"/>
    </w:p>
    <w:p w14:paraId="3500F0CB" w14:textId="586D42A2" w:rsidR="00306AA5" w:rsidRPr="00483771" w:rsidRDefault="00306AA5" w:rsidP="00306AA5">
      <w:pPr>
        <w:rPr>
          <w:rFonts w:cs="Calibri"/>
          <w:lang w:val="en-US" w:eastAsia="en-US"/>
        </w:rPr>
      </w:pPr>
      <w:r w:rsidRPr="00483771">
        <w:rPr>
          <w:rFonts w:cs="Calibri"/>
          <w:lang w:val="en-US" w:eastAsia="en-US"/>
        </w:rPr>
        <w:t xml:space="preserve">A comprehensive overview of the medication classes </w:t>
      </w:r>
      <w:r w:rsidR="003C6464" w:rsidRPr="00483771">
        <w:rPr>
          <w:rFonts w:cs="Calibri"/>
          <w:lang w:val="en-US" w:eastAsia="en-US"/>
        </w:rPr>
        <w:t xml:space="preserve">along with their corresponding ATC codes and ATC classification </w:t>
      </w:r>
    </w:p>
    <w:p w14:paraId="0290DA2D" w14:textId="77777777" w:rsidR="008D3389" w:rsidRDefault="008D3389" w:rsidP="008D3389">
      <w:pPr>
        <w:rPr>
          <w:u w:val="single"/>
          <w:lang w:val="en-US"/>
        </w:rPr>
      </w:pPr>
    </w:p>
    <w:p w14:paraId="4D340675" w14:textId="694476DD" w:rsidR="00FE523A" w:rsidRPr="008D3389" w:rsidRDefault="00FE523A" w:rsidP="008D3389">
      <w:pPr>
        <w:rPr>
          <w:u w:val="single"/>
          <w:lang w:val="en-US"/>
        </w:rPr>
      </w:pPr>
      <w:r w:rsidRPr="008D3389">
        <w:rPr>
          <w:u w:val="single"/>
          <w:lang w:val="en-US"/>
        </w:rPr>
        <w:t>SSRIs/SNRIs</w:t>
      </w:r>
    </w:p>
    <w:tbl>
      <w:tblPr>
        <w:tblW w:w="5000" w:type="pct"/>
        <w:tblCellMar>
          <w:left w:w="70" w:type="dxa"/>
          <w:right w:w="70" w:type="dxa"/>
        </w:tblCellMar>
        <w:tblLook w:val="04A0" w:firstRow="1" w:lastRow="0" w:firstColumn="1" w:lastColumn="0" w:noHBand="0" w:noVBand="1"/>
      </w:tblPr>
      <w:tblGrid>
        <w:gridCol w:w="967"/>
        <w:gridCol w:w="1282"/>
        <w:gridCol w:w="1700"/>
        <w:gridCol w:w="1677"/>
        <w:gridCol w:w="1772"/>
        <w:gridCol w:w="2328"/>
      </w:tblGrid>
      <w:tr w:rsidR="00AD63DC" w:rsidRPr="00483771" w14:paraId="40684E5C" w14:textId="77777777" w:rsidTr="002F38A2">
        <w:trPr>
          <w:trHeight w:val="400"/>
        </w:trPr>
        <w:tc>
          <w:tcPr>
            <w:tcW w:w="49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7E3E25" w14:textId="77777777" w:rsidR="00AD63DC" w:rsidRPr="00AD63DC" w:rsidRDefault="00AD63DC" w:rsidP="00AD63DC">
            <w:pPr>
              <w:spacing w:line="240" w:lineRule="auto"/>
              <w:jc w:val="center"/>
              <w:rPr>
                <w:rFonts w:eastAsia="Times New Roman" w:cs="Calibri"/>
                <w:b/>
                <w:bCs/>
                <w:color w:val="000000"/>
                <w:sz w:val="20"/>
                <w:szCs w:val="20"/>
                <w:lang w:val="en-US"/>
              </w:rPr>
            </w:pPr>
            <w:r w:rsidRPr="00AD63DC">
              <w:rPr>
                <w:rFonts w:eastAsia="Times New Roman" w:cs="Calibri"/>
                <w:b/>
                <w:bCs/>
                <w:color w:val="000000"/>
                <w:sz w:val="20"/>
                <w:szCs w:val="20"/>
                <w:lang w:val="en-US"/>
              </w:rPr>
              <w:t>ATC Code</w:t>
            </w:r>
          </w:p>
        </w:tc>
        <w:tc>
          <w:tcPr>
            <w:tcW w:w="659" w:type="pct"/>
            <w:tcBorders>
              <w:top w:val="single" w:sz="8" w:space="0" w:color="000000"/>
              <w:left w:val="nil"/>
              <w:bottom w:val="single" w:sz="8" w:space="0" w:color="000000"/>
              <w:right w:val="single" w:sz="8" w:space="0" w:color="000000"/>
            </w:tcBorders>
            <w:shd w:val="clear" w:color="auto" w:fill="auto"/>
            <w:vAlign w:val="center"/>
            <w:hideMark/>
          </w:tcPr>
          <w:p w14:paraId="07230B0E" w14:textId="77777777" w:rsidR="00AD63DC" w:rsidRPr="00AD63DC" w:rsidRDefault="00AD63DC" w:rsidP="00AD63DC">
            <w:pPr>
              <w:spacing w:line="240" w:lineRule="auto"/>
              <w:jc w:val="center"/>
              <w:rPr>
                <w:rFonts w:eastAsia="Times New Roman" w:cs="Calibri"/>
                <w:b/>
                <w:bCs/>
                <w:color w:val="000000"/>
                <w:sz w:val="20"/>
                <w:szCs w:val="20"/>
                <w:lang w:val="en-US"/>
              </w:rPr>
            </w:pPr>
            <w:r w:rsidRPr="00AD63DC">
              <w:rPr>
                <w:rFonts w:eastAsia="Times New Roman" w:cs="Calibri"/>
                <w:b/>
                <w:bCs/>
                <w:color w:val="000000"/>
                <w:sz w:val="20"/>
                <w:szCs w:val="20"/>
                <w:lang w:val="en-US"/>
              </w:rPr>
              <w:t>Name</w:t>
            </w:r>
          </w:p>
        </w:tc>
        <w:tc>
          <w:tcPr>
            <w:tcW w:w="874" w:type="pct"/>
            <w:tcBorders>
              <w:top w:val="single" w:sz="8" w:space="0" w:color="000000"/>
              <w:left w:val="nil"/>
              <w:bottom w:val="single" w:sz="8" w:space="0" w:color="000000"/>
              <w:right w:val="single" w:sz="8" w:space="0" w:color="000000"/>
            </w:tcBorders>
            <w:shd w:val="clear" w:color="auto" w:fill="auto"/>
            <w:vAlign w:val="center"/>
            <w:hideMark/>
          </w:tcPr>
          <w:p w14:paraId="666BC411" w14:textId="77777777" w:rsidR="00AD63DC" w:rsidRPr="00AD63DC" w:rsidRDefault="00AD63DC" w:rsidP="00AD63DC">
            <w:pPr>
              <w:spacing w:line="240" w:lineRule="auto"/>
              <w:jc w:val="center"/>
              <w:rPr>
                <w:rFonts w:eastAsia="Times New Roman" w:cs="Calibri"/>
                <w:b/>
                <w:bCs/>
                <w:color w:val="000000"/>
                <w:sz w:val="20"/>
                <w:szCs w:val="20"/>
                <w:lang w:val="en-US"/>
              </w:rPr>
            </w:pPr>
            <w:r w:rsidRPr="00AD63DC">
              <w:rPr>
                <w:rFonts w:eastAsia="Times New Roman" w:cs="Calibri"/>
                <w:b/>
                <w:bCs/>
                <w:color w:val="000000"/>
                <w:sz w:val="20"/>
                <w:szCs w:val="20"/>
                <w:lang w:val="en-US"/>
              </w:rPr>
              <w:t>Class_1 (N)</w:t>
            </w:r>
          </w:p>
        </w:tc>
        <w:tc>
          <w:tcPr>
            <w:tcW w:w="862" w:type="pct"/>
            <w:tcBorders>
              <w:top w:val="single" w:sz="8" w:space="0" w:color="000000"/>
              <w:left w:val="nil"/>
              <w:bottom w:val="single" w:sz="8" w:space="0" w:color="000000"/>
              <w:right w:val="single" w:sz="8" w:space="0" w:color="000000"/>
            </w:tcBorders>
            <w:shd w:val="clear" w:color="auto" w:fill="auto"/>
            <w:vAlign w:val="center"/>
            <w:hideMark/>
          </w:tcPr>
          <w:p w14:paraId="4F4DB1EB" w14:textId="77777777" w:rsidR="00AD63DC" w:rsidRPr="00AD63DC" w:rsidRDefault="00AD63DC" w:rsidP="00AD63DC">
            <w:pPr>
              <w:spacing w:line="240" w:lineRule="auto"/>
              <w:jc w:val="center"/>
              <w:rPr>
                <w:rFonts w:eastAsia="Times New Roman" w:cs="Calibri"/>
                <w:b/>
                <w:bCs/>
                <w:color w:val="000000"/>
                <w:sz w:val="20"/>
                <w:szCs w:val="20"/>
                <w:lang w:val="en-US"/>
              </w:rPr>
            </w:pPr>
            <w:r w:rsidRPr="00AD63DC">
              <w:rPr>
                <w:rFonts w:eastAsia="Times New Roman" w:cs="Calibri"/>
                <w:b/>
                <w:bCs/>
                <w:color w:val="000000"/>
                <w:sz w:val="20"/>
                <w:szCs w:val="20"/>
                <w:lang w:val="en-US"/>
              </w:rPr>
              <w:t>Class_2 (N0X)</w:t>
            </w:r>
          </w:p>
        </w:tc>
        <w:tc>
          <w:tcPr>
            <w:tcW w:w="911" w:type="pct"/>
            <w:tcBorders>
              <w:top w:val="single" w:sz="8" w:space="0" w:color="000000"/>
              <w:left w:val="nil"/>
              <w:bottom w:val="single" w:sz="8" w:space="0" w:color="000000"/>
              <w:right w:val="single" w:sz="8" w:space="0" w:color="000000"/>
            </w:tcBorders>
            <w:shd w:val="clear" w:color="auto" w:fill="auto"/>
            <w:vAlign w:val="center"/>
            <w:hideMark/>
          </w:tcPr>
          <w:p w14:paraId="72AF53DE" w14:textId="77777777" w:rsidR="00AD63DC" w:rsidRPr="00AD63DC" w:rsidRDefault="00AD63DC" w:rsidP="00AD63DC">
            <w:pPr>
              <w:spacing w:line="240" w:lineRule="auto"/>
              <w:jc w:val="center"/>
              <w:rPr>
                <w:rFonts w:eastAsia="Times New Roman" w:cs="Calibri"/>
                <w:b/>
                <w:bCs/>
                <w:color w:val="000000"/>
                <w:sz w:val="20"/>
                <w:szCs w:val="20"/>
                <w:lang w:val="en-US"/>
              </w:rPr>
            </w:pPr>
            <w:r w:rsidRPr="00AD63DC">
              <w:rPr>
                <w:rFonts w:eastAsia="Times New Roman" w:cs="Calibri"/>
                <w:b/>
                <w:bCs/>
                <w:color w:val="000000"/>
                <w:sz w:val="20"/>
                <w:szCs w:val="20"/>
                <w:lang w:val="en-US"/>
              </w:rPr>
              <w:t>Class_3 (N0XX)</w:t>
            </w:r>
          </w:p>
        </w:tc>
        <w:tc>
          <w:tcPr>
            <w:tcW w:w="1197" w:type="pct"/>
            <w:tcBorders>
              <w:top w:val="single" w:sz="8" w:space="0" w:color="000000"/>
              <w:left w:val="nil"/>
              <w:bottom w:val="single" w:sz="8" w:space="0" w:color="000000"/>
              <w:right w:val="single" w:sz="8" w:space="0" w:color="000000"/>
            </w:tcBorders>
            <w:shd w:val="clear" w:color="auto" w:fill="auto"/>
            <w:vAlign w:val="center"/>
            <w:hideMark/>
          </w:tcPr>
          <w:p w14:paraId="4B316123" w14:textId="77777777" w:rsidR="00AD63DC" w:rsidRPr="00AD63DC" w:rsidRDefault="00AD63DC" w:rsidP="00AD63DC">
            <w:pPr>
              <w:spacing w:line="240" w:lineRule="auto"/>
              <w:jc w:val="center"/>
              <w:rPr>
                <w:rFonts w:eastAsia="Times New Roman" w:cs="Calibri"/>
                <w:b/>
                <w:bCs/>
                <w:color w:val="000000"/>
                <w:sz w:val="20"/>
                <w:szCs w:val="20"/>
                <w:lang w:val="en-US"/>
              </w:rPr>
            </w:pPr>
            <w:r w:rsidRPr="00AD63DC">
              <w:rPr>
                <w:rFonts w:eastAsia="Times New Roman" w:cs="Calibri"/>
                <w:b/>
                <w:bCs/>
                <w:color w:val="000000"/>
                <w:sz w:val="20"/>
                <w:szCs w:val="20"/>
                <w:lang w:val="en-US"/>
              </w:rPr>
              <w:t>Class_4 (N0XXX)</w:t>
            </w:r>
          </w:p>
        </w:tc>
      </w:tr>
      <w:tr w:rsidR="00AD63DC" w:rsidRPr="00483771" w14:paraId="3AA8E2AD" w14:textId="77777777" w:rsidTr="002F38A2">
        <w:trPr>
          <w:trHeight w:val="400"/>
        </w:trPr>
        <w:tc>
          <w:tcPr>
            <w:tcW w:w="497" w:type="pct"/>
            <w:tcBorders>
              <w:top w:val="nil"/>
              <w:left w:val="single" w:sz="8" w:space="0" w:color="000000"/>
              <w:bottom w:val="single" w:sz="8" w:space="0" w:color="000000"/>
              <w:right w:val="single" w:sz="8" w:space="0" w:color="000000"/>
            </w:tcBorders>
            <w:shd w:val="clear" w:color="auto" w:fill="auto"/>
            <w:vAlign w:val="center"/>
            <w:hideMark/>
          </w:tcPr>
          <w:p w14:paraId="7C9306AB"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N06AB03</w:t>
            </w:r>
          </w:p>
        </w:tc>
        <w:tc>
          <w:tcPr>
            <w:tcW w:w="659" w:type="pct"/>
            <w:tcBorders>
              <w:top w:val="nil"/>
              <w:left w:val="nil"/>
              <w:bottom w:val="single" w:sz="8" w:space="0" w:color="000000"/>
              <w:right w:val="single" w:sz="8" w:space="0" w:color="000000"/>
            </w:tcBorders>
            <w:shd w:val="clear" w:color="auto" w:fill="auto"/>
            <w:vAlign w:val="center"/>
            <w:hideMark/>
          </w:tcPr>
          <w:p w14:paraId="2F73D9DD"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fluoxetine</w:t>
            </w:r>
          </w:p>
        </w:tc>
        <w:tc>
          <w:tcPr>
            <w:tcW w:w="874" w:type="pct"/>
            <w:tcBorders>
              <w:top w:val="nil"/>
              <w:left w:val="nil"/>
              <w:bottom w:val="single" w:sz="8" w:space="0" w:color="000000"/>
              <w:right w:val="single" w:sz="8" w:space="0" w:color="000000"/>
            </w:tcBorders>
            <w:shd w:val="clear" w:color="auto" w:fill="auto"/>
            <w:vAlign w:val="center"/>
            <w:hideMark/>
          </w:tcPr>
          <w:p w14:paraId="0A79C3FD"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Nervous system</w:t>
            </w:r>
          </w:p>
        </w:tc>
        <w:tc>
          <w:tcPr>
            <w:tcW w:w="862" w:type="pct"/>
            <w:tcBorders>
              <w:top w:val="nil"/>
              <w:left w:val="nil"/>
              <w:bottom w:val="single" w:sz="8" w:space="0" w:color="000000"/>
              <w:right w:val="single" w:sz="8" w:space="0" w:color="000000"/>
            </w:tcBorders>
            <w:shd w:val="clear" w:color="auto" w:fill="auto"/>
            <w:vAlign w:val="center"/>
            <w:hideMark/>
          </w:tcPr>
          <w:p w14:paraId="7C606612"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Psychoanaleptics</w:t>
            </w:r>
            <w:proofErr w:type="spellEnd"/>
          </w:p>
        </w:tc>
        <w:tc>
          <w:tcPr>
            <w:tcW w:w="911" w:type="pct"/>
            <w:tcBorders>
              <w:top w:val="nil"/>
              <w:left w:val="nil"/>
              <w:bottom w:val="single" w:sz="8" w:space="0" w:color="000000"/>
              <w:right w:val="single" w:sz="8" w:space="0" w:color="000000"/>
            </w:tcBorders>
            <w:shd w:val="clear" w:color="auto" w:fill="auto"/>
            <w:vAlign w:val="center"/>
            <w:hideMark/>
          </w:tcPr>
          <w:p w14:paraId="1938C457"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Antidepressants</w:t>
            </w:r>
          </w:p>
        </w:tc>
        <w:tc>
          <w:tcPr>
            <w:tcW w:w="1197" w:type="pct"/>
            <w:tcBorders>
              <w:top w:val="nil"/>
              <w:left w:val="nil"/>
              <w:bottom w:val="single" w:sz="8" w:space="0" w:color="000000"/>
              <w:right w:val="single" w:sz="8" w:space="0" w:color="000000"/>
            </w:tcBorders>
            <w:shd w:val="clear" w:color="auto" w:fill="auto"/>
            <w:vAlign w:val="center"/>
            <w:hideMark/>
          </w:tcPr>
          <w:p w14:paraId="31D10490"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SSRI</w:t>
            </w:r>
          </w:p>
        </w:tc>
      </w:tr>
      <w:tr w:rsidR="00AD63DC" w:rsidRPr="00483771" w14:paraId="27827E12" w14:textId="77777777" w:rsidTr="002F38A2">
        <w:trPr>
          <w:trHeight w:val="400"/>
        </w:trPr>
        <w:tc>
          <w:tcPr>
            <w:tcW w:w="497" w:type="pct"/>
            <w:tcBorders>
              <w:top w:val="nil"/>
              <w:left w:val="single" w:sz="8" w:space="0" w:color="000000"/>
              <w:bottom w:val="single" w:sz="8" w:space="0" w:color="000000"/>
              <w:right w:val="single" w:sz="8" w:space="0" w:color="000000"/>
            </w:tcBorders>
            <w:shd w:val="clear" w:color="auto" w:fill="auto"/>
            <w:vAlign w:val="center"/>
            <w:hideMark/>
          </w:tcPr>
          <w:p w14:paraId="7C0CE2EE"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N06AB04</w:t>
            </w:r>
          </w:p>
        </w:tc>
        <w:tc>
          <w:tcPr>
            <w:tcW w:w="659" w:type="pct"/>
            <w:tcBorders>
              <w:top w:val="nil"/>
              <w:left w:val="nil"/>
              <w:bottom w:val="single" w:sz="8" w:space="0" w:color="000000"/>
              <w:right w:val="single" w:sz="8" w:space="0" w:color="000000"/>
            </w:tcBorders>
            <w:shd w:val="clear" w:color="auto" w:fill="auto"/>
            <w:vAlign w:val="center"/>
            <w:hideMark/>
          </w:tcPr>
          <w:p w14:paraId="156ACDBC"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citalopram</w:t>
            </w:r>
          </w:p>
        </w:tc>
        <w:tc>
          <w:tcPr>
            <w:tcW w:w="874" w:type="pct"/>
            <w:tcBorders>
              <w:top w:val="nil"/>
              <w:left w:val="nil"/>
              <w:bottom w:val="single" w:sz="8" w:space="0" w:color="000000"/>
              <w:right w:val="single" w:sz="8" w:space="0" w:color="000000"/>
            </w:tcBorders>
            <w:shd w:val="clear" w:color="auto" w:fill="auto"/>
            <w:vAlign w:val="center"/>
            <w:hideMark/>
          </w:tcPr>
          <w:p w14:paraId="3D634FC8"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Nervous system</w:t>
            </w:r>
          </w:p>
        </w:tc>
        <w:tc>
          <w:tcPr>
            <w:tcW w:w="862" w:type="pct"/>
            <w:tcBorders>
              <w:top w:val="nil"/>
              <w:left w:val="nil"/>
              <w:bottom w:val="single" w:sz="8" w:space="0" w:color="000000"/>
              <w:right w:val="single" w:sz="8" w:space="0" w:color="000000"/>
            </w:tcBorders>
            <w:shd w:val="clear" w:color="auto" w:fill="auto"/>
            <w:vAlign w:val="center"/>
            <w:hideMark/>
          </w:tcPr>
          <w:p w14:paraId="25F8851F"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Psychoanaleptics</w:t>
            </w:r>
            <w:proofErr w:type="spellEnd"/>
          </w:p>
        </w:tc>
        <w:tc>
          <w:tcPr>
            <w:tcW w:w="911" w:type="pct"/>
            <w:tcBorders>
              <w:top w:val="nil"/>
              <w:left w:val="nil"/>
              <w:bottom w:val="single" w:sz="8" w:space="0" w:color="000000"/>
              <w:right w:val="single" w:sz="8" w:space="0" w:color="000000"/>
            </w:tcBorders>
            <w:shd w:val="clear" w:color="auto" w:fill="auto"/>
            <w:vAlign w:val="center"/>
            <w:hideMark/>
          </w:tcPr>
          <w:p w14:paraId="4A17CB74"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Antidepressants</w:t>
            </w:r>
          </w:p>
        </w:tc>
        <w:tc>
          <w:tcPr>
            <w:tcW w:w="1197" w:type="pct"/>
            <w:tcBorders>
              <w:top w:val="nil"/>
              <w:left w:val="nil"/>
              <w:bottom w:val="single" w:sz="8" w:space="0" w:color="000000"/>
              <w:right w:val="single" w:sz="8" w:space="0" w:color="000000"/>
            </w:tcBorders>
            <w:shd w:val="clear" w:color="auto" w:fill="auto"/>
            <w:vAlign w:val="center"/>
            <w:hideMark/>
          </w:tcPr>
          <w:p w14:paraId="0DE50F24"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SSRI</w:t>
            </w:r>
          </w:p>
        </w:tc>
      </w:tr>
      <w:tr w:rsidR="00AD63DC" w:rsidRPr="00483771" w14:paraId="0CF745CA" w14:textId="77777777" w:rsidTr="002F38A2">
        <w:trPr>
          <w:trHeight w:val="400"/>
        </w:trPr>
        <w:tc>
          <w:tcPr>
            <w:tcW w:w="497" w:type="pct"/>
            <w:tcBorders>
              <w:top w:val="nil"/>
              <w:left w:val="single" w:sz="8" w:space="0" w:color="000000"/>
              <w:bottom w:val="single" w:sz="8" w:space="0" w:color="000000"/>
              <w:right w:val="single" w:sz="8" w:space="0" w:color="000000"/>
            </w:tcBorders>
            <w:shd w:val="clear" w:color="auto" w:fill="auto"/>
            <w:vAlign w:val="center"/>
            <w:hideMark/>
          </w:tcPr>
          <w:p w14:paraId="542B2F89"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N06AB05</w:t>
            </w:r>
          </w:p>
        </w:tc>
        <w:tc>
          <w:tcPr>
            <w:tcW w:w="659" w:type="pct"/>
            <w:tcBorders>
              <w:top w:val="nil"/>
              <w:left w:val="nil"/>
              <w:bottom w:val="single" w:sz="8" w:space="0" w:color="000000"/>
              <w:right w:val="single" w:sz="8" w:space="0" w:color="000000"/>
            </w:tcBorders>
            <w:shd w:val="clear" w:color="auto" w:fill="auto"/>
            <w:vAlign w:val="center"/>
            <w:hideMark/>
          </w:tcPr>
          <w:p w14:paraId="17CB810D"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paroxetine</w:t>
            </w:r>
          </w:p>
        </w:tc>
        <w:tc>
          <w:tcPr>
            <w:tcW w:w="874" w:type="pct"/>
            <w:tcBorders>
              <w:top w:val="nil"/>
              <w:left w:val="nil"/>
              <w:bottom w:val="single" w:sz="8" w:space="0" w:color="000000"/>
              <w:right w:val="single" w:sz="8" w:space="0" w:color="000000"/>
            </w:tcBorders>
            <w:shd w:val="clear" w:color="auto" w:fill="auto"/>
            <w:vAlign w:val="center"/>
            <w:hideMark/>
          </w:tcPr>
          <w:p w14:paraId="752280DF"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Nervous system</w:t>
            </w:r>
          </w:p>
        </w:tc>
        <w:tc>
          <w:tcPr>
            <w:tcW w:w="862" w:type="pct"/>
            <w:tcBorders>
              <w:top w:val="nil"/>
              <w:left w:val="nil"/>
              <w:bottom w:val="single" w:sz="8" w:space="0" w:color="000000"/>
              <w:right w:val="single" w:sz="8" w:space="0" w:color="000000"/>
            </w:tcBorders>
            <w:shd w:val="clear" w:color="auto" w:fill="auto"/>
            <w:vAlign w:val="center"/>
            <w:hideMark/>
          </w:tcPr>
          <w:p w14:paraId="47B6F135"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Psychoanaleptics</w:t>
            </w:r>
            <w:proofErr w:type="spellEnd"/>
          </w:p>
        </w:tc>
        <w:tc>
          <w:tcPr>
            <w:tcW w:w="911" w:type="pct"/>
            <w:tcBorders>
              <w:top w:val="nil"/>
              <w:left w:val="nil"/>
              <w:bottom w:val="single" w:sz="8" w:space="0" w:color="000000"/>
              <w:right w:val="single" w:sz="8" w:space="0" w:color="000000"/>
            </w:tcBorders>
            <w:shd w:val="clear" w:color="auto" w:fill="auto"/>
            <w:vAlign w:val="center"/>
            <w:hideMark/>
          </w:tcPr>
          <w:p w14:paraId="50506461"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Antidepressants</w:t>
            </w:r>
          </w:p>
        </w:tc>
        <w:tc>
          <w:tcPr>
            <w:tcW w:w="1197" w:type="pct"/>
            <w:tcBorders>
              <w:top w:val="nil"/>
              <w:left w:val="nil"/>
              <w:bottom w:val="single" w:sz="8" w:space="0" w:color="000000"/>
              <w:right w:val="single" w:sz="8" w:space="0" w:color="000000"/>
            </w:tcBorders>
            <w:shd w:val="clear" w:color="auto" w:fill="auto"/>
            <w:vAlign w:val="center"/>
            <w:hideMark/>
          </w:tcPr>
          <w:p w14:paraId="3727CD2F"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SSRI</w:t>
            </w:r>
          </w:p>
        </w:tc>
      </w:tr>
      <w:tr w:rsidR="00AD63DC" w:rsidRPr="00483771" w14:paraId="457E965D" w14:textId="77777777" w:rsidTr="002F38A2">
        <w:trPr>
          <w:trHeight w:val="400"/>
        </w:trPr>
        <w:tc>
          <w:tcPr>
            <w:tcW w:w="497" w:type="pct"/>
            <w:tcBorders>
              <w:top w:val="nil"/>
              <w:left w:val="single" w:sz="8" w:space="0" w:color="000000"/>
              <w:bottom w:val="single" w:sz="8" w:space="0" w:color="000000"/>
              <w:right w:val="single" w:sz="8" w:space="0" w:color="000000"/>
            </w:tcBorders>
            <w:shd w:val="clear" w:color="auto" w:fill="auto"/>
            <w:vAlign w:val="center"/>
            <w:hideMark/>
          </w:tcPr>
          <w:p w14:paraId="053D1554"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N06AB06</w:t>
            </w:r>
          </w:p>
        </w:tc>
        <w:tc>
          <w:tcPr>
            <w:tcW w:w="659" w:type="pct"/>
            <w:tcBorders>
              <w:top w:val="nil"/>
              <w:left w:val="nil"/>
              <w:bottom w:val="single" w:sz="8" w:space="0" w:color="000000"/>
              <w:right w:val="single" w:sz="8" w:space="0" w:color="000000"/>
            </w:tcBorders>
            <w:shd w:val="clear" w:color="auto" w:fill="auto"/>
            <w:vAlign w:val="center"/>
            <w:hideMark/>
          </w:tcPr>
          <w:p w14:paraId="1367DACF"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sertaline</w:t>
            </w:r>
            <w:proofErr w:type="spellEnd"/>
          </w:p>
        </w:tc>
        <w:tc>
          <w:tcPr>
            <w:tcW w:w="874" w:type="pct"/>
            <w:tcBorders>
              <w:top w:val="nil"/>
              <w:left w:val="nil"/>
              <w:bottom w:val="single" w:sz="8" w:space="0" w:color="000000"/>
              <w:right w:val="single" w:sz="8" w:space="0" w:color="000000"/>
            </w:tcBorders>
            <w:shd w:val="clear" w:color="auto" w:fill="auto"/>
            <w:vAlign w:val="center"/>
            <w:hideMark/>
          </w:tcPr>
          <w:p w14:paraId="1241FFE2"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Nervous system</w:t>
            </w:r>
          </w:p>
        </w:tc>
        <w:tc>
          <w:tcPr>
            <w:tcW w:w="862" w:type="pct"/>
            <w:tcBorders>
              <w:top w:val="nil"/>
              <w:left w:val="nil"/>
              <w:bottom w:val="single" w:sz="8" w:space="0" w:color="000000"/>
              <w:right w:val="single" w:sz="8" w:space="0" w:color="000000"/>
            </w:tcBorders>
            <w:shd w:val="clear" w:color="auto" w:fill="auto"/>
            <w:vAlign w:val="center"/>
            <w:hideMark/>
          </w:tcPr>
          <w:p w14:paraId="09023BED"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Psychoanaleptics</w:t>
            </w:r>
            <w:proofErr w:type="spellEnd"/>
          </w:p>
        </w:tc>
        <w:tc>
          <w:tcPr>
            <w:tcW w:w="911" w:type="pct"/>
            <w:tcBorders>
              <w:top w:val="nil"/>
              <w:left w:val="nil"/>
              <w:bottom w:val="single" w:sz="8" w:space="0" w:color="000000"/>
              <w:right w:val="single" w:sz="8" w:space="0" w:color="000000"/>
            </w:tcBorders>
            <w:shd w:val="clear" w:color="auto" w:fill="auto"/>
            <w:vAlign w:val="center"/>
            <w:hideMark/>
          </w:tcPr>
          <w:p w14:paraId="35C196C4"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Antidepressants</w:t>
            </w:r>
          </w:p>
        </w:tc>
        <w:tc>
          <w:tcPr>
            <w:tcW w:w="1197" w:type="pct"/>
            <w:tcBorders>
              <w:top w:val="nil"/>
              <w:left w:val="nil"/>
              <w:bottom w:val="single" w:sz="8" w:space="0" w:color="000000"/>
              <w:right w:val="single" w:sz="8" w:space="0" w:color="000000"/>
            </w:tcBorders>
            <w:shd w:val="clear" w:color="auto" w:fill="auto"/>
            <w:vAlign w:val="center"/>
            <w:hideMark/>
          </w:tcPr>
          <w:p w14:paraId="5EC1A25C"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SSRI</w:t>
            </w:r>
          </w:p>
        </w:tc>
      </w:tr>
      <w:tr w:rsidR="00AD63DC" w:rsidRPr="00483771" w14:paraId="2BFE4A17" w14:textId="77777777" w:rsidTr="002F38A2">
        <w:trPr>
          <w:trHeight w:val="400"/>
        </w:trPr>
        <w:tc>
          <w:tcPr>
            <w:tcW w:w="497" w:type="pct"/>
            <w:tcBorders>
              <w:top w:val="nil"/>
              <w:left w:val="single" w:sz="8" w:space="0" w:color="000000"/>
              <w:bottom w:val="single" w:sz="8" w:space="0" w:color="000000"/>
              <w:right w:val="single" w:sz="8" w:space="0" w:color="000000"/>
            </w:tcBorders>
            <w:shd w:val="clear" w:color="auto" w:fill="auto"/>
            <w:vAlign w:val="center"/>
            <w:hideMark/>
          </w:tcPr>
          <w:p w14:paraId="245B39B1"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N06AB10</w:t>
            </w:r>
          </w:p>
        </w:tc>
        <w:tc>
          <w:tcPr>
            <w:tcW w:w="659" w:type="pct"/>
            <w:tcBorders>
              <w:top w:val="nil"/>
              <w:left w:val="nil"/>
              <w:bottom w:val="single" w:sz="8" w:space="0" w:color="000000"/>
              <w:right w:val="single" w:sz="8" w:space="0" w:color="000000"/>
            </w:tcBorders>
            <w:shd w:val="clear" w:color="auto" w:fill="auto"/>
            <w:vAlign w:val="center"/>
            <w:hideMark/>
          </w:tcPr>
          <w:p w14:paraId="5AC0EEDA"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escitalopram</w:t>
            </w:r>
          </w:p>
        </w:tc>
        <w:tc>
          <w:tcPr>
            <w:tcW w:w="874" w:type="pct"/>
            <w:tcBorders>
              <w:top w:val="nil"/>
              <w:left w:val="nil"/>
              <w:bottom w:val="single" w:sz="8" w:space="0" w:color="000000"/>
              <w:right w:val="single" w:sz="8" w:space="0" w:color="000000"/>
            </w:tcBorders>
            <w:shd w:val="clear" w:color="auto" w:fill="auto"/>
            <w:vAlign w:val="center"/>
            <w:hideMark/>
          </w:tcPr>
          <w:p w14:paraId="3697F9D6"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Nervous system</w:t>
            </w:r>
          </w:p>
        </w:tc>
        <w:tc>
          <w:tcPr>
            <w:tcW w:w="862" w:type="pct"/>
            <w:tcBorders>
              <w:top w:val="nil"/>
              <w:left w:val="nil"/>
              <w:bottom w:val="single" w:sz="8" w:space="0" w:color="000000"/>
              <w:right w:val="single" w:sz="8" w:space="0" w:color="000000"/>
            </w:tcBorders>
            <w:shd w:val="clear" w:color="auto" w:fill="auto"/>
            <w:vAlign w:val="center"/>
            <w:hideMark/>
          </w:tcPr>
          <w:p w14:paraId="7F585C02"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Psychoanaleptics</w:t>
            </w:r>
            <w:proofErr w:type="spellEnd"/>
          </w:p>
        </w:tc>
        <w:tc>
          <w:tcPr>
            <w:tcW w:w="911" w:type="pct"/>
            <w:tcBorders>
              <w:top w:val="nil"/>
              <w:left w:val="nil"/>
              <w:bottom w:val="single" w:sz="8" w:space="0" w:color="000000"/>
              <w:right w:val="single" w:sz="8" w:space="0" w:color="000000"/>
            </w:tcBorders>
            <w:shd w:val="clear" w:color="auto" w:fill="auto"/>
            <w:vAlign w:val="center"/>
            <w:hideMark/>
          </w:tcPr>
          <w:p w14:paraId="7BCEADB0"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Antidepressants</w:t>
            </w:r>
          </w:p>
        </w:tc>
        <w:tc>
          <w:tcPr>
            <w:tcW w:w="1197" w:type="pct"/>
            <w:tcBorders>
              <w:top w:val="nil"/>
              <w:left w:val="nil"/>
              <w:bottom w:val="single" w:sz="8" w:space="0" w:color="000000"/>
              <w:right w:val="single" w:sz="8" w:space="0" w:color="000000"/>
            </w:tcBorders>
            <w:shd w:val="clear" w:color="auto" w:fill="auto"/>
            <w:vAlign w:val="center"/>
            <w:hideMark/>
          </w:tcPr>
          <w:p w14:paraId="42EA279B"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SSRI</w:t>
            </w:r>
          </w:p>
        </w:tc>
      </w:tr>
      <w:tr w:rsidR="00AD63DC" w:rsidRPr="00483771" w14:paraId="6338B44B" w14:textId="77777777" w:rsidTr="002F38A2">
        <w:trPr>
          <w:trHeight w:val="400"/>
        </w:trPr>
        <w:tc>
          <w:tcPr>
            <w:tcW w:w="497" w:type="pct"/>
            <w:tcBorders>
              <w:top w:val="nil"/>
              <w:left w:val="single" w:sz="8" w:space="0" w:color="000000"/>
              <w:bottom w:val="single" w:sz="8" w:space="0" w:color="000000"/>
              <w:right w:val="single" w:sz="8" w:space="0" w:color="000000"/>
            </w:tcBorders>
            <w:shd w:val="clear" w:color="auto" w:fill="auto"/>
            <w:vAlign w:val="center"/>
            <w:hideMark/>
          </w:tcPr>
          <w:p w14:paraId="556D1398"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N06AX16</w:t>
            </w:r>
          </w:p>
        </w:tc>
        <w:tc>
          <w:tcPr>
            <w:tcW w:w="659" w:type="pct"/>
            <w:tcBorders>
              <w:top w:val="nil"/>
              <w:left w:val="nil"/>
              <w:bottom w:val="single" w:sz="8" w:space="0" w:color="000000"/>
              <w:right w:val="single" w:sz="8" w:space="0" w:color="000000"/>
            </w:tcBorders>
            <w:shd w:val="clear" w:color="auto" w:fill="auto"/>
            <w:vAlign w:val="center"/>
            <w:hideMark/>
          </w:tcPr>
          <w:p w14:paraId="549593BF"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venlafaxine</w:t>
            </w:r>
          </w:p>
        </w:tc>
        <w:tc>
          <w:tcPr>
            <w:tcW w:w="874" w:type="pct"/>
            <w:tcBorders>
              <w:top w:val="nil"/>
              <w:left w:val="nil"/>
              <w:bottom w:val="single" w:sz="8" w:space="0" w:color="000000"/>
              <w:right w:val="single" w:sz="8" w:space="0" w:color="000000"/>
            </w:tcBorders>
            <w:shd w:val="clear" w:color="auto" w:fill="auto"/>
            <w:vAlign w:val="center"/>
            <w:hideMark/>
          </w:tcPr>
          <w:p w14:paraId="0951E4F3"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Nervous system</w:t>
            </w:r>
          </w:p>
        </w:tc>
        <w:tc>
          <w:tcPr>
            <w:tcW w:w="862" w:type="pct"/>
            <w:tcBorders>
              <w:top w:val="nil"/>
              <w:left w:val="nil"/>
              <w:bottom w:val="single" w:sz="8" w:space="0" w:color="000000"/>
              <w:right w:val="single" w:sz="8" w:space="0" w:color="000000"/>
            </w:tcBorders>
            <w:shd w:val="clear" w:color="auto" w:fill="auto"/>
            <w:vAlign w:val="center"/>
            <w:hideMark/>
          </w:tcPr>
          <w:p w14:paraId="25C8FA99"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Psychoanaleptics</w:t>
            </w:r>
            <w:proofErr w:type="spellEnd"/>
          </w:p>
        </w:tc>
        <w:tc>
          <w:tcPr>
            <w:tcW w:w="911" w:type="pct"/>
            <w:tcBorders>
              <w:top w:val="nil"/>
              <w:left w:val="nil"/>
              <w:bottom w:val="single" w:sz="8" w:space="0" w:color="000000"/>
              <w:right w:val="single" w:sz="8" w:space="0" w:color="000000"/>
            </w:tcBorders>
            <w:shd w:val="clear" w:color="auto" w:fill="auto"/>
            <w:vAlign w:val="center"/>
            <w:hideMark/>
          </w:tcPr>
          <w:p w14:paraId="2A427B87"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Antidepressants</w:t>
            </w:r>
          </w:p>
        </w:tc>
        <w:tc>
          <w:tcPr>
            <w:tcW w:w="1197" w:type="pct"/>
            <w:tcBorders>
              <w:top w:val="nil"/>
              <w:left w:val="nil"/>
              <w:bottom w:val="single" w:sz="8" w:space="0" w:color="000000"/>
              <w:right w:val="single" w:sz="8" w:space="0" w:color="000000"/>
            </w:tcBorders>
            <w:shd w:val="clear" w:color="auto" w:fill="auto"/>
            <w:vAlign w:val="center"/>
            <w:hideMark/>
          </w:tcPr>
          <w:p w14:paraId="5389A982"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Other antidepressants</w:t>
            </w:r>
          </w:p>
        </w:tc>
      </w:tr>
      <w:tr w:rsidR="00AD63DC" w:rsidRPr="00483771" w14:paraId="2CCBACB9" w14:textId="77777777" w:rsidTr="002F38A2">
        <w:trPr>
          <w:trHeight w:val="400"/>
        </w:trPr>
        <w:tc>
          <w:tcPr>
            <w:tcW w:w="497" w:type="pct"/>
            <w:tcBorders>
              <w:top w:val="nil"/>
              <w:left w:val="single" w:sz="8" w:space="0" w:color="000000"/>
              <w:bottom w:val="single" w:sz="8" w:space="0" w:color="000000"/>
              <w:right w:val="single" w:sz="8" w:space="0" w:color="000000"/>
            </w:tcBorders>
            <w:shd w:val="clear" w:color="auto" w:fill="auto"/>
            <w:vAlign w:val="center"/>
            <w:hideMark/>
          </w:tcPr>
          <w:p w14:paraId="116999CF"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N06AX17</w:t>
            </w:r>
          </w:p>
        </w:tc>
        <w:tc>
          <w:tcPr>
            <w:tcW w:w="659" w:type="pct"/>
            <w:tcBorders>
              <w:top w:val="nil"/>
              <w:left w:val="nil"/>
              <w:bottom w:val="single" w:sz="8" w:space="0" w:color="000000"/>
              <w:right w:val="single" w:sz="8" w:space="0" w:color="000000"/>
            </w:tcBorders>
            <w:shd w:val="clear" w:color="auto" w:fill="auto"/>
            <w:vAlign w:val="center"/>
            <w:hideMark/>
          </w:tcPr>
          <w:p w14:paraId="1B3E57A5"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milnacipran</w:t>
            </w:r>
          </w:p>
        </w:tc>
        <w:tc>
          <w:tcPr>
            <w:tcW w:w="874" w:type="pct"/>
            <w:tcBorders>
              <w:top w:val="nil"/>
              <w:left w:val="nil"/>
              <w:bottom w:val="single" w:sz="8" w:space="0" w:color="000000"/>
              <w:right w:val="single" w:sz="8" w:space="0" w:color="000000"/>
            </w:tcBorders>
            <w:shd w:val="clear" w:color="auto" w:fill="auto"/>
            <w:vAlign w:val="center"/>
            <w:hideMark/>
          </w:tcPr>
          <w:p w14:paraId="41B50652"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Nervous system</w:t>
            </w:r>
          </w:p>
        </w:tc>
        <w:tc>
          <w:tcPr>
            <w:tcW w:w="862" w:type="pct"/>
            <w:tcBorders>
              <w:top w:val="nil"/>
              <w:left w:val="nil"/>
              <w:bottom w:val="single" w:sz="8" w:space="0" w:color="000000"/>
              <w:right w:val="single" w:sz="8" w:space="0" w:color="000000"/>
            </w:tcBorders>
            <w:shd w:val="clear" w:color="auto" w:fill="auto"/>
            <w:vAlign w:val="center"/>
            <w:hideMark/>
          </w:tcPr>
          <w:p w14:paraId="58C0462A"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Psychoanaleptics</w:t>
            </w:r>
            <w:proofErr w:type="spellEnd"/>
          </w:p>
        </w:tc>
        <w:tc>
          <w:tcPr>
            <w:tcW w:w="911" w:type="pct"/>
            <w:tcBorders>
              <w:top w:val="nil"/>
              <w:left w:val="nil"/>
              <w:bottom w:val="single" w:sz="8" w:space="0" w:color="000000"/>
              <w:right w:val="single" w:sz="8" w:space="0" w:color="000000"/>
            </w:tcBorders>
            <w:shd w:val="clear" w:color="auto" w:fill="auto"/>
            <w:vAlign w:val="center"/>
            <w:hideMark/>
          </w:tcPr>
          <w:p w14:paraId="635092F2"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Antidepressants</w:t>
            </w:r>
          </w:p>
        </w:tc>
        <w:tc>
          <w:tcPr>
            <w:tcW w:w="1197" w:type="pct"/>
            <w:tcBorders>
              <w:top w:val="nil"/>
              <w:left w:val="nil"/>
              <w:bottom w:val="single" w:sz="8" w:space="0" w:color="000000"/>
              <w:right w:val="single" w:sz="8" w:space="0" w:color="000000"/>
            </w:tcBorders>
            <w:shd w:val="clear" w:color="auto" w:fill="auto"/>
            <w:vAlign w:val="center"/>
            <w:hideMark/>
          </w:tcPr>
          <w:p w14:paraId="25223804"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Other antidepressants</w:t>
            </w:r>
          </w:p>
        </w:tc>
      </w:tr>
      <w:tr w:rsidR="00AD63DC" w:rsidRPr="00483771" w14:paraId="71E866EE" w14:textId="77777777" w:rsidTr="002F38A2">
        <w:trPr>
          <w:trHeight w:val="400"/>
        </w:trPr>
        <w:tc>
          <w:tcPr>
            <w:tcW w:w="497" w:type="pct"/>
            <w:tcBorders>
              <w:top w:val="nil"/>
              <w:left w:val="single" w:sz="8" w:space="0" w:color="000000"/>
              <w:bottom w:val="single" w:sz="8" w:space="0" w:color="000000"/>
              <w:right w:val="single" w:sz="8" w:space="0" w:color="000000"/>
            </w:tcBorders>
            <w:shd w:val="clear" w:color="auto" w:fill="auto"/>
            <w:vAlign w:val="center"/>
            <w:hideMark/>
          </w:tcPr>
          <w:p w14:paraId="1CAE02AF"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N06AX21</w:t>
            </w:r>
          </w:p>
        </w:tc>
        <w:tc>
          <w:tcPr>
            <w:tcW w:w="659" w:type="pct"/>
            <w:tcBorders>
              <w:top w:val="nil"/>
              <w:left w:val="nil"/>
              <w:bottom w:val="single" w:sz="8" w:space="0" w:color="000000"/>
              <w:right w:val="single" w:sz="8" w:space="0" w:color="000000"/>
            </w:tcBorders>
            <w:shd w:val="clear" w:color="auto" w:fill="auto"/>
            <w:vAlign w:val="center"/>
            <w:hideMark/>
          </w:tcPr>
          <w:p w14:paraId="5AA9C65E"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duloxetine</w:t>
            </w:r>
          </w:p>
        </w:tc>
        <w:tc>
          <w:tcPr>
            <w:tcW w:w="874" w:type="pct"/>
            <w:tcBorders>
              <w:top w:val="nil"/>
              <w:left w:val="nil"/>
              <w:bottom w:val="single" w:sz="8" w:space="0" w:color="000000"/>
              <w:right w:val="single" w:sz="8" w:space="0" w:color="000000"/>
            </w:tcBorders>
            <w:shd w:val="clear" w:color="auto" w:fill="auto"/>
            <w:vAlign w:val="center"/>
            <w:hideMark/>
          </w:tcPr>
          <w:p w14:paraId="3E2BF956"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Nervous system</w:t>
            </w:r>
          </w:p>
        </w:tc>
        <w:tc>
          <w:tcPr>
            <w:tcW w:w="862" w:type="pct"/>
            <w:tcBorders>
              <w:top w:val="nil"/>
              <w:left w:val="nil"/>
              <w:bottom w:val="single" w:sz="8" w:space="0" w:color="000000"/>
              <w:right w:val="single" w:sz="8" w:space="0" w:color="000000"/>
            </w:tcBorders>
            <w:shd w:val="clear" w:color="auto" w:fill="auto"/>
            <w:vAlign w:val="center"/>
            <w:hideMark/>
          </w:tcPr>
          <w:p w14:paraId="38093561"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Psychoanaleptics</w:t>
            </w:r>
            <w:proofErr w:type="spellEnd"/>
          </w:p>
        </w:tc>
        <w:tc>
          <w:tcPr>
            <w:tcW w:w="911" w:type="pct"/>
            <w:tcBorders>
              <w:top w:val="nil"/>
              <w:left w:val="nil"/>
              <w:bottom w:val="single" w:sz="8" w:space="0" w:color="000000"/>
              <w:right w:val="single" w:sz="8" w:space="0" w:color="000000"/>
            </w:tcBorders>
            <w:shd w:val="clear" w:color="auto" w:fill="auto"/>
            <w:vAlign w:val="center"/>
            <w:hideMark/>
          </w:tcPr>
          <w:p w14:paraId="54519B9C"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Antidepressants</w:t>
            </w:r>
          </w:p>
        </w:tc>
        <w:tc>
          <w:tcPr>
            <w:tcW w:w="1197" w:type="pct"/>
            <w:tcBorders>
              <w:top w:val="nil"/>
              <w:left w:val="nil"/>
              <w:bottom w:val="single" w:sz="8" w:space="0" w:color="000000"/>
              <w:right w:val="single" w:sz="8" w:space="0" w:color="000000"/>
            </w:tcBorders>
            <w:shd w:val="clear" w:color="auto" w:fill="auto"/>
            <w:vAlign w:val="center"/>
            <w:hideMark/>
          </w:tcPr>
          <w:p w14:paraId="59CB938D"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Other antidepressants</w:t>
            </w:r>
          </w:p>
        </w:tc>
      </w:tr>
      <w:tr w:rsidR="00AD63DC" w:rsidRPr="00483771" w14:paraId="5E452AFE" w14:textId="77777777" w:rsidTr="002F38A2">
        <w:trPr>
          <w:trHeight w:val="400"/>
        </w:trPr>
        <w:tc>
          <w:tcPr>
            <w:tcW w:w="497" w:type="pct"/>
            <w:tcBorders>
              <w:top w:val="nil"/>
              <w:left w:val="single" w:sz="8" w:space="0" w:color="000000"/>
              <w:bottom w:val="single" w:sz="8" w:space="0" w:color="000000"/>
              <w:right w:val="single" w:sz="8" w:space="0" w:color="000000"/>
            </w:tcBorders>
            <w:shd w:val="clear" w:color="auto" w:fill="auto"/>
            <w:vAlign w:val="center"/>
            <w:hideMark/>
          </w:tcPr>
          <w:p w14:paraId="7BC1A913"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N06AX26</w:t>
            </w:r>
          </w:p>
        </w:tc>
        <w:tc>
          <w:tcPr>
            <w:tcW w:w="659" w:type="pct"/>
            <w:tcBorders>
              <w:top w:val="nil"/>
              <w:left w:val="nil"/>
              <w:bottom w:val="single" w:sz="8" w:space="0" w:color="000000"/>
              <w:right w:val="single" w:sz="8" w:space="0" w:color="000000"/>
            </w:tcBorders>
            <w:shd w:val="clear" w:color="auto" w:fill="auto"/>
            <w:vAlign w:val="center"/>
            <w:hideMark/>
          </w:tcPr>
          <w:p w14:paraId="4F803E67"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vortioxetine</w:t>
            </w:r>
          </w:p>
        </w:tc>
        <w:tc>
          <w:tcPr>
            <w:tcW w:w="874" w:type="pct"/>
            <w:tcBorders>
              <w:top w:val="nil"/>
              <w:left w:val="nil"/>
              <w:bottom w:val="single" w:sz="8" w:space="0" w:color="000000"/>
              <w:right w:val="single" w:sz="8" w:space="0" w:color="000000"/>
            </w:tcBorders>
            <w:shd w:val="clear" w:color="auto" w:fill="auto"/>
            <w:vAlign w:val="center"/>
            <w:hideMark/>
          </w:tcPr>
          <w:p w14:paraId="05E6E30B"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Nervous system</w:t>
            </w:r>
          </w:p>
        </w:tc>
        <w:tc>
          <w:tcPr>
            <w:tcW w:w="862" w:type="pct"/>
            <w:tcBorders>
              <w:top w:val="nil"/>
              <w:left w:val="nil"/>
              <w:bottom w:val="single" w:sz="8" w:space="0" w:color="000000"/>
              <w:right w:val="single" w:sz="8" w:space="0" w:color="000000"/>
            </w:tcBorders>
            <w:shd w:val="clear" w:color="auto" w:fill="auto"/>
            <w:vAlign w:val="center"/>
            <w:hideMark/>
          </w:tcPr>
          <w:p w14:paraId="05A0C683" w14:textId="77777777" w:rsidR="00AD63DC" w:rsidRPr="00AD63DC" w:rsidRDefault="00AD63DC" w:rsidP="00AD63DC">
            <w:pPr>
              <w:spacing w:line="240" w:lineRule="auto"/>
              <w:jc w:val="center"/>
              <w:rPr>
                <w:rFonts w:eastAsia="Times New Roman" w:cs="Calibri"/>
                <w:color w:val="000000"/>
                <w:sz w:val="20"/>
                <w:szCs w:val="20"/>
                <w:lang w:val="en-US"/>
              </w:rPr>
            </w:pPr>
            <w:proofErr w:type="spellStart"/>
            <w:r w:rsidRPr="00AD63DC">
              <w:rPr>
                <w:rFonts w:eastAsia="Times New Roman" w:cs="Calibri"/>
                <w:color w:val="000000"/>
                <w:sz w:val="20"/>
                <w:szCs w:val="20"/>
                <w:lang w:val="en-US"/>
              </w:rPr>
              <w:t>Psychoanaleptics</w:t>
            </w:r>
            <w:proofErr w:type="spellEnd"/>
          </w:p>
        </w:tc>
        <w:tc>
          <w:tcPr>
            <w:tcW w:w="911" w:type="pct"/>
            <w:tcBorders>
              <w:top w:val="nil"/>
              <w:left w:val="nil"/>
              <w:bottom w:val="single" w:sz="8" w:space="0" w:color="000000"/>
              <w:right w:val="single" w:sz="8" w:space="0" w:color="000000"/>
            </w:tcBorders>
            <w:shd w:val="clear" w:color="auto" w:fill="auto"/>
            <w:vAlign w:val="center"/>
            <w:hideMark/>
          </w:tcPr>
          <w:p w14:paraId="03EC34D5"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Antidepressants</w:t>
            </w:r>
          </w:p>
        </w:tc>
        <w:tc>
          <w:tcPr>
            <w:tcW w:w="1197" w:type="pct"/>
            <w:tcBorders>
              <w:top w:val="nil"/>
              <w:left w:val="nil"/>
              <w:bottom w:val="single" w:sz="8" w:space="0" w:color="000000"/>
              <w:right w:val="single" w:sz="8" w:space="0" w:color="000000"/>
            </w:tcBorders>
            <w:shd w:val="clear" w:color="auto" w:fill="auto"/>
            <w:vAlign w:val="center"/>
            <w:hideMark/>
          </w:tcPr>
          <w:p w14:paraId="17B38D6C" w14:textId="77777777" w:rsidR="00AD63DC" w:rsidRPr="00AD63DC" w:rsidRDefault="00AD63DC" w:rsidP="00AD63DC">
            <w:pPr>
              <w:spacing w:line="240" w:lineRule="auto"/>
              <w:jc w:val="center"/>
              <w:rPr>
                <w:rFonts w:eastAsia="Times New Roman" w:cs="Calibri"/>
                <w:color w:val="000000"/>
                <w:sz w:val="20"/>
                <w:szCs w:val="20"/>
                <w:lang w:val="en-US"/>
              </w:rPr>
            </w:pPr>
            <w:r w:rsidRPr="00AD63DC">
              <w:rPr>
                <w:rFonts w:eastAsia="Times New Roman" w:cs="Calibri"/>
                <w:color w:val="000000"/>
                <w:sz w:val="20"/>
                <w:szCs w:val="20"/>
                <w:lang w:val="en-US"/>
              </w:rPr>
              <w:t>Other antidepressants</w:t>
            </w:r>
          </w:p>
        </w:tc>
      </w:tr>
    </w:tbl>
    <w:p w14:paraId="362B0E6C" w14:textId="77777777" w:rsidR="003C6464" w:rsidRPr="00483771" w:rsidRDefault="003C6464" w:rsidP="003C6464">
      <w:pPr>
        <w:rPr>
          <w:lang w:val="en-US"/>
        </w:rPr>
      </w:pPr>
    </w:p>
    <w:p w14:paraId="58DD56AF" w14:textId="57F8D499" w:rsidR="00FE523A" w:rsidRPr="008D3389" w:rsidRDefault="00FE523A" w:rsidP="008D3389">
      <w:pPr>
        <w:rPr>
          <w:u w:val="single"/>
          <w:lang w:val="en-US"/>
        </w:rPr>
      </w:pPr>
      <w:r w:rsidRPr="008D3389">
        <w:rPr>
          <w:u w:val="single"/>
          <w:lang w:val="en-US"/>
        </w:rPr>
        <w:t>Other psychotropic medications</w:t>
      </w:r>
    </w:p>
    <w:tbl>
      <w:tblPr>
        <w:tblW w:w="5000" w:type="pct"/>
        <w:tblCellMar>
          <w:left w:w="70" w:type="dxa"/>
          <w:right w:w="70" w:type="dxa"/>
        </w:tblCellMar>
        <w:tblLook w:val="04A0" w:firstRow="1" w:lastRow="0" w:firstColumn="1" w:lastColumn="0" w:noHBand="0" w:noVBand="1"/>
      </w:tblPr>
      <w:tblGrid>
        <w:gridCol w:w="953"/>
        <w:gridCol w:w="1570"/>
        <w:gridCol w:w="1781"/>
        <w:gridCol w:w="1531"/>
        <w:gridCol w:w="1823"/>
        <w:gridCol w:w="2068"/>
      </w:tblGrid>
      <w:tr w:rsidR="002F38A2" w:rsidRPr="00483771" w14:paraId="09F98573" w14:textId="77777777" w:rsidTr="008861C7">
        <w:trPr>
          <w:cantSplit/>
          <w:trHeight w:val="400"/>
          <w:tblHeader/>
        </w:trPr>
        <w:tc>
          <w:tcPr>
            <w:tcW w:w="5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637500" w14:textId="77777777" w:rsidR="002F38A2" w:rsidRPr="002F38A2" w:rsidRDefault="002F38A2" w:rsidP="002F38A2">
            <w:pPr>
              <w:spacing w:line="240" w:lineRule="auto"/>
              <w:jc w:val="center"/>
              <w:rPr>
                <w:rFonts w:eastAsia="Times New Roman" w:cs="Calibri"/>
                <w:b/>
                <w:bCs/>
                <w:color w:val="000000"/>
                <w:sz w:val="20"/>
                <w:szCs w:val="20"/>
                <w:lang w:val="en-US"/>
              </w:rPr>
            </w:pPr>
            <w:r w:rsidRPr="002F38A2">
              <w:rPr>
                <w:rFonts w:eastAsia="Times New Roman" w:cs="Calibri"/>
                <w:b/>
                <w:bCs/>
                <w:color w:val="000000"/>
                <w:sz w:val="20"/>
                <w:szCs w:val="20"/>
                <w:lang w:val="en-US"/>
              </w:rPr>
              <w:t>ATC Code</w:t>
            </w:r>
          </w:p>
        </w:tc>
        <w:tc>
          <w:tcPr>
            <w:tcW w:w="650" w:type="pct"/>
            <w:tcBorders>
              <w:top w:val="single" w:sz="8" w:space="0" w:color="000000"/>
              <w:left w:val="nil"/>
              <w:bottom w:val="single" w:sz="8" w:space="0" w:color="000000"/>
              <w:right w:val="single" w:sz="8" w:space="0" w:color="000000"/>
            </w:tcBorders>
            <w:shd w:val="clear" w:color="auto" w:fill="auto"/>
            <w:vAlign w:val="center"/>
            <w:hideMark/>
          </w:tcPr>
          <w:p w14:paraId="228C44D0" w14:textId="77777777" w:rsidR="002F38A2" w:rsidRPr="002F38A2" w:rsidRDefault="002F38A2" w:rsidP="002F38A2">
            <w:pPr>
              <w:spacing w:line="240" w:lineRule="auto"/>
              <w:jc w:val="center"/>
              <w:rPr>
                <w:rFonts w:eastAsia="Times New Roman" w:cs="Calibri"/>
                <w:b/>
                <w:bCs/>
                <w:color w:val="000000"/>
                <w:sz w:val="20"/>
                <w:szCs w:val="20"/>
                <w:lang w:val="en-US"/>
              </w:rPr>
            </w:pPr>
            <w:r w:rsidRPr="002F38A2">
              <w:rPr>
                <w:rFonts w:eastAsia="Times New Roman" w:cs="Calibri"/>
                <w:b/>
                <w:bCs/>
                <w:color w:val="000000"/>
                <w:sz w:val="20"/>
                <w:szCs w:val="20"/>
                <w:lang w:val="en-US"/>
              </w:rPr>
              <w:t>Name</w:t>
            </w:r>
          </w:p>
        </w:tc>
        <w:tc>
          <w:tcPr>
            <w:tcW w:w="974" w:type="pct"/>
            <w:tcBorders>
              <w:top w:val="single" w:sz="8" w:space="0" w:color="000000"/>
              <w:left w:val="nil"/>
              <w:bottom w:val="single" w:sz="8" w:space="0" w:color="000000"/>
              <w:right w:val="single" w:sz="8" w:space="0" w:color="000000"/>
            </w:tcBorders>
            <w:shd w:val="clear" w:color="auto" w:fill="auto"/>
            <w:vAlign w:val="center"/>
            <w:hideMark/>
          </w:tcPr>
          <w:p w14:paraId="7A38A1CC" w14:textId="77777777" w:rsidR="002F38A2" w:rsidRPr="002F38A2" w:rsidRDefault="002F38A2" w:rsidP="002F38A2">
            <w:pPr>
              <w:spacing w:line="240" w:lineRule="auto"/>
              <w:jc w:val="center"/>
              <w:rPr>
                <w:rFonts w:eastAsia="Times New Roman" w:cs="Calibri"/>
                <w:b/>
                <w:bCs/>
                <w:color w:val="000000"/>
                <w:sz w:val="20"/>
                <w:szCs w:val="20"/>
                <w:lang w:val="en-US"/>
              </w:rPr>
            </w:pPr>
            <w:r w:rsidRPr="002F38A2">
              <w:rPr>
                <w:rFonts w:eastAsia="Times New Roman" w:cs="Calibri"/>
                <w:b/>
                <w:bCs/>
                <w:color w:val="000000"/>
                <w:sz w:val="20"/>
                <w:szCs w:val="20"/>
                <w:lang w:val="en-US"/>
              </w:rPr>
              <w:t>Class_1 (N)</w:t>
            </w:r>
          </w:p>
        </w:tc>
        <w:tc>
          <w:tcPr>
            <w:tcW w:w="787" w:type="pct"/>
            <w:tcBorders>
              <w:top w:val="single" w:sz="8" w:space="0" w:color="000000"/>
              <w:left w:val="nil"/>
              <w:bottom w:val="single" w:sz="8" w:space="0" w:color="000000"/>
              <w:right w:val="single" w:sz="8" w:space="0" w:color="000000"/>
            </w:tcBorders>
            <w:shd w:val="clear" w:color="auto" w:fill="auto"/>
            <w:vAlign w:val="center"/>
            <w:hideMark/>
          </w:tcPr>
          <w:p w14:paraId="69A3FED3" w14:textId="77777777" w:rsidR="002F38A2" w:rsidRPr="002F38A2" w:rsidRDefault="002F38A2" w:rsidP="002F38A2">
            <w:pPr>
              <w:spacing w:line="240" w:lineRule="auto"/>
              <w:jc w:val="center"/>
              <w:rPr>
                <w:rFonts w:eastAsia="Times New Roman" w:cs="Calibri"/>
                <w:b/>
                <w:bCs/>
                <w:color w:val="000000"/>
                <w:sz w:val="20"/>
                <w:szCs w:val="20"/>
                <w:lang w:val="en-US"/>
              </w:rPr>
            </w:pPr>
            <w:r w:rsidRPr="002F38A2">
              <w:rPr>
                <w:rFonts w:eastAsia="Times New Roman" w:cs="Calibri"/>
                <w:b/>
                <w:bCs/>
                <w:color w:val="000000"/>
                <w:sz w:val="20"/>
                <w:szCs w:val="20"/>
                <w:lang w:val="en-US"/>
              </w:rPr>
              <w:t>Class_2 (N0X)</w:t>
            </w:r>
          </w:p>
        </w:tc>
        <w:tc>
          <w:tcPr>
            <w:tcW w:w="976" w:type="pct"/>
            <w:tcBorders>
              <w:top w:val="single" w:sz="8" w:space="0" w:color="000000"/>
              <w:left w:val="nil"/>
              <w:bottom w:val="single" w:sz="8" w:space="0" w:color="000000"/>
              <w:right w:val="single" w:sz="8" w:space="0" w:color="000000"/>
            </w:tcBorders>
            <w:shd w:val="clear" w:color="auto" w:fill="auto"/>
            <w:vAlign w:val="center"/>
            <w:hideMark/>
          </w:tcPr>
          <w:p w14:paraId="5373DE43" w14:textId="77777777" w:rsidR="002F38A2" w:rsidRPr="002F38A2" w:rsidRDefault="002F38A2" w:rsidP="002F38A2">
            <w:pPr>
              <w:spacing w:line="240" w:lineRule="auto"/>
              <w:jc w:val="center"/>
              <w:rPr>
                <w:rFonts w:eastAsia="Times New Roman" w:cs="Calibri"/>
                <w:b/>
                <w:bCs/>
                <w:color w:val="000000"/>
                <w:sz w:val="20"/>
                <w:szCs w:val="20"/>
                <w:lang w:val="en-US"/>
              </w:rPr>
            </w:pPr>
            <w:r w:rsidRPr="002F38A2">
              <w:rPr>
                <w:rFonts w:eastAsia="Times New Roman" w:cs="Calibri"/>
                <w:b/>
                <w:bCs/>
                <w:color w:val="000000"/>
                <w:sz w:val="20"/>
                <w:szCs w:val="20"/>
                <w:lang w:val="en-US"/>
              </w:rPr>
              <w:t>Class_3 (N0XX)</w:t>
            </w:r>
          </w:p>
        </w:tc>
        <w:tc>
          <w:tcPr>
            <w:tcW w:w="1102" w:type="pct"/>
            <w:tcBorders>
              <w:top w:val="single" w:sz="8" w:space="0" w:color="000000"/>
              <w:left w:val="nil"/>
              <w:bottom w:val="single" w:sz="8" w:space="0" w:color="000000"/>
              <w:right w:val="single" w:sz="8" w:space="0" w:color="000000"/>
            </w:tcBorders>
            <w:shd w:val="clear" w:color="auto" w:fill="auto"/>
            <w:vAlign w:val="center"/>
            <w:hideMark/>
          </w:tcPr>
          <w:p w14:paraId="1F22829D" w14:textId="77777777" w:rsidR="002F38A2" w:rsidRPr="002F38A2" w:rsidRDefault="002F38A2" w:rsidP="002F38A2">
            <w:pPr>
              <w:spacing w:line="240" w:lineRule="auto"/>
              <w:jc w:val="center"/>
              <w:rPr>
                <w:rFonts w:eastAsia="Times New Roman" w:cs="Calibri"/>
                <w:b/>
                <w:bCs/>
                <w:color w:val="000000"/>
                <w:sz w:val="20"/>
                <w:szCs w:val="20"/>
                <w:lang w:val="en-US"/>
              </w:rPr>
            </w:pPr>
            <w:r w:rsidRPr="002F38A2">
              <w:rPr>
                <w:rFonts w:eastAsia="Times New Roman" w:cs="Calibri"/>
                <w:b/>
                <w:bCs/>
                <w:color w:val="000000"/>
                <w:sz w:val="20"/>
                <w:szCs w:val="20"/>
                <w:lang w:val="en-US"/>
              </w:rPr>
              <w:t>Class_4 (N0XXX)</w:t>
            </w:r>
          </w:p>
        </w:tc>
      </w:tr>
      <w:tr w:rsidR="002F38A2" w:rsidRPr="00483771" w14:paraId="286B0DEC"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44813A0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N05AN01</w:t>
            </w:r>
          </w:p>
        </w:tc>
        <w:tc>
          <w:tcPr>
            <w:tcW w:w="650" w:type="pct"/>
            <w:tcBorders>
              <w:top w:val="nil"/>
              <w:left w:val="nil"/>
              <w:bottom w:val="single" w:sz="8" w:space="0" w:color="000000"/>
              <w:right w:val="single" w:sz="8" w:space="0" w:color="000000"/>
            </w:tcBorders>
            <w:shd w:val="clear" w:color="auto" w:fill="auto"/>
            <w:vAlign w:val="center"/>
            <w:hideMark/>
          </w:tcPr>
          <w:p w14:paraId="2C9C3A05"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lithium</w:t>
            </w:r>
          </w:p>
        </w:tc>
        <w:tc>
          <w:tcPr>
            <w:tcW w:w="974" w:type="pct"/>
            <w:tcBorders>
              <w:top w:val="nil"/>
              <w:left w:val="nil"/>
              <w:bottom w:val="single" w:sz="8" w:space="0" w:color="000000"/>
              <w:right w:val="single" w:sz="8" w:space="0" w:color="000000"/>
            </w:tcBorders>
            <w:shd w:val="clear" w:color="auto" w:fill="auto"/>
            <w:vAlign w:val="center"/>
            <w:hideMark/>
          </w:tcPr>
          <w:p w14:paraId="006AA7FD"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16BB440B"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292E1724"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Antipsychotics</w:t>
            </w:r>
          </w:p>
        </w:tc>
        <w:tc>
          <w:tcPr>
            <w:tcW w:w="1102" w:type="pct"/>
            <w:tcBorders>
              <w:top w:val="nil"/>
              <w:left w:val="nil"/>
              <w:bottom w:val="single" w:sz="8" w:space="0" w:color="000000"/>
              <w:right w:val="single" w:sz="8" w:space="0" w:color="000000"/>
            </w:tcBorders>
            <w:shd w:val="clear" w:color="auto" w:fill="auto"/>
            <w:vAlign w:val="center"/>
            <w:hideMark/>
          </w:tcPr>
          <w:p w14:paraId="683A877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Lithium</w:t>
            </w:r>
          </w:p>
        </w:tc>
      </w:tr>
      <w:tr w:rsidR="002F38A2" w:rsidRPr="00483771" w14:paraId="1FBF9DDE"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2E01EF4D"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N05AX08</w:t>
            </w:r>
          </w:p>
        </w:tc>
        <w:tc>
          <w:tcPr>
            <w:tcW w:w="650" w:type="pct"/>
            <w:tcBorders>
              <w:top w:val="nil"/>
              <w:left w:val="nil"/>
              <w:bottom w:val="single" w:sz="8" w:space="0" w:color="000000"/>
              <w:right w:val="single" w:sz="8" w:space="0" w:color="000000"/>
            </w:tcBorders>
            <w:shd w:val="clear" w:color="auto" w:fill="auto"/>
            <w:vAlign w:val="center"/>
            <w:hideMark/>
          </w:tcPr>
          <w:p w14:paraId="1B462B4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risperidone</w:t>
            </w:r>
          </w:p>
        </w:tc>
        <w:tc>
          <w:tcPr>
            <w:tcW w:w="974" w:type="pct"/>
            <w:tcBorders>
              <w:top w:val="nil"/>
              <w:left w:val="nil"/>
              <w:bottom w:val="single" w:sz="8" w:space="0" w:color="000000"/>
              <w:right w:val="single" w:sz="8" w:space="0" w:color="000000"/>
            </w:tcBorders>
            <w:shd w:val="clear" w:color="auto" w:fill="auto"/>
            <w:vAlign w:val="center"/>
            <w:hideMark/>
          </w:tcPr>
          <w:p w14:paraId="6DF6EF2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35417306"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2AE68E8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Antipsychotics</w:t>
            </w:r>
          </w:p>
        </w:tc>
        <w:tc>
          <w:tcPr>
            <w:tcW w:w="1102" w:type="pct"/>
            <w:tcBorders>
              <w:top w:val="nil"/>
              <w:left w:val="nil"/>
              <w:bottom w:val="single" w:sz="8" w:space="0" w:color="000000"/>
              <w:right w:val="single" w:sz="8" w:space="0" w:color="000000"/>
            </w:tcBorders>
            <w:shd w:val="clear" w:color="auto" w:fill="auto"/>
            <w:vAlign w:val="center"/>
            <w:hideMark/>
          </w:tcPr>
          <w:p w14:paraId="69F60F8E"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Other antipsychotics</w:t>
            </w:r>
          </w:p>
        </w:tc>
      </w:tr>
      <w:tr w:rsidR="002F38A2" w:rsidRPr="00483771" w14:paraId="30AC19A9"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15181AFA"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N05AX12</w:t>
            </w:r>
          </w:p>
        </w:tc>
        <w:tc>
          <w:tcPr>
            <w:tcW w:w="650" w:type="pct"/>
            <w:tcBorders>
              <w:top w:val="nil"/>
              <w:left w:val="nil"/>
              <w:bottom w:val="single" w:sz="8" w:space="0" w:color="000000"/>
              <w:right w:val="single" w:sz="8" w:space="0" w:color="000000"/>
            </w:tcBorders>
            <w:shd w:val="clear" w:color="auto" w:fill="auto"/>
            <w:vAlign w:val="center"/>
            <w:hideMark/>
          </w:tcPr>
          <w:p w14:paraId="58CFADAE"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aripiprazole</w:t>
            </w:r>
          </w:p>
        </w:tc>
        <w:tc>
          <w:tcPr>
            <w:tcW w:w="974" w:type="pct"/>
            <w:tcBorders>
              <w:top w:val="nil"/>
              <w:left w:val="nil"/>
              <w:bottom w:val="single" w:sz="8" w:space="0" w:color="000000"/>
              <w:right w:val="single" w:sz="8" w:space="0" w:color="000000"/>
            </w:tcBorders>
            <w:shd w:val="clear" w:color="auto" w:fill="auto"/>
            <w:vAlign w:val="center"/>
            <w:hideMark/>
          </w:tcPr>
          <w:p w14:paraId="3246C347"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5FBE572E"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24235821"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Antipsychotics</w:t>
            </w:r>
          </w:p>
        </w:tc>
        <w:tc>
          <w:tcPr>
            <w:tcW w:w="1102" w:type="pct"/>
            <w:tcBorders>
              <w:top w:val="nil"/>
              <w:left w:val="nil"/>
              <w:bottom w:val="single" w:sz="8" w:space="0" w:color="000000"/>
              <w:right w:val="single" w:sz="8" w:space="0" w:color="000000"/>
            </w:tcBorders>
            <w:shd w:val="clear" w:color="auto" w:fill="auto"/>
            <w:vAlign w:val="center"/>
            <w:hideMark/>
          </w:tcPr>
          <w:p w14:paraId="7AF8AA5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Other antipsychotics</w:t>
            </w:r>
          </w:p>
        </w:tc>
      </w:tr>
      <w:tr w:rsidR="002F38A2" w:rsidRPr="00483771" w14:paraId="053519CE"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55612FA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N05BA01</w:t>
            </w:r>
          </w:p>
        </w:tc>
        <w:tc>
          <w:tcPr>
            <w:tcW w:w="650" w:type="pct"/>
            <w:tcBorders>
              <w:top w:val="nil"/>
              <w:left w:val="nil"/>
              <w:bottom w:val="single" w:sz="8" w:space="0" w:color="000000"/>
              <w:right w:val="single" w:sz="8" w:space="0" w:color="000000"/>
            </w:tcBorders>
            <w:shd w:val="clear" w:color="auto" w:fill="auto"/>
            <w:vAlign w:val="center"/>
            <w:hideMark/>
          </w:tcPr>
          <w:p w14:paraId="0C6DE98C"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diazepam</w:t>
            </w:r>
          </w:p>
        </w:tc>
        <w:tc>
          <w:tcPr>
            <w:tcW w:w="974" w:type="pct"/>
            <w:tcBorders>
              <w:top w:val="nil"/>
              <w:left w:val="nil"/>
              <w:bottom w:val="single" w:sz="8" w:space="0" w:color="000000"/>
              <w:right w:val="single" w:sz="8" w:space="0" w:color="000000"/>
            </w:tcBorders>
            <w:shd w:val="clear" w:color="auto" w:fill="auto"/>
            <w:vAlign w:val="center"/>
            <w:hideMark/>
          </w:tcPr>
          <w:p w14:paraId="6FA5451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3258B47D"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1010E22D"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Anxiolytics</w:t>
            </w:r>
          </w:p>
        </w:tc>
        <w:tc>
          <w:tcPr>
            <w:tcW w:w="1102" w:type="pct"/>
            <w:tcBorders>
              <w:top w:val="nil"/>
              <w:left w:val="nil"/>
              <w:bottom w:val="single" w:sz="8" w:space="0" w:color="000000"/>
              <w:right w:val="single" w:sz="8" w:space="0" w:color="000000"/>
            </w:tcBorders>
            <w:shd w:val="clear" w:color="auto" w:fill="auto"/>
            <w:vAlign w:val="center"/>
            <w:hideMark/>
          </w:tcPr>
          <w:p w14:paraId="72C185C0"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Benzodiazepine derivatives</w:t>
            </w:r>
          </w:p>
        </w:tc>
      </w:tr>
      <w:tr w:rsidR="002F38A2" w:rsidRPr="00483771" w14:paraId="56CBA686"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612B9B7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N05BA04</w:t>
            </w:r>
          </w:p>
        </w:tc>
        <w:tc>
          <w:tcPr>
            <w:tcW w:w="650" w:type="pct"/>
            <w:tcBorders>
              <w:top w:val="nil"/>
              <w:left w:val="nil"/>
              <w:bottom w:val="single" w:sz="8" w:space="0" w:color="000000"/>
              <w:right w:val="single" w:sz="8" w:space="0" w:color="000000"/>
            </w:tcBorders>
            <w:shd w:val="clear" w:color="auto" w:fill="auto"/>
            <w:vAlign w:val="center"/>
            <w:hideMark/>
          </w:tcPr>
          <w:p w14:paraId="60F84E2B"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oxazepam</w:t>
            </w:r>
          </w:p>
        </w:tc>
        <w:tc>
          <w:tcPr>
            <w:tcW w:w="974" w:type="pct"/>
            <w:tcBorders>
              <w:top w:val="nil"/>
              <w:left w:val="nil"/>
              <w:bottom w:val="single" w:sz="8" w:space="0" w:color="000000"/>
              <w:right w:val="single" w:sz="8" w:space="0" w:color="000000"/>
            </w:tcBorders>
            <w:shd w:val="clear" w:color="auto" w:fill="auto"/>
            <w:vAlign w:val="center"/>
            <w:hideMark/>
          </w:tcPr>
          <w:p w14:paraId="30DB9FF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7494801F"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00042AB7"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Anxiolytics</w:t>
            </w:r>
          </w:p>
        </w:tc>
        <w:tc>
          <w:tcPr>
            <w:tcW w:w="1102" w:type="pct"/>
            <w:tcBorders>
              <w:top w:val="nil"/>
              <w:left w:val="nil"/>
              <w:bottom w:val="single" w:sz="8" w:space="0" w:color="000000"/>
              <w:right w:val="single" w:sz="8" w:space="0" w:color="000000"/>
            </w:tcBorders>
            <w:shd w:val="clear" w:color="auto" w:fill="auto"/>
            <w:vAlign w:val="center"/>
            <w:hideMark/>
          </w:tcPr>
          <w:p w14:paraId="3AE74EED"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Benzodiazepine derivatives</w:t>
            </w:r>
          </w:p>
        </w:tc>
      </w:tr>
      <w:tr w:rsidR="002F38A2" w:rsidRPr="00483771" w14:paraId="3335F36F"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5DC054DE"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N05BA06</w:t>
            </w:r>
          </w:p>
        </w:tc>
        <w:tc>
          <w:tcPr>
            <w:tcW w:w="650" w:type="pct"/>
            <w:tcBorders>
              <w:top w:val="nil"/>
              <w:left w:val="nil"/>
              <w:bottom w:val="single" w:sz="8" w:space="0" w:color="000000"/>
              <w:right w:val="single" w:sz="8" w:space="0" w:color="000000"/>
            </w:tcBorders>
            <w:shd w:val="clear" w:color="auto" w:fill="auto"/>
            <w:vAlign w:val="center"/>
            <w:hideMark/>
          </w:tcPr>
          <w:p w14:paraId="3684C1F5"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lorazepam</w:t>
            </w:r>
          </w:p>
        </w:tc>
        <w:tc>
          <w:tcPr>
            <w:tcW w:w="974" w:type="pct"/>
            <w:tcBorders>
              <w:top w:val="nil"/>
              <w:left w:val="nil"/>
              <w:bottom w:val="single" w:sz="8" w:space="0" w:color="000000"/>
              <w:right w:val="single" w:sz="8" w:space="0" w:color="000000"/>
            </w:tcBorders>
            <w:shd w:val="clear" w:color="auto" w:fill="auto"/>
            <w:vAlign w:val="center"/>
            <w:hideMark/>
          </w:tcPr>
          <w:p w14:paraId="1E11B0C4"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27B72419"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37F0A534"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Anxiolytics</w:t>
            </w:r>
          </w:p>
        </w:tc>
        <w:tc>
          <w:tcPr>
            <w:tcW w:w="1102" w:type="pct"/>
            <w:tcBorders>
              <w:top w:val="nil"/>
              <w:left w:val="nil"/>
              <w:bottom w:val="single" w:sz="8" w:space="0" w:color="000000"/>
              <w:right w:val="single" w:sz="8" w:space="0" w:color="000000"/>
            </w:tcBorders>
            <w:shd w:val="clear" w:color="auto" w:fill="auto"/>
            <w:vAlign w:val="center"/>
            <w:hideMark/>
          </w:tcPr>
          <w:p w14:paraId="25FE98BB"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Benzodiazepine derivatives</w:t>
            </w:r>
          </w:p>
        </w:tc>
      </w:tr>
      <w:tr w:rsidR="002F38A2" w:rsidRPr="00483771" w14:paraId="23039EF2"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37C8B75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N05BA12</w:t>
            </w:r>
          </w:p>
        </w:tc>
        <w:tc>
          <w:tcPr>
            <w:tcW w:w="650" w:type="pct"/>
            <w:tcBorders>
              <w:top w:val="nil"/>
              <w:left w:val="nil"/>
              <w:bottom w:val="single" w:sz="8" w:space="0" w:color="000000"/>
              <w:right w:val="single" w:sz="8" w:space="0" w:color="000000"/>
            </w:tcBorders>
            <w:shd w:val="clear" w:color="auto" w:fill="auto"/>
            <w:vAlign w:val="center"/>
            <w:hideMark/>
          </w:tcPr>
          <w:p w14:paraId="2A2DC85D"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alprazolam</w:t>
            </w:r>
          </w:p>
        </w:tc>
        <w:tc>
          <w:tcPr>
            <w:tcW w:w="974" w:type="pct"/>
            <w:tcBorders>
              <w:top w:val="nil"/>
              <w:left w:val="nil"/>
              <w:bottom w:val="single" w:sz="8" w:space="0" w:color="000000"/>
              <w:right w:val="single" w:sz="8" w:space="0" w:color="000000"/>
            </w:tcBorders>
            <w:shd w:val="clear" w:color="auto" w:fill="auto"/>
            <w:vAlign w:val="center"/>
            <w:hideMark/>
          </w:tcPr>
          <w:p w14:paraId="396C7020"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10165B63"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44BC9DB0"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Anxiolytics</w:t>
            </w:r>
          </w:p>
        </w:tc>
        <w:tc>
          <w:tcPr>
            <w:tcW w:w="1102" w:type="pct"/>
            <w:tcBorders>
              <w:top w:val="nil"/>
              <w:left w:val="nil"/>
              <w:bottom w:val="single" w:sz="8" w:space="0" w:color="000000"/>
              <w:right w:val="single" w:sz="8" w:space="0" w:color="000000"/>
            </w:tcBorders>
            <w:shd w:val="clear" w:color="auto" w:fill="auto"/>
            <w:vAlign w:val="center"/>
            <w:hideMark/>
          </w:tcPr>
          <w:p w14:paraId="12FA2FAC"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Benzodiazepine derivatives</w:t>
            </w:r>
          </w:p>
        </w:tc>
      </w:tr>
      <w:tr w:rsidR="002F38A2" w:rsidRPr="00483771" w14:paraId="116CC522"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5CF56C00"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N05BB01</w:t>
            </w:r>
          </w:p>
        </w:tc>
        <w:tc>
          <w:tcPr>
            <w:tcW w:w="650" w:type="pct"/>
            <w:tcBorders>
              <w:top w:val="nil"/>
              <w:left w:val="nil"/>
              <w:bottom w:val="single" w:sz="8" w:space="0" w:color="000000"/>
              <w:right w:val="single" w:sz="8" w:space="0" w:color="000000"/>
            </w:tcBorders>
            <w:shd w:val="clear" w:color="auto" w:fill="auto"/>
            <w:vAlign w:val="center"/>
            <w:hideMark/>
          </w:tcPr>
          <w:p w14:paraId="4E3D1DC8"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hydroxyzine</w:t>
            </w:r>
          </w:p>
        </w:tc>
        <w:tc>
          <w:tcPr>
            <w:tcW w:w="974" w:type="pct"/>
            <w:tcBorders>
              <w:top w:val="nil"/>
              <w:left w:val="nil"/>
              <w:bottom w:val="single" w:sz="8" w:space="0" w:color="000000"/>
              <w:right w:val="single" w:sz="8" w:space="0" w:color="000000"/>
            </w:tcBorders>
            <w:shd w:val="clear" w:color="auto" w:fill="auto"/>
            <w:vAlign w:val="center"/>
            <w:hideMark/>
          </w:tcPr>
          <w:p w14:paraId="19AC5D1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047B4619"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083CD64C"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Anxiolytics</w:t>
            </w:r>
          </w:p>
        </w:tc>
        <w:tc>
          <w:tcPr>
            <w:tcW w:w="1102" w:type="pct"/>
            <w:tcBorders>
              <w:top w:val="nil"/>
              <w:left w:val="nil"/>
              <w:bottom w:val="single" w:sz="8" w:space="0" w:color="000000"/>
              <w:right w:val="single" w:sz="8" w:space="0" w:color="000000"/>
            </w:tcBorders>
            <w:shd w:val="clear" w:color="auto" w:fill="auto"/>
            <w:vAlign w:val="center"/>
            <w:hideMark/>
          </w:tcPr>
          <w:p w14:paraId="20F5D157"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Diphenylmethane derivatives</w:t>
            </w:r>
          </w:p>
        </w:tc>
      </w:tr>
      <w:tr w:rsidR="002F38A2" w:rsidRPr="00483771" w14:paraId="10F1755F"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14D36A9E"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N05CD02</w:t>
            </w:r>
          </w:p>
        </w:tc>
        <w:tc>
          <w:tcPr>
            <w:tcW w:w="650" w:type="pct"/>
            <w:tcBorders>
              <w:top w:val="nil"/>
              <w:left w:val="nil"/>
              <w:bottom w:val="single" w:sz="8" w:space="0" w:color="000000"/>
              <w:right w:val="single" w:sz="8" w:space="0" w:color="000000"/>
            </w:tcBorders>
            <w:shd w:val="clear" w:color="auto" w:fill="auto"/>
            <w:vAlign w:val="center"/>
            <w:hideMark/>
          </w:tcPr>
          <w:p w14:paraId="0DADEAE5"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nitrazepam</w:t>
            </w:r>
          </w:p>
        </w:tc>
        <w:tc>
          <w:tcPr>
            <w:tcW w:w="974" w:type="pct"/>
            <w:tcBorders>
              <w:top w:val="nil"/>
              <w:left w:val="nil"/>
              <w:bottom w:val="single" w:sz="8" w:space="0" w:color="000000"/>
              <w:right w:val="single" w:sz="8" w:space="0" w:color="000000"/>
            </w:tcBorders>
            <w:shd w:val="clear" w:color="auto" w:fill="auto"/>
            <w:vAlign w:val="center"/>
            <w:hideMark/>
          </w:tcPr>
          <w:p w14:paraId="64190F35"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3069510D"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53572FAC"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Hypnotics and sedatives</w:t>
            </w:r>
          </w:p>
        </w:tc>
        <w:tc>
          <w:tcPr>
            <w:tcW w:w="1102" w:type="pct"/>
            <w:tcBorders>
              <w:top w:val="nil"/>
              <w:left w:val="nil"/>
              <w:bottom w:val="single" w:sz="8" w:space="0" w:color="000000"/>
              <w:right w:val="single" w:sz="8" w:space="0" w:color="000000"/>
            </w:tcBorders>
            <w:shd w:val="clear" w:color="auto" w:fill="auto"/>
            <w:vAlign w:val="center"/>
            <w:hideMark/>
          </w:tcPr>
          <w:p w14:paraId="52CCAC0E"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Benzodiazepine derivatives</w:t>
            </w:r>
          </w:p>
        </w:tc>
      </w:tr>
      <w:tr w:rsidR="002F38A2" w:rsidRPr="00483771" w14:paraId="5003EB20"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1A3080A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N05CD06</w:t>
            </w:r>
          </w:p>
        </w:tc>
        <w:tc>
          <w:tcPr>
            <w:tcW w:w="650" w:type="pct"/>
            <w:tcBorders>
              <w:top w:val="nil"/>
              <w:left w:val="nil"/>
              <w:bottom w:val="single" w:sz="8" w:space="0" w:color="000000"/>
              <w:right w:val="single" w:sz="8" w:space="0" w:color="000000"/>
            </w:tcBorders>
            <w:shd w:val="clear" w:color="auto" w:fill="auto"/>
            <w:vAlign w:val="center"/>
            <w:hideMark/>
          </w:tcPr>
          <w:p w14:paraId="51C4308D"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lormetazepam</w:t>
            </w:r>
          </w:p>
        </w:tc>
        <w:tc>
          <w:tcPr>
            <w:tcW w:w="974" w:type="pct"/>
            <w:tcBorders>
              <w:top w:val="nil"/>
              <w:left w:val="nil"/>
              <w:bottom w:val="single" w:sz="8" w:space="0" w:color="000000"/>
              <w:right w:val="single" w:sz="8" w:space="0" w:color="000000"/>
            </w:tcBorders>
            <w:shd w:val="clear" w:color="auto" w:fill="auto"/>
            <w:vAlign w:val="center"/>
            <w:hideMark/>
          </w:tcPr>
          <w:p w14:paraId="6E877FAA"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5F3992EB"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3EC62C7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Hypnotics and sedatives</w:t>
            </w:r>
          </w:p>
        </w:tc>
        <w:tc>
          <w:tcPr>
            <w:tcW w:w="1102" w:type="pct"/>
            <w:tcBorders>
              <w:top w:val="nil"/>
              <w:left w:val="nil"/>
              <w:bottom w:val="single" w:sz="8" w:space="0" w:color="000000"/>
              <w:right w:val="single" w:sz="8" w:space="0" w:color="000000"/>
            </w:tcBorders>
            <w:shd w:val="clear" w:color="auto" w:fill="auto"/>
            <w:vAlign w:val="center"/>
            <w:hideMark/>
          </w:tcPr>
          <w:p w14:paraId="53A3DA8B"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Benzodiazepine derivatives</w:t>
            </w:r>
          </w:p>
        </w:tc>
      </w:tr>
      <w:tr w:rsidR="002F38A2" w:rsidRPr="00483771" w14:paraId="464D7A64"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4160024B"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N05CD07</w:t>
            </w:r>
          </w:p>
        </w:tc>
        <w:tc>
          <w:tcPr>
            <w:tcW w:w="650" w:type="pct"/>
            <w:tcBorders>
              <w:top w:val="nil"/>
              <w:left w:val="nil"/>
              <w:bottom w:val="single" w:sz="8" w:space="0" w:color="000000"/>
              <w:right w:val="single" w:sz="8" w:space="0" w:color="000000"/>
            </w:tcBorders>
            <w:shd w:val="clear" w:color="auto" w:fill="auto"/>
            <w:vAlign w:val="center"/>
            <w:hideMark/>
          </w:tcPr>
          <w:p w14:paraId="1B44BEA8"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temazepam</w:t>
            </w:r>
          </w:p>
        </w:tc>
        <w:tc>
          <w:tcPr>
            <w:tcW w:w="974" w:type="pct"/>
            <w:tcBorders>
              <w:top w:val="nil"/>
              <w:left w:val="nil"/>
              <w:bottom w:val="single" w:sz="8" w:space="0" w:color="000000"/>
              <w:right w:val="single" w:sz="8" w:space="0" w:color="000000"/>
            </w:tcBorders>
            <w:shd w:val="clear" w:color="auto" w:fill="auto"/>
            <w:vAlign w:val="center"/>
            <w:hideMark/>
          </w:tcPr>
          <w:p w14:paraId="3752EA7B"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02FA340C"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53AB6F2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Hypnotics and sedatives</w:t>
            </w:r>
          </w:p>
        </w:tc>
        <w:tc>
          <w:tcPr>
            <w:tcW w:w="1102" w:type="pct"/>
            <w:tcBorders>
              <w:top w:val="nil"/>
              <w:left w:val="nil"/>
              <w:bottom w:val="single" w:sz="8" w:space="0" w:color="000000"/>
              <w:right w:val="single" w:sz="8" w:space="0" w:color="000000"/>
            </w:tcBorders>
            <w:shd w:val="clear" w:color="auto" w:fill="auto"/>
            <w:vAlign w:val="center"/>
            <w:hideMark/>
          </w:tcPr>
          <w:p w14:paraId="72D3E6E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Benzodiazepine derivatives</w:t>
            </w:r>
          </w:p>
        </w:tc>
      </w:tr>
      <w:tr w:rsidR="002F38A2" w:rsidRPr="00483771" w14:paraId="18A992AB"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255D25C5"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N05CF01</w:t>
            </w:r>
          </w:p>
        </w:tc>
        <w:tc>
          <w:tcPr>
            <w:tcW w:w="650" w:type="pct"/>
            <w:tcBorders>
              <w:top w:val="nil"/>
              <w:left w:val="nil"/>
              <w:bottom w:val="single" w:sz="8" w:space="0" w:color="000000"/>
              <w:right w:val="single" w:sz="8" w:space="0" w:color="000000"/>
            </w:tcBorders>
            <w:shd w:val="clear" w:color="auto" w:fill="auto"/>
            <w:vAlign w:val="center"/>
            <w:hideMark/>
          </w:tcPr>
          <w:p w14:paraId="017ECF6F"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zopiclone</w:t>
            </w:r>
          </w:p>
        </w:tc>
        <w:tc>
          <w:tcPr>
            <w:tcW w:w="974" w:type="pct"/>
            <w:tcBorders>
              <w:top w:val="nil"/>
              <w:left w:val="nil"/>
              <w:bottom w:val="single" w:sz="8" w:space="0" w:color="000000"/>
              <w:right w:val="single" w:sz="8" w:space="0" w:color="000000"/>
            </w:tcBorders>
            <w:shd w:val="clear" w:color="auto" w:fill="auto"/>
            <w:vAlign w:val="center"/>
            <w:hideMark/>
          </w:tcPr>
          <w:p w14:paraId="78E8992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0E4795F5"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6B508688"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Hypnotics and sedatives</w:t>
            </w:r>
          </w:p>
        </w:tc>
        <w:tc>
          <w:tcPr>
            <w:tcW w:w="1102" w:type="pct"/>
            <w:tcBorders>
              <w:top w:val="nil"/>
              <w:left w:val="nil"/>
              <w:bottom w:val="single" w:sz="8" w:space="0" w:color="000000"/>
              <w:right w:val="single" w:sz="8" w:space="0" w:color="000000"/>
            </w:tcBorders>
            <w:shd w:val="clear" w:color="auto" w:fill="auto"/>
            <w:vAlign w:val="center"/>
            <w:hideMark/>
          </w:tcPr>
          <w:p w14:paraId="0B4607E5"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Benzodiazepine related drugs</w:t>
            </w:r>
          </w:p>
        </w:tc>
      </w:tr>
      <w:tr w:rsidR="002F38A2" w:rsidRPr="00483771" w14:paraId="2621C05C"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3C6C5F9F"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N05CF02</w:t>
            </w:r>
          </w:p>
        </w:tc>
        <w:tc>
          <w:tcPr>
            <w:tcW w:w="650" w:type="pct"/>
            <w:tcBorders>
              <w:top w:val="nil"/>
              <w:left w:val="nil"/>
              <w:bottom w:val="single" w:sz="8" w:space="0" w:color="000000"/>
              <w:right w:val="single" w:sz="8" w:space="0" w:color="000000"/>
            </w:tcBorders>
            <w:shd w:val="clear" w:color="auto" w:fill="auto"/>
            <w:vAlign w:val="center"/>
            <w:hideMark/>
          </w:tcPr>
          <w:p w14:paraId="249D24C4"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zolpidem</w:t>
            </w:r>
          </w:p>
        </w:tc>
        <w:tc>
          <w:tcPr>
            <w:tcW w:w="974" w:type="pct"/>
            <w:tcBorders>
              <w:top w:val="nil"/>
              <w:left w:val="nil"/>
              <w:bottom w:val="single" w:sz="8" w:space="0" w:color="000000"/>
              <w:right w:val="single" w:sz="8" w:space="0" w:color="000000"/>
            </w:tcBorders>
            <w:shd w:val="clear" w:color="auto" w:fill="auto"/>
            <w:vAlign w:val="center"/>
            <w:hideMark/>
          </w:tcPr>
          <w:p w14:paraId="3B982A0D"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57920D10"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190BFE9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Hypnotics and sedatives</w:t>
            </w:r>
          </w:p>
        </w:tc>
        <w:tc>
          <w:tcPr>
            <w:tcW w:w="1102" w:type="pct"/>
            <w:tcBorders>
              <w:top w:val="nil"/>
              <w:left w:val="nil"/>
              <w:bottom w:val="single" w:sz="8" w:space="0" w:color="000000"/>
              <w:right w:val="single" w:sz="8" w:space="0" w:color="000000"/>
            </w:tcBorders>
            <w:shd w:val="clear" w:color="auto" w:fill="auto"/>
            <w:vAlign w:val="center"/>
            <w:hideMark/>
          </w:tcPr>
          <w:p w14:paraId="7C32061F"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Benzodiazepine related drugs</w:t>
            </w:r>
          </w:p>
        </w:tc>
      </w:tr>
      <w:tr w:rsidR="002F38A2" w:rsidRPr="00483771" w14:paraId="175A7F12"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77DD4EE1"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N05CH01</w:t>
            </w:r>
          </w:p>
        </w:tc>
        <w:tc>
          <w:tcPr>
            <w:tcW w:w="650" w:type="pct"/>
            <w:tcBorders>
              <w:top w:val="nil"/>
              <w:left w:val="nil"/>
              <w:bottom w:val="single" w:sz="8" w:space="0" w:color="000000"/>
              <w:right w:val="single" w:sz="8" w:space="0" w:color="000000"/>
            </w:tcBorders>
            <w:shd w:val="clear" w:color="auto" w:fill="auto"/>
            <w:vAlign w:val="center"/>
            <w:hideMark/>
          </w:tcPr>
          <w:p w14:paraId="0027F631"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melatonin</w:t>
            </w:r>
          </w:p>
        </w:tc>
        <w:tc>
          <w:tcPr>
            <w:tcW w:w="974" w:type="pct"/>
            <w:tcBorders>
              <w:top w:val="nil"/>
              <w:left w:val="nil"/>
              <w:bottom w:val="single" w:sz="8" w:space="0" w:color="000000"/>
              <w:right w:val="single" w:sz="8" w:space="0" w:color="000000"/>
            </w:tcBorders>
            <w:shd w:val="clear" w:color="auto" w:fill="auto"/>
            <w:vAlign w:val="center"/>
            <w:hideMark/>
          </w:tcPr>
          <w:p w14:paraId="181C715F"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16360C81"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328A5B2E"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Hypnotics and sedatives</w:t>
            </w:r>
          </w:p>
        </w:tc>
        <w:tc>
          <w:tcPr>
            <w:tcW w:w="1102" w:type="pct"/>
            <w:tcBorders>
              <w:top w:val="nil"/>
              <w:left w:val="nil"/>
              <w:bottom w:val="single" w:sz="8" w:space="0" w:color="000000"/>
              <w:right w:val="single" w:sz="8" w:space="0" w:color="000000"/>
            </w:tcBorders>
            <w:shd w:val="clear" w:color="auto" w:fill="auto"/>
            <w:vAlign w:val="center"/>
            <w:hideMark/>
          </w:tcPr>
          <w:p w14:paraId="00D8C717"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Melatonin receptor agonist</w:t>
            </w:r>
          </w:p>
        </w:tc>
      </w:tr>
      <w:tr w:rsidR="002F38A2" w:rsidRPr="00483771" w14:paraId="0AC3D45B"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05C9947C"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lastRenderedPageBreak/>
              <w:t>N05CM09</w:t>
            </w:r>
          </w:p>
        </w:tc>
        <w:tc>
          <w:tcPr>
            <w:tcW w:w="650" w:type="pct"/>
            <w:tcBorders>
              <w:top w:val="nil"/>
              <w:left w:val="nil"/>
              <w:bottom w:val="single" w:sz="8" w:space="0" w:color="000000"/>
              <w:right w:val="single" w:sz="8" w:space="0" w:color="000000"/>
            </w:tcBorders>
            <w:shd w:val="clear" w:color="auto" w:fill="auto"/>
            <w:vAlign w:val="center"/>
            <w:hideMark/>
          </w:tcPr>
          <w:p w14:paraId="215207D7"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Valeriane</w:t>
            </w:r>
            <w:proofErr w:type="spellEnd"/>
            <w:r w:rsidRPr="002F38A2">
              <w:rPr>
                <w:rFonts w:eastAsia="Times New Roman" w:cs="Calibri"/>
                <w:color w:val="000000"/>
                <w:sz w:val="20"/>
                <w:szCs w:val="20"/>
                <w:lang w:val="en-US"/>
              </w:rPr>
              <w:t xml:space="preserve"> radix</w:t>
            </w:r>
          </w:p>
        </w:tc>
        <w:tc>
          <w:tcPr>
            <w:tcW w:w="974" w:type="pct"/>
            <w:tcBorders>
              <w:top w:val="nil"/>
              <w:left w:val="nil"/>
              <w:bottom w:val="single" w:sz="8" w:space="0" w:color="000000"/>
              <w:right w:val="single" w:sz="8" w:space="0" w:color="000000"/>
            </w:tcBorders>
            <w:shd w:val="clear" w:color="auto" w:fill="auto"/>
            <w:vAlign w:val="center"/>
            <w:hideMark/>
          </w:tcPr>
          <w:p w14:paraId="63039A6F"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1C4875EC"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22E0959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Hypnotics and sedatives</w:t>
            </w:r>
          </w:p>
        </w:tc>
        <w:tc>
          <w:tcPr>
            <w:tcW w:w="1102" w:type="pct"/>
            <w:tcBorders>
              <w:top w:val="nil"/>
              <w:left w:val="nil"/>
              <w:bottom w:val="single" w:sz="8" w:space="0" w:color="000000"/>
              <w:right w:val="single" w:sz="8" w:space="0" w:color="000000"/>
            </w:tcBorders>
            <w:shd w:val="clear" w:color="auto" w:fill="auto"/>
            <w:vAlign w:val="center"/>
            <w:hideMark/>
          </w:tcPr>
          <w:p w14:paraId="1CD74D7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Other hypnotics and sedatives</w:t>
            </w:r>
          </w:p>
        </w:tc>
      </w:tr>
      <w:tr w:rsidR="002F38A2" w:rsidRPr="00483771" w14:paraId="510ABA70"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15B65FC8"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N06AA02</w:t>
            </w:r>
          </w:p>
        </w:tc>
        <w:tc>
          <w:tcPr>
            <w:tcW w:w="650" w:type="pct"/>
            <w:tcBorders>
              <w:top w:val="nil"/>
              <w:left w:val="nil"/>
              <w:bottom w:val="single" w:sz="8" w:space="0" w:color="000000"/>
              <w:right w:val="single" w:sz="8" w:space="0" w:color="000000"/>
            </w:tcBorders>
            <w:shd w:val="clear" w:color="auto" w:fill="auto"/>
            <w:vAlign w:val="center"/>
            <w:hideMark/>
          </w:tcPr>
          <w:p w14:paraId="10854264"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imipramine</w:t>
            </w:r>
          </w:p>
        </w:tc>
        <w:tc>
          <w:tcPr>
            <w:tcW w:w="974" w:type="pct"/>
            <w:tcBorders>
              <w:top w:val="nil"/>
              <w:left w:val="nil"/>
              <w:bottom w:val="single" w:sz="8" w:space="0" w:color="000000"/>
              <w:right w:val="single" w:sz="8" w:space="0" w:color="000000"/>
            </w:tcBorders>
            <w:shd w:val="clear" w:color="auto" w:fill="auto"/>
            <w:vAlign w:val="center"/>
            <w:hideMark/>
          </w:tcPr>
          <w:p w14:paraId="6350BBC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2B40F679"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763C3B5F"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7FBEAD4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Non-selective monoamine reuptake inhibitors</w:t>
            </w:r>
          </w:p>
        </w:tc>
      </w:tr>
      <w:tr w:rsidR="002F38A2" w:rsidRPr="00483771" w14:paraId="7C29C46B"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239F2A57"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N06AA04</w:t>
            </w:r>
          </w:p>
        </w:tc>
        <w:tc>
          <w:tcPr>
            <w:tcW w:w="650" w:type="pct"/>
            <w:tcBorders>
              <w:top w:val="nil"/>
              <w:left w:val="nil"/>
              <w:bottom w:val="single" w:sz="8" w:space="0" w:color="000000"/>
              <w:right w:val="single" w:sz="8" w:space="0" w:color="000000"/>
            </w:tcBorders>
            <w:shd w:val="clear" w:color="auto" w:fill="auto"/>
            <w:vAlign w:val="center"/>
            <w:hideMark/>
          </w:tcPr>
          <w:p w14:paraId="2C28024E"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clomipramine</w:t>
            </w:r>
          </w:p>
        </w:tc>
        <w:tc>
          <w:tcPr>
            <w:tcW w:w="974" w:type="pct"/>
            <w:tcBorders>
              <w:top w:val="nil"/>
              <w:left w:val="nil"/>
              <w:bottom w:val="single" w:sz="8" w:space="0" w:color="000000"/>
              <w:right w:val="single" w:sz="8" w:space="0" w:color="000000"/>
            </w:tcBorders>
            <w:shd w:val="clear" w:color="auto" w:fill="auto"/>
            <w:vAlign w:val="center"/>
            <w:hideMark/>
          </w:tcPr>
          <w:p w14:paraId="15ED34BE"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480D1EA9"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3A5E17BB"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46C12EB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Non-selective monoamine reuptake inhibitors</w:t>
            </w:r>
          </w:p>
        </w:tc>
      </w:tr>
      <w:tr w:rsidR="002F38A2" w:rsidRPr="00483771" w14:paraId="0D914593"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696147F0"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N06AA09</w:t>
            </w:r>
          </w:p>
        </w:tc>
        <w:tc>
          <w:tcPr>
            <w:tcW w:w="650" w:type="pct"/>
            <w:tcBorders>
              <w:top w:val="nil"/>
              <w:left w:val="nil"/>
              <w:bottom w:val="single" w:sz="8" w:space="0" w:color="000000"/>
              <w:right w:val="single" w:sz="8" w:space="0" w:color="000000"/>
            </w:tcBorders>
            <w:shd w:val="clear" w:color="auto" w:fill="auto"/>
            <w:vAlign w:val="center"/>
            <w:hideMark/>
          </w:tcPr>
          <w:p w14:paraId="5411A0D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amitriptyline</w:t>
            </w:r>
          </w:p>
        </w:tc>
        <w:tc>
          <w:tcPr>
            <w:tcW w:w="974" w:type="pct"/>
            <w:tcBorders>
              <w:top w:val="nil"/>
              <w:left w:val="nil"/>
              <w:bottom w:val="single" w:sz="8" w:space="0" w:color="000000"/>
              <w:right w:val="single" w:sz="8" w:space="0" w:color="000000"/>
            </w:tcBorders>
            <w:shd w:val="clear" w:color="auto" w:fill="auto"/>
            <w:vAlign w:val="center"/>
            <w:hideMark/>
          </w:tcPr>
          <w:p w14:paraId="435381F0"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75ACB25F"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7D43CCB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2D115908"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Non-selective monoamine reuptake inhibitors</w:t>
            </w:r>
          </w:p>
        </w:tc>
      </w:tr>
      <w:tr w:rsidR="002F38A2" w:rsidRPr="00483771" w14:paraId="49F5044A"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1926DEB0"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N06AA10</w:t>
            </w:r>
          </w:p>
        </w:tc>
        <w:tc>
          <w:tcPr>
            <w:tcW w:w="650" w:type="pct"/>
            <w:tcBorders>
              <w:top w:val="nil"/>
              <w:left w:val="nil"/>
              <w:bottom w:val="single" w:sz="8" w:space="0" w:color="000000"/>
              <w:right w:val="single" w:sz="8" w:space="0" w:color="000000"/>
            </w:tcBorders>
            <w:shd w:val="clear" w:color="auto" w:fill="auto"/>
            <w:vAlign w:val="center"/>
            <w:hideMark/>
          </w:tcPr>
          <w:p w14:paraId="0339C7F4"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mortiptyline</w:t>
            </w:r>
            <w:proofErr w:type="spellEnd"/>
          </w:p>
        </w:tc>
        <w:tc>
          <w:tcPr>
            <w:tcW w:w="974" w:type="pct"/>
            <w:tcBorders>
              <w:top w:val="nil"/>
              <w:left w:val="nil"/>
              <w:bottom w:val="single" w:sz="8" w:space="0" w:color="000000"/>
              <w:right w:val="single" w:sz="8" w:space="0" w:color="000000"/>
            </w:tcBorders>
            <w:shd w:val="clear" w:color="auto" w:fill="auto"/>
            <w:vAlign w:val="center"/>
            <w:hideMark/>
          </w:tcPr>
          <w:p w14:paraId="5AB89017"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757CA1E3"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495B890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57A40231"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Non-selective monoamine reuptake inhibitors</w:t>
            </w:r>
          </w:p>
        </w:tc>
      </w:tr>
      <w:tr w:rsidR="002F38A2" w:rsidRPr="00483771" w14:paraId="1030A9C4"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57B279B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N06AF04</w:t>
            </w:r>
          </w:p>
        </w:tc>
        <w:tc>
          <w:tcPr>
            <w:tcW w:w="650" w:type="pct"/>
            <w:tcBorders>
              <w:top w:val="nil"/>
              <w:left w:val="nil"/>
              <w:bottom w:val="single" w:sz="8" w:space="0" w:color="000000"/>
              <w:right w:val="single" w:sz="8" w:space="0" w:color="000000"/>
            </w:tcBorders>
            <w:shd w:val="clear" w:color="auto" w:fill="auto"/>
            <w:vAlign w:val="center"/>
            <w:hideMark/>
          </w:tcPr>
          <w:p w14:paraId="74F3BAAA"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tranylcypromine</w:t>
            </w:r>
          </w:p>
        </w:tc>
        <w:tc>
          <w:tcPr>
            <w:tcW w:w="974" w:type="pct"/>
            <w:tcBorders>
              <w:top w:val="nil"/>
              <w:left w:val="nil"/>
              <w:bottom w:val="single" w:sz="8" w:space="0" w:color="000000"/>
              <w:right w:val="single" w:sz="8" w:space="0" w:color="000000"/>
            </w:tcBorders>
            <w:shd w:val="clear" w:color="auto" w:fill="auto"/>
            <w:vAlign w:val="center"/>
            <w:hideMark/>
          </w:tcPr>
          <w:p w14:paraId="454D088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374C7410"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0B0D67ED"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1C58A7F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Monoamine oxidase inhibitors, non-selective</w:t>
            </w:r>
          </w:p>
        </w:tc>
      </w:tr>
      <w:tr w:rsidR="002F38A2" w:rsidRPr="00483771" w14:paraId="3A7CFC85"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35ED816C"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N06AX05</w:t>
            </w:r>
          </w:p>
        </w:tc>
        <w:tc>
          <w:tcPr>
            <w:tcW w:w="650" w:type="pct"/>
            <w:tcBorders>
              <w:top w:val="nil"/>
              <w:left w:val="nil"/>
              <w:bottom w:val="single" w:sz="8" w:space="0" w:color="000000"/>
              <w:right w:val="single" w:sz="8" w:space="0" w:color="000000"/>
            </w:tcBorders>
            <w:shd w:val="clear" w:color="auto" w:fill="auto"/>
            <w:vAlign w:val="center"/>
            <w:hideMark/>
          </w:tcPr>
          <w:p w14:paraId="738ACF11"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trazodone</w:t>
            </w:r>
          </w:p>
        </w:tc>
        <w:tc>
          <w:tcPr>
            <w:tcW w:w="974" w:type="pct"/>
            <w:tcBorders>
              <w:top w:val="nil"/>
              <w:left w:val="nil"/>
              <w:bottom w:val="single" w:sz="8" w:space="0" w:color="000000"/>
              <w:right w:val="single" w:sz="8" w:space="0" w:color="000000"/>
            </w:tcBorders>
            <w:shd w:val="clear" w:color="auto" w:fill="auto"/>
            <w:vAlign w:val="center"/>
            <w:hideMark/>
          </w:tcPr>
          <w:p w14:paraId="2F36C047"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627B3C6E"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2CCA4398"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668FECD1"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Other antidepressants</w:t>
            </w:r>
          </w:p>
        </w:tc>
      </w:tr>
      <w:tr w:rsidR="002F38A2" w:rsidRPr="00483771" w14:paraId="2FAAC82F"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67F0580D"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N06AX11</w:t>
            </w:r>
          </w:p>
        </w:tc>
        <w:tc>
          <w:tcPr>
            <w:tcW w:w="650" w:type="pct"/>
            <w:tcBorders>
              <w:top w:val="nil"/>
              <w:left w:val="nil"/>
              <w:bottom w:val="single" w:sz="8" w:space="0" w:color="000000"/>
              <w:right w:val="single" w:sz="8" w:space="0" w:color="000000"/>
            </w:tcBorders>
            <w:shd w:val="clear" w:color="auto" w:fill="auto"/>
            <w:vAlign w:val="center"/>
            <w:hideMark/>
          </w:tcPr>
          <w:p w14:paraId="0A6ECD7B"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mirtazapine</w:t>
            </w:r>
          </w:p>
        </w:tc>
        <w:tc>
          <w:tcPr>
            <w:tcW w:w="974" w:type="pct"/>
            <w:tcBorders>
              <w:top w:val="nil"/>
              <w:left w:val="nil"/>
              <w:bottom w:val="single" w:sz="8" w:space="0" w:color="000000"/>
              <w:right w:val="single" w:sz="8" w:space="0" w:color="000000"/>
            </w:tcBorders>
            <w:shd w:val="clear" w:color="auto" w:fill="auto"/>
            <w:vAlign w:val="center"/>
            <w:hideMark/>
          </w:tcPr>
          <w:p w14:paraId="57CDAA98"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08166AEE"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5F10DA8A"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249CD52C"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Other antidepressants</w:t>
            </w:r>
          </w:p>
        </w:tc>
      </w:tr>
      <w:tr w:rsidR="002F38A2" w:rsidRPr="00483771" w14:paraId="0BD0AAA3"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45CE8CB0"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N06AX12</w:t>
            </w:r>
          </w:p>
        </w:tc>
        <w:tc>
          <w:tcPr>
            <w:tcW w:w="650" w:type="pct"/>
            <w:tcBorders>
              <w:top w:val="nil"/>
              <w:left w:val="nil"/>
              <w:bottom w:val="single" w:sz="8" w:space="0" w:color="000000"/>
              <w:right w:val="single" w:sz="8" w:space="0" w:color="000000"/>
            </w:tcBorders>
            <w:shd w:val="clear" w:color="auto" w:fill="auto"/>
            <w:vAlign w:val="center"/>
            <w:hideMark/>
          </w:tcPr>
          <w:p w14:paraId="1FF81F1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bupropion</w:t>
            </w:r>
          </w:p>
        </w:tc>
        <w:tc>
          <w:tcPr>
            <w:tcW w:w="974" w:type="pct"/>
            <w:tcBorders>
              <w:top w:val="nil"/>
              <w:left w:val="nil"/>
              <w:bottom w:val="single" w:sz="8" w:space="0" w:color="000000"/>
              <w:right w:val="single" w:sz="8" w:space="0" w:color="000000"/>
            </w:tcBorders>
            <w:shd w:val="clear" w:color="auto" w:fill="auto"/>
            <w:vAlign w:val="center"/>
            <w:hideMark/>
          </w:tcPr>
          <w:p w14:paraId="0CCCB4EF"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2445DB90"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2704F9A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04E978EC"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Other antidepressants</w:t>
            </w:r>
          </w:p>
        </w:tc>
      </w:tr>
      <w:tr w:rsidR="002F38A2" w:rsidRPr="00483771" w14:paraId="096F8E61"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5F2EEBD5"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N06AX22</w:t>
            </w:r>
          </w:p>
        </w:tc>
        <w:tc>
          <w:tcPr>
            <w:tcW w:w="650" w:type="pct"/>
            <w:tcBorders>
              <w:top w:val="nil"/>
              <w:left w:val="nil"/>
              <w:bottom w:val="single" w:sz="8" w:space="0" w:color="000000"/>
              <w:right w:val="single" w:sz="8" w:space="0" w:color="000000"/>
            </w:tcBorders>
            <w:shd w:val="clear" w:color="auto" w:fill="auto"/>
            <w:vAlign w:val="center"/>
            <w:hideMark/>
          </w:tcPr>
          <w:p w14:paraId="261A223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agomelatine</w:t>
            </w:r>
          </w:p>
        </w:tc>
        <w:tc>
          <w:tcPr>
            <w:tcW w:w="974" w:type="pct"/>
            <w:tcBorders>
              <w:top w:val="nil"/>
              <w:left w:val="nil"/>
              <w:bottom w:val="single" w:sz="8" w:space="0" w:color="000000"/>
              <w:right w:val="single" w:sz="8" w:space="0" w:color="000000"/>
            </w:tcBorders>
            <w:shd w:val="clear" w:color="auto" w:fill="auto"/>
            <w:vAlign w:val="center"/>
            <w:hideMark/>
          </w:tcPr>
          <w:p w14:paraId="539EAD8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097329CC"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22173B3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7047B17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Other antidepressants</w:t>
            </w:r>
          </w:p>
        </w:tc>
      </w:tr>
      <w:tr w:rsidR="002F38A2" w:rsidRPr="00483771" w14:paraId="5359419D"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17B5CD9F"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N06AX26</w:t>
            </w:r>
          </w:p>
        </w:tc>
        <w:tc>
          <w:tcPr>
            <w:tcW w:w="650" w:type="pct"/>
            <w:tcBorders>
              <w:top w:val="nil"/>
              <w:left w:val="nil"/>
              <w:bottom w:val="single" w:sz="8" w:space="0" w:color="000000"/>
              <w:right w:val="single" w:sz="8" w:space="0" w:color="000000"/>
            </w:tcBorders>
            <w:shd w:val="clear" w:color="auto" w:fill="auto"/>
            <w:vAlign w:val="center"/>
            <w:hideMark/>
          </w:tcPr>
          <w:p w14:paraId="349E10F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vortioxetine</w:t>
            </w:r>
          </w:p>
        </w:tc>
        <w:tc>
          <w:tcPr>
            <w:tcW w:w="974" w:type="pct"/>
            <w:tcBorders>
              <w:top w:val="nil"/>
              <w:left w:val="nil"/>
              <w:bottom w:val="single" w:sz="8" w:space="0" w:color="000000"/>
              <w:right w:val="single" w:sz="8" w:space="0" w:color="000000"/>
            </w:tcBorders>
            <w:shd w:val="clear" w:color="auto" w:fill="auto"/>
            <w:vAlign w:val="center"/>
            <w:hideMark/>
          </w:tcPr>
          <w:p w14:paraId="2EFCF8FE"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39E90363"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3B33C20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Antidepressants</w:t>
            </w:r>
          </w:p>
        </w:tc>
        <w:tc>
          <w:tcPr>
            <w:tcW w:w="1102" w:type="pct"/>
            <w:tcBorders>
              <w:top w:val="nil"/>
              <w:left w:val="nil"/>
              <w:bottom w:val="single" w:sz="8" w:space="0" w:color="000000"/>
              <w:right w:val="single" w:sz="8" w:space="0" w:color="000000"/>
            </w:tcBorders>
            <w:shd w:val="clear" w:color="auto" w:fill="auto"/>
            <w:vAlign w:val="center"/>
            <w:hideMark/>
          </w:tcPr>
          <w:p w14:paraId="4BA6A6C9"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Other antidepressants</w:t>
            </w:r>
          </w:p>
        </w:tc>
      </w:tr>
      <w:tr w:rsidR="002F38A2" w:rsidRPr="00483771" w14:paraId="60D798D5"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223700A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N06BA02</w:t>
            </w:r>
          </w:p>
        </w:tc>
        <w:tc>
          <w:tcPr>
            <w:tcW w:w="650" w:type="pct"/>
            <w:tcBorders>
              <w:top w:val="nil"/>
              <w:left w:val="nil"/>
              <w:bottom w:val="single" w:sz="8" w:space="0" w:color="000000"/>
              <w:right w:val="single" w:sz="8" w:space="0" w:color="000000"/>
            </w:tcBorders>
            <w:shd w:val="clear" w:color="auto" w:fill="auto"/>
            <w:vAlign w:val="center"/>
            <w:hideMark/>
          </w:tcPr>
          <w:p w14:paraId="3320A743"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dexamphetamine</w:t>
            </w:r>
          </w:p>
        </w:tc>
        <w:tc>
          <w:tcPr>
            <w:tcW w:w="974" w:type="pct"/>
            <w:tcBorders>
              <w:top w:val="nil"/>
              <w:left w:val="nil"/>
              <w:bottom w:val="single" w:sz="8" w:space="0" w:color="000000"/>
              <w:right w:val="single" w:sz="8" w:space="0" w:color="000000"/>
            </w:tcBorders>
            <w:shd w:val="clear" w:color="auto" w:fill="auto"/>
            <w:vAlign w:val="center"/>
            <w:hideMark/>
          </w:tcPr>
          <w:p w14:paraId="06BD8FB5"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313EC87B"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509DD33A"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Psychostimulants, agents used for ADHD and nootropics</w:t>
            </w:r>
          </w:p>
        </w:tc>
        <w:tc>
          <w:tcPr>
            <w:tcW w:w="1102" w:type="pct"/>
            <w:tcBorders>
              <w:top w:val="nil"/>
              <w:left w:val="nil"/>
              <w:bottom w:val="single" w:sz="8" w:space="0" w:color="000000"/>
              <w:right w:val="single" w:sz="8" w:space="0" w:color="000000"/>
            </w:tcBorders>
            <w:shd w:val="clear" w:color="auto" w:fill="auto"/>
            <w:vAlign w:val="center"/>
            <w:hideMark/>
          </w:tcPr>
          <w:p w14:paraId="51BD28EB"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Centrally acting sympathomimetics</w:t>
            </w:r>
          </w:p>
        </w:tc>
      </w:tr>
      <w:tr w:rsidR="002F38A2" w:rsidRPr="00483771" w14:paraId="1D990839"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4A0F1EEF"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N06BA04</w:t>
            </w:r>
          </w:p>
        </w:tc>
        <w:tc>
          <w:tcPr>
            <w:tcW w:w="650" w:type="pct"/>
            <w:tcBorders>
              <w:top w:val="nil"/>
              <w:left w:val="nil"/>
              <w:bottom w:val="single" w:sz="8" w:space="0" w:color="000000"/>
              <w:right w:val="single" w:sz="8" w:space="0" w:color="000000"/>
            </w:tcBorders>
            <w:shd w:val="clear" w:color="auto" w:fill="auto"/>
            <w:vAlign w:val="center"/>
            <w:hideMark/>
          </w:tcPr>
          <w:p w14:paraId="4122A4D2"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methylphenidate</w:t>
            </w:r>
          </w:p>
        </w:tc>
        <w:tc>
          <w:tcPr>
            <w:tcW w:w="974" w:type="pct"/>
            <w:tcBorders>
              <w:top w:val="nil"/>
              <w:left w:val="nil"/>
              <w:bottom w:val="single" w:sz="8" w:space="0" w:color="000000"/>
              <w:right w:val="single" w:sz="8" w:space="0" w:color="000000"/>
            </w:tcBorders>
            <w:shd w:val="clear" w:color="auto" w:fill="auto"/>
            <w:vAlign w:val="center"/>
            <w:hideMark/>
          </w:tcPr>
          <w:p w14:paraId="6919D8A4"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1F98E8F1"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482D2577"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Psychostimulants, agents used for ADHD and nootropics</w:t>
            </w:r>
          </w:p>
        </w:tc>
        <w:tc>
          <w:tcPr>
            <w:tcW w:w="1102" w:type="pct"/>
            <w:tcBorders>
              <w:top w:val="nil"/>
              <w:left w:val="nil"/>
              <w:bottom w:val="single" w:sz="8" w:space="0" w:color="000000"/>
              <w:right w:val="single" w:sz="8" w:space="0" w:color="000000"/>
            </w:tcBorders>
            <w:shd w:val="clear" w:color="auto" w:fill="auto"/>
            <w:vAlign w:val="center"/>
            <w:hideMark/>
          </w:tcPr>
          <w:p w14:paraId="07031DC0"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Centrally acting sympathomimetics</w:t>
            </w:r>
          </w:p>
        </w:tc>
      </w:tr>
      <w:tr w:rsidR="002F38A2" w:rsidRPr="00483771" w14:paraId="5B134C16" w14:textId="77777777" w:rsidTr="002F38A2">
        <w:trPr>
          <w:trHeight w:val="400"/>
        </w:trPr>
        <w:tc>
          <w:tcPr>
            <w:tcW w:w="510" w:type="pct"/>
            <w:tcBorders>
              <w:top w:val="nil"/>
              <w:left w:val="single" w:sz="8" w:space="0" w:color="000000"/>
              <w:bottom w:val="single" w:sz="8" w:space="0" w:color="000000"/>
              <w:right w:val="single" w:sz="8" w:space="0" w:color="000000"/>
            </w:tcBorders>
            <w:shd w:val="clear" w:color="auto" w:fill="auto"/>
            <w:vAlign w:val="center"/>
            <w:hideMark/>
          </w:tcPr>
          <w:p w14:paraId="12DD326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N06BA07</w:t>
            </w:r>
          </w:p>
        </w:tc>
        <w:tc>
          <w:tcPr>
            <w:tcW w:w="650" w:type="pct"/>
            <w:tcBorders>
              <w:top w:val="nil"/>
              <w:left w:val="nil"/>
              <w:bottom w:val="single" w:sz="8" w:space="0" w:color="000000"/>
              <w:right w:val="single" w:sz="8" w:space="0" w:color="000000"/>
            </w:tcBorders>
            <w:shd w:val="clear" w:color="auto" w:fill="auto"/>
            <w:vAlign w:val="center"/>
            <w:hideMark/>
          </w:tcPr>
          <w:p w14:paraId="4AE335AA"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modafinil</w:t>
            </w:r>
          </w:p>
        </w:tc>
        <w:tc>
          <w:tcPr>
            <w:tcW w:w="974" w:type="pct"/>
            <w:tcBorders>
              <w:top w:val="nil"/>
              <w:left w:val="nil"/>
              <w:bottom w:val="single" w:sz="8" w:space="0" w:color="000000"/>
              <w:right w:val="single" w:sz="8" w:space="0" w:color="000000"/>
            </w:tcBorders>
            <w:shd w:val="clear" w:color="auto" w:fill="auto"/>
            <w:vAlign w:val="center"/>
            <w:hideMark/>
          </w:tcPr>
          <w:p w14:paraId="098EA6F5"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Nervous system</w:t>
            </w:r>
          </w:p>
        </w:tc>
        <w:tc>
          <w:tcPr>
            <w:tcW w:w="787" w:type="pct"/>
            <w:tcBorders>
              <w:top w:val="nil"/>
              <w:left w:val="nil"/>
              <w:bottom w:val="single" w:sz="8" w:space="0" w:color="000000"/>
              <w:right w:val="single" w:sz="8" w:space="0" w:color="000000"/>
            </w:tcBorders>
            <w:shd w:val="clear" w:color="auto" w:fill="auto"/>
            <w:vAlign w:val="center"/>
            <w:hideMark/>
          </w:tcPr>
          <w:p w14:paraId="40A7C392" w14:textId="77777777" w:rsidR="002F38A2" w:rsidRPr="002F38A2" w:rsidRDefault="002F38A2" w:rsidP="002F38A2">
            <w:pPr>
              <w:spacing w:line="240" w:lineRule="auto"/>
              <w:jc w:val="center"/>
              <w:rPr>
                <w:rFonts w:eastAsia="Times New Roman" w:cs="Calibri"/>
                <w:color w:val="000000"/>
                <w:sz w:val="20"/>
                <w:szCs w:val="20"/>
                <w:lang w:val="en-US"/>
              </w:rPr>
            </w:pPr>
            <w:proofErr w:type="spellStart"/>
            <w:r w:rsidRPr="002F38A2">
              <w:rPr>
                <w:rFonts w:eastAsia="Times New Roman" w:cs="Calibri"/>
                <w:color w:val="000000"/>
                <w:sz w:val="20"/>
                <w:szCs w:val="20"/>
                <w:lang w:val="en-US"/>
              </w:rPr>
              <w:t>Psychoanaleptics</w:t>
            </w:r>
            <w:proofErr w:type="spellEnd"/>
          </w:p>
        </w:tc>
        <w:tc>
          <w:tcPr>
            <w:tcW w:w="976" w:type="pct"/>
            <w:tcBorders>
              <w:top w:val="nil"/>
              <w:left w:val="nil"/>
              <w:bottom w:val="single" w:sz="8" w:space="0" w:color="000000"/>
              <w:right w:val="single" w:sz="8" w:space="0" w:color="000000"/>
            </w:tcBorders>
            <w:shd w:val="clear" w:color="auto" w:fill="auto"/>
            <w:vAlign w:val="center"/>
            <w:hideMark/>
          </w:tcPr>
          <w:p w14:paraId="7F068536"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Psychostimulants, agents used for ADHD and nootropics</w:t>
            </w:r>
          </w:p>
        </w:tc>
        <w:tc>
          <w:tcPr>
            <w:tcW w:w="1102" w:type="pct"/>
            <w:tcBorders>
              <w:top w:val="nil"/>
              <w:left w:val="nil"/>
              <w:bottom w:val="single" w:sz="8" w:space="0" w:color="000000"/>
              <w:right w:val="single" w:sz="8" w:space="0" w:color="000000"/>
            </w:tcBorders>
            <w:shd w:val="clear" w:color="auto" w:fill="auto"/>
            <w:vAlign w:val="center"/>
            <w:hideMark/>
          </w:tcPr>
          <w:p w14:paraId="38316C44" w14:textId="77777777" w:rsidR="002F38A2" w:rsidRPr="002F38A2" w:rsidRDefault="002F38A2" w:rsidP="002F38A2">
            <w:pPr>
              <w:spacing w:line="240" w:lineRule="auto"/>
              <w:jc w:val="center"/>
              <w:rPr>
                <w:rFonts w:eastAsia="Times New Roman" w:cs="Calibri"/>
                <w:color w:val="000000"/>
                <w:sz w:val="20"/>
                <w:szCs w:val="20"/>
                <w:lang w:val="en-US"/>
              </w:rPr>
            </w:pPr>
            <w:r w:rsidRPr="002F38A2">
              <w:rPr>
                <w:rFonts w:eastAsia="Times New Roman" w:cs="Calibri"/>
                <w:color w:val="000000"/>
                <w:sz w:val="20"/>
                <w:szCs w:val="20"/>
                <w:lang w:val="en-US"/>
              </w:rPr>
              <w:t>Centrally acting sympathomimetics</w:t>
            </w:r>
          </w:p>
        </w:tc>
      </w:tr>
    </w:tbl>
    <w:p w14:paraId="74D4D316" w14:textId="0000CC1A" w:rsidR="003C6464" w:rsidRPr="00483771" w:rsidRDefault="003C6464">
      <w:pPr>
        <w:spacing w:after="160" w:line="259" w:lineRule="auto"/>
        <w:rPr>
          <w:rFonts w:eastAsia="Calibri" w:cs="Calibri"/>
          <w:szCs w:val="24"/>
          <w:lang w:val="en-US"/>
        </w:rPr>
      </w:pPr>
      <w:r w:rsidRPr="00483771">
        <w:rPr>
          <w:rFonts w:eastAsia="Calibri" w:cs="Calibri"/>
          <w:szCs w:val="24"/>
          <w:lang w:val="en-US"/>
        </w:rPr>
        <w:br w:type="page"/>
      </w:r>
    </w:p>
    <w:p w14:paraId="39A29EBE" w14:textId="0C08B729" w:rsidR="00F04347" w:rsidRPr="00483771" w:rsidRDefault="00CB5902" w:rsidP="00CB5902">
      <w:pPr>
        <w:pStyle w:val="Kop3"/>
        <w:rPr>
          <w:rFonts w:eastAsia="Calibri"/>
        </w:rPr>
      </w:pPr>
      <w:bookmarkStart w:id="7" w:name="_Toc214877552"/>
      <w:r>
        <w:rPr>
          <w:rFonts w:eastAsia="Calibri"/>
        </w:rPr>
        <w:lastRenderedPageBreak/>
        <w:t>1.3</w:t>
      </w:r>
      <w:r w:rsidR="003C6464" w:rsidRPr="00483771">
        <w:rPr>
          <w:rFonts w:eastAsia="Calibri"/>
        </w:rPr>
        <w:t>. Microbiota data acquisition and preprocessing</w:t>
      </w:r>
      <w:bookmarkEnd w:id="7"/>
    </w:p>
    <w:p w14:paraId="3A2DEB02" w14:textId="6E12CD74" w:rsidR="00F04347" w:rsidRPr="00483771" w:rsidRDefault="00F04347" w:rsidP="00F04347">
      <w:pPr>
        <w:spacing w:before="240" w:after="240"/>
        <w:jc w:val="both"/>
        <w:rPr>
          <w:rFonts w:eastAsia="Calibri" w:cs="Calibri"/>
          <w:szCs w:val="24"/>
          <w:lang w:val="en-US"/>
        </w:rPr>
      </w:pPr>
      <w:r w:rsidRPr="00483771">
        <w:rPr>
          <w:rFonts w:eastAsia="Calibri" w:cs="Calibri"/>
          <w:szCs w:val="24"/>
          <w:lang w:val="en-US"/>
        </w:rPr>
        <w:t>The protocol for DNA extraction, sequencing and preprocessing has been described in detail elsewhere for MACS</w:t>
      </w:r>
      <w:r w:rsidR="003870A7">
        <w:rPr>
          <w:rFonts w:eastAsia="Calibri" w:cs="Calibri"/>
          <w:szCs w:val="24"/>
          <w:lang w:val="en-US"/>
        </w:rPr>
        <w:fldChar w:fldCharType="begin"/>
      </w:r>
      <w:r w:rsidR="003870A7">
        <w:rPr>
          <w:rFonts w:eastAsia="Calibri" w:cs="Calibri"/>
          <w:szCs w:val="24"/>
          <w:lang w:val="en-US"/>
        </w:rPr>
        <w:instrText xml:space="preserve"> ADDIN ZOTERO_ITEM CSL_CITATION {"citationID":"Q7v18dJr","properties":{"formattedCitation":"\\super 4\\nosupersub{}","plainCitation":"4","noteIndex":0},"citationItems":[{"id":1079,"uris":["http://zotero.org/users/10526741/items/DKE79BP2"],"itemData":{"id":1079,"type":"article","abstract":"Abstract\n          \n            Major Depressive Disorder (MDD) is a highly prevalent, severe mental health condition that constitutes one of the leading causes of disability worldwide. While recent animal studies suggest a causal role of the gut microbiome in the pathophysiology of MDD models, evidence in humans is still unclear due to small sample sizes, inconsistent clinical assessment of MDD diagnosis, and methodological limitations regarding causal inference in cross-sectional data. Here, we explicitly address these shortcomings to investigate the potential causal link between the gut microbiome and MDD: First, we replicate previous findings using one of the largest multicenter MDD cohorts for which microbiome data and in-depth diagnostic assessment are available (N=1,269 MDD patients and controls). We find a significant difference between healthy controls and MDD patients for the relative abundance of the four taxa\n            Eggerthella\n            ,\n            Hungatella\n            ,\n            Coprobacillus\n            , and\n            Lachnospiraceae\n            FCS020. Second, we employ state-of-the-art, fully data-driven causal inference tools within Judea Pearl’s framework, allowing us to derive model constraints from the data rather than relying on potentially strong, unrealistic assumptions. Using this approach, we found data-driven evidence for\n            Eggerthella and Hungatella\n            as causal contributors to MDD. Furthermore, we show that\n            Eggerthella\n            and\n            Hungatella\n            abundances are associated with MDD beyond the influence of body mass index, identifying two distinct pathways linking MDD to the gut microbiome. Finally, the difference in relative abundance of these taxa between healthy and MDD patients was independent of antidepressant medication. Our study provides the first evidence for a potential causal role of gut-microbiota in the pathophysiology of depression in humans.","DOI":"10.1101/2024.12.05.24318549","language":"en","license":"https://www.medrxiv.org/about/FAQ#license","source":"Psychiatry and Clinical Psychology","title":"From Gut to Brain: Evidence for a Causal Contribution of Gut-Microbiota to Major Depressive Disorder in Humans","title-short":"From Gut to Brain","URL":"http://medrxiv.org/lookup/doi/10.1101/2024.12.05.24318549","author":[{"family":"Fehse","given":"Leon"},{"family":"Ribeiro","given":"Adèle H."},{"family":"Winter","given":"Nils R."},{"family":"Thanarajah","given":"Sharmili Edwin"},{"family":"Fisch","given":"Lukas"},{"family":"Welzel","given":"Marius"},{"family":"Bang","given":"Corinna"},{"family":"Meinert","given":"Susanne"},{"family":"Flinkenflügel","given":"Kira"},{"family":"Borgers","given":"Tiana"},{"family":"Goltermann","given":"Janik"},{"family":"Leehr","given":"Elisabeth J."},{"family":"Bloemendaal","given":"Mirjam"},{"family":"Natasha","given":"Eugenia E."},{"family":"Mulder","given":"Danique"},{"family":"Vasquez","given":"Alejandro Arias"},{"family":"Stein","given":"Frederike"},{"family":"Thomas-Odenthal","given":"Florian"},{"family":"Usemann","given":"Paula"},{"family":"Teutenberg","given":"Lea"},{"family":"Nenadic","given":"Igor"},{"family":"Straube","given":"Benjamin"},{"family":"Alexander","given":"Nina"},{"family":"Jamalabadi","given":"Hamidreza"},{"family":"Jansen","given":"Andreas"},{"family":"Nitsch","given":"Robert"},{"family":"Lügering","given":"Andreas"},{"family":"Reif","given":"Andreas"},{"family":"Kittel-Schneider","given":"Sarah"},{"family":"Cryan","given":"John"},{"family":"Franke","given":"Andre"},{"family":"Valderrama","given":"Benjamin"},{"family":"Clarke","given":"Gerard"},{"family":"Lavelle","given":"Aonghus"},{"family":"Dannlowski","given":"Udo"},{"family":"Kircher","given":"Tilo"},{"family":"Heider","given":"Dominik"},{"family":"Hahn","given":"Tim"}],"accessed":{"date-parts":[["2025",11,10]]},"issued":{"date-parts":[["2024",12,6]]}}}],"schema":"https://github.com/citation-style-language/schema/raw/master/csl-citation.json"} </w:instrText>
      </w:r>
      <w:r w:rsidR="003870A7">
        <w:rPr>
          <w:rFonts w:eastAsia="Calibri" w:cs="Calibri"/>
          <w:szCs w:val="24"/>
          <w:lang w:val="en-US"/>
        </w:rPr>
        <w:fldChar w:fldCharType="separate"/>
      </w:r>
      <w:r w:rsidR="003870A7" w:rsidRPr="003870A7">
        <w:rPr>
          <w:rFonts w:cs="Calibri"/>
          <w:vertAlign w:val="superscript"/>
        </w:rPr>
        <w:t>4</w:t>
      </w:r>
      <w:r w:rsidR="003870A7">
        <w:rPr>
          <w:rFonts w:eastAsia="Calibri" w:cs="Calibri"/>
          <w:szCs w:val="24"/>
          <w:lang w:val="en-US"/>
        </w:rPr>
        <w:fldChar w:fldCharType="end"/>
      </w:r>
      <w:r w:rsidRPr="00483771">
        <w:rPr>
          <w:rFonts w:eastAsia="Calibri" w:cs="Calibri"/>
          <w:szCs w:val="24"/>
          <w:lang w:val="en-US"/>
        </w:rPr>
        <w:t xml:space="preserve"> and MIND-Set</w:t>
      </w:r>
      <w:r w:rsidR="003870A7">
        <w:rPr>
          <w:rFonts w:eastAsia="Calibri" w:cs="Calibri"/>
          <w:szCs w:val="24"/>
          <w:lang w:val="en-US"/>
        </w:rPr>
        <w:fldChar w:fldCharType="begin"/>
      </w:r>
      <w:r w:rsidR="003870A7">
        <w:rPr>
          <w:rFonts w:eastAsia="Calibri" w:cs="Calibri"/>
          <w:szCs w:val="24"/>
          <w:lang w:val="en-US"/>
        </w:rPr>
        <w:instrText xml:space="preserve"> ADDIN ZOTERO_ITEM CSL_CITATION {"citationID":"RMPZtVAX","properties":{"formattedCitation":"\\super 5\\nosupersub{}","plainCitation":"5","noteIndex":0},"citationItems":[{"id":693,"uris":["http://zotero.org/users/10526741/items/AWTXR7MQ"],"itemData":{"id":693,"type":"article-journal","abstract":"Objective\nChanges in microbial composition are observed in various psychiatric disorders, but their specificity to certain symptoms or processes remains unclear. This study explores the associations between the gut microbiota composition and the Research Domain Criteria (RDoC) domains of functioning, representing symptom domains, specifically focusing on stress-related and neurodevelopmental disorders in patients with and without psychiatric comorbidity.\nMethods\nThe gut microbiota was analyzed in 369 participants, comprising 272 individuals diagnosed with a mood disorder, anxiety disorder, attention deficit/hyperactivity disorder, autism spectrum disorder, and/or substance use disorder, as well as 97 psychiatrically unaffected individuals. The RDoC domains were estimated using principal component analysis (PCA) with oblique rotation on a range of psychiatric, psychological, and personality measures. Associations between the gut microbiota and the functional domains were assessed using multiple linear regression and permanova, adjusted for age, sex, diet, smoking, medication use and comorbidity status.\nResults\nFour functional domains, aligning with RDoC’s negative valence, social processes, cognitive systems, and arousal/regulatory systems domains, were identified. Significant associations were found between these domains and eight microbial genera, including associations of negative valence with the abundance of the genera Sellimonas, CHKCI001, Clostridium sensu stricto 1, Oscillibacter, and Flavonifractor; social processes with Sellimonas; cognitive systems with Sporobacter and Hungatella; and arousal/regulatory systems with Ruminococcus torques (all pFDR &lt; 0.05).\nConclusion\nOur findings demonstrate associations between the gut microbiota and the domains of functioning across patients and unaffected individuals, potentially mediated by immune-related processes. These results open avenues for microbiota-focused personalized interventions, considering psychiatric comorbidity. However, further research is warranted to establish causality and elucidate mechanistic pathways.","container-title":"Brain, Behavior, and Immunity","DOI":"10.1016/j.bbi.2024.05.037","ISSN":"0889-1591","journalAbbreviation":"Brain, Behavior, and Immunity","page":"275-287","source":"ScienceDirect","title":"Gut microbiota composition links to variation in functional domains across psychiatric disorders","volume":"120","author":[{"family":"Mulder","given":"Danique"},{"family":"Jakobi","given":"Babette"},{"family":"Shi","given":"Yingjie"},{"family":"Mulders","given":"Peter"},{"family":"Kist","given":"Josina D."},{"family":"Collard","given":"Rose M."},{"family":"Vrijsen","given":"Janna N."},{"family":"Eijndhoven","given":"Phillip","non-dropping-particle":"van"},{"family":"Tendolkar","given":"Indira"},{"family":"Bloemendaal","given":"Mirjam"},{"family":"Arias Vasquez","given":"Alejandro"}],"issued":{"date-parts":[["2024",8,1]]}}}],"schema":"https://github.com/citation-style-language/schema/raw/master/csl-citation.json"} </w:instrText>
      </w:r>
      <w:r w:rsidR="003870A7">
        <w:rPr>
          <w:rFonts w:eastAsia="Calibri" w:cs="Calibri"/>
          <w:szCs w:val="24"/>
          <w:lang w:val="en-US"/>
        </w:rPr>
        <w:fldChar w:fldCharType="separate"/>
      </w:r>
      <w:r w:rsidR="003870A7" w:rsidRPr="003870A7">
        <w:rPr>
          <w:rFonts w:cs="Calibri"/>
          <w:vertAlign w:val="superscript"/>
        </w:rPr>
        <w:t>5</w:t>
      </w:r>
      <w:r w:rsidR="003870A7">
        <w:rPr>
          <w:rFonts w:eastAsia="Calibri" w:cs="Calibri"/>
          <w:szCs w:val="24"/>
          <w:lang w:val="en-US"/>
        </w:rPr>
        <w:fldChar w:fldCharType="end"/>
      </w:r>
      <w:r w:rsidRPr="00483771">
        <w:rPr>
          <w:rFonts w:eastAsia="Calibri" w:cs="Calibri"/>
          <w:szCs w:val="24"/>
          <w:lang w:val="en-US"/>
        </w:rPr>
        <w:t xml:space="preserve">. In short, participants from the MACS cohort were asked to collect a fecal sample on the day of their baseline intake interview or within two weeks after . Baseline samples were used by default; if unavailable, the two-year follow-up samples were used along with corresponding clinical and questionnaire data. The DNA was extracted from the fecal samples, and the V1-V2 regions of the 16s rRNA gene were amplified using the 27F−308R primer pair. Sequencing was performed using the Illumina </w:t>
      </w:r>
      <w:proofErr w:type="spellStart"/>
      <w:r w:rsidRPr="00483771">
        <w:rPr>
          <w:rFonts w:eastAsia="Calibri" w:cs="Calibri"/>
          <w:szCs w:val="24"/>
          <w:lang w:val="en-US"/>
        </w:rPr>
        <w:t>MiSeq</w:t>
      </w:r>
      <w:proofErr w:type="spellEnd"/>
      <w:r w:rsidRPr="00483771">
        <w:rPr>
          <w:rFonts w:eastAsia="Calibri" w:cs="Calibri"/>
          <w:szCs w:val="24"/>
          <w:lang w:val="en-US"/>
        </w:rPr>
        <w:t xml:space="preserve"> v3 platform (2x300bp), carried out in two batches, with samples from different timepoints processed in separate batches. Sequencing yielded an average of 36,335 [4008 – 11,3711] paired-end reads per sample. Raw sequences were pre-processed using the </w:t>
      </w:r>
      <w:proofErr w:type="spellStart"/>
      <w:r w:rsidRPr="00483771">
        <w:rPr>
          <w:rFonts w:eastAsia="Calibri" w:cs="Calibri"/>
          <w:szCs w:val="24"/>
          <w:lang w:val="en-US"/>
        </w:rPr>
        <w:t>Natrix</w:t>
      </w:r>
      <w:proofErr w:type="spellEnd"/>
      <w:r w:rsidRPr="00483771">
        <w:rPr>
          <w:rFonts w:eastAsia="Calibri" w:cs="Calibri"/>
          <w:szCs w:val="24"/>
          <w:lang w:val="en-US"/>
        </w:rPr>
        <w:t xml:space="preserve"> pipeline</w:t>
      </w:r>
      <w:r w:rsidR="00D11598">
        <w:rPr>
          <w:rFonts w:eastAsia="Calibri" w:cs="Calibri"/>
          <w:szCs w:val="24"/>
          <w:lang w:val="en-US"/>
        </w:rPr>
        <w:fldChar w:fldCharType="begin"/>
      </w:r>
      <w:r w:rsidR="00D11598">
        <w:rPr>
          <w:rFonts w:eastAsia="Calibri" w:cs="Calibri"/>
          <w:szCs w:val="24"/>
          <w:lang w:val="en-US"/>
        </w:rPr>
        <w:instrText xml:space="preserve"> ADDIN ZOTERO_ITEM CSL_CITATION {"citationID":"0pb8hpnu","properties":{"formattedCitation":"\\super 6\\nosupersub{}","plainCitation":"6","noteIndex":0},"citationItems":[{"id":1080,"uris":["http://zotero.org/users/10526741/items/V3KTP5MJ"],"itemData":{"id":1080,"type":"article-journal","abstract":"Abstract\n            \n              Background\n              Sequencing of marker genes amplified from environmental samples, known as amplicon sequencing, allows us to resolve some of the hidden diversity and elucidate evolutionary relationships and ecological processes among complex microbial communities. The analysis of large numbers of samples at high sequencing depths generated by high throughput sequencing technologies requires efficient, flexible, and reproducible bioinformatics pipelines. Only a few existing workflows can be run in a user-friendly, scalable, and reproducible manner on different computing devices using an efficient workflow management system.\n            \n            \n              Results\n              \n                We present Natrix, an open-source bioinformatics workflow for preprocessing raw amplicon sequencing data. The workflow contains all analysis steps from quality assessment, read assembly, dereplication, chimera detection, split-sample merging, sequence representative assignment (OTUs or ASVs) to the taxonomic assignment of sequence representatives. The workflow is written using Snakemake, a workflow management engine for developing data analysis workflows. In addition, Conda is used for version control. Thus, Snakemake ensures reproducibility and Conda offers version control of the utilized programs. The encapsulation of rules and their dependencies support hassle-free sharing of rules between workflows and easy adaptation and extension of existing workflows. Natrix is freely available on GitHub (\n                https://github.com/MW55/Natrix\n                ) or as a Docker container on DockerHub (\n                https://hub.docker.com/r/mw55/natrix\n                ).\n              \n            \n            \n              Conclusion\n              Natrix is a user-friendly and highly extensible workflow for processing Illumina amplicon data.","container-title":"BMC Bioinformatics","DOI":"10.1186/s12859-020-03852-4","ISSN":"1471-2105","issue":"1","journalAbbreviation":"BMC Bioinformatics","language":"en","page":"526","source":"DOI.org (Crossref)","title":"Natrix: a Snakemake-based workflow for processing, clustering, and taxonomically assigning amplicon sequencing reads","title-short":"Natrix","volume":"21","author":[{"family":"Welzel","given":"Marius"},{"family":"Lange","given":"Anja"},{"family":"Heider","given":"Dominik"},{"family":"Schwarz","given":"Michael"},{"family":"Freisleben","given":"Bernd"},{"family":"Jensen","given":"Manfred"},{"family":"Boenigk","given":"Jens"},{"family":"Beisser","given":"Daniela"}],"issued":{"date-parts":[["2020",12]]}}}],"schema":"https://github.com/citation-style-language/schema/raw/master/csl-citation.json"} </w:instrText>
      </w:r>
      <w:r w:rsidR="00D11598">
        <w:rPr>
          <w:rFonts w:eastAsia="Calibri" w:cs="Calibri"/>
          <w:szCs w:val="24"/>
          <w:lang w:val="en-US"/>
        </w:rPr>
        <w:fldChar w:fldCharType="separate"/>
      </w:r>
      <w:r w:rsidR="00D11598" w:rsidRPr="00D11598">
        <w:rPr>
          <w:rFonts w:cs="Calibri"/>
          <w:vertAlign w:val="superscript"/>
        </w:rPr>
        <w:t>6</w:t>
      </w:r>
      <w:r w:rsidR="00D11598">
        <w:rPr>
          <w:rFonts w:eastAsia="Calibri" w:cs="Calibri"/>
          <w:szCs w:val="24"/>
          <w:lang w:val="en-US"/>
        </w:rPr>
        <w:fldChar w:fldCharType="end"/>
      </w:r>
      <w:r w:rsidRPr="00483771">
        <w:rPr>
          <w:rFonts w:eastAsia="Calibri" w:cs="Calibri"/>
          <w:szCs w:val="24"/>
          <w:lang w:val="en-US"/>
        </w:rPr>
        <w:t>, which clustered the reads into OTUs before using the BLAST algorithm against the SILVA database for taxonomic assignment</w:t>
      </w:r>
      <w:r w:rsidR="00D90C92">
        <w:rPr>
          <w:rFonts w:eastAsia="Calibri" w:cs="Calibri"/>
          <w:szCs w:val="24"/>
          <w:lang w:val="en-US"/>
        </w:rPr>
        <w:fldChar w:fldCharType="begin"/>
      </w:r>
      <w:r w:rsidR="00D90C92">
        <w:rPr>
          <w:rFonts w:eastAsia="Calibri" w:cs="Calibri"/>
          <w:szCs w:val="24"/>
          <w:lang w:val="en-US"/>
        </w:rPr>
        <w:instrText xml:space="preserve"> ADDIN ZOTERO_ITEM CSL_CITATION {"citationID":"iskc9XPu","properties":{"formattedCitation":"\\super 7\\nosupersub{}","plainCitation":"7","noteIndex":0},"citationItems":[{"id":1081,"uris":["http://zotero.org/users/10526741/items/LN5LGBXT"],"itemData":{"id":1081,"type":"article-journal","container-title":"Nucleic Acids Research","DOI":"10.1093/nar/gks1219","ISSN":"0305-1048, 1362-4962","issue":"D1","language":"en","license":"http://creativecommons.org/licenses/by-nc/3.0","page":"D590-D596","source":"DOI.org (Crossref)","title":"The SILVA ribosomal RNA gene database project: improved data processing and web-based tools","title-short":"The SILVA ribosomal RNA gene database project","volume":"41","author":[{"family":"Quast","given":"Christian"},{"family":"Pruesse","given":"Elmar"},{"family":"Yilmaz","given":"Pelin"},{"family":"Gerken","given":"Jan"},{"family":"Schweer","given":"Timmy"},{"family":"Yarza","given":"Pablo"},{"family":"Peplies","given":"Jörg"},{"family":"Glöckner","given":"Frank Oliver"}],"issued":{"date-parts":[["2012",11,27]]}}}],"schema":"https://github.com/citation-style-language/schema/raw/master/csl-citation.json"} </w:instrText>
      </w:r>
      <w:r w:rsidR="00D90C92">
        <w:rPr>
          <w:rFonts w:eastAsia="Calibri" w:cs="Calibri"/>
          <w:szCs w:val="24"/>
          <w:lang w:val="en-US"/>
        </w:rPr>
        <w:fldChar w:fldCharType="separate"/>
      </w:r>
      <w:r w:rsidR="00D90C92" w:rsidRPr="00D90C92">
        <w:rPr>
          <w:rFonts w:cs="Calibri"/>
          <w:vertAlign w:val="superscript"/>
        </w:rPr>
        <w:t>7</w:t>
      </w:r>
      <w:r w:rsidR="00D90C92">
        <w:rPr>
          <w:rFonts w:eastAsia="Calibri" w:cs="Calibri"/>
          <w:szCs w:val="24"/>
          <w:lang w:val="en-US"/>
        </w:rPr>
        <w:fldChar w:fldCharType="end"/>
      </w:r>
      <w:r w:rsidRPr="00483771">
        <w:rPr>
          <w:rFonts w:eastAsia="Calibri" w:cs="Calibri"/>
          <w:szCs w:val="24"/>
          <w:lang w:val="en-US"/>
        </w:rPr>
        <w:t>. The resulting feature Table contained a total of 48,495 OTUs, corresponding to 636 genera.</w:t>
      </w:r>
    </w:p>
    <w:p w14:paraId="1B97B3F3" w14:textId="564A018A" w:rsidR="007D52F9" w:rsidRPr="00483771" w:rsidRDefault="00F04347" w:rsidP="0034697F">
      <w:pPr>
        <w:spacing w:before="240" w:after="240"/>
        <w:jc w:val="both"/>
        <w:rPr>
          <w:rFonts w:eastAsia="Calibri" w:cs="Calibri"/>
          <w:szCs w:val="24"/>
          <w:lang w:val="en-US"/>
        </w:rPr>
      </w:pPr>
      <w:r w:rsidRPr="00483771">
        <w:rPr>
          <w:rFonts w:eastAsia="Calibri" w:cs="Calibri"/>
          <w:szCs w:val="24"/>
          <w:lang w:val="en-US"/>
        </w:rPr>
        <w:t>For the MIND-Set cohort, all participants collected a fecal sample at home. DNA was extracted from the fecal samples, and the V4 region of the 16s rRNA gene was amplified using the 515F-806R primer pair. Sequencing was performed using the Illumina NovaSeq6000 platform (2x250bp) in one batch, yielding an average of 768,466 [226,130 –1,266,720] paired-end reads per sample. Raw sequences were pre-processed using the QIIME2-DADA2 pipeline</w:t>
      </w:r>
      <w:r w:rsidR="00D90C92">
        <w:rPr>
          <w:rFonts w:eastAsia="Calibri" w:cs="Calibri"/>
          <w:szCs w:val="24"/>
          <w:lang w:val="en-US"/>
        </w:rPr>
        <w:fldChar w:fldCharType="begin"/>
      </w:r>
      <w:r w:rsidR="00D90C92">
        <w:rPr>
          <w:rFonts w:eastAsia="Calibri" w:cs="Calibri"/>
          <w:szCs w:val="24"/>
          <w:lang w:val="en-US"/>
        </w:rPr>
        <w:instrText xml:space="preserve"> ADDIN ZOTERO_ITEM CSL_CITATION {"citationID":"NxV9yMmM","properties":{"formattedCitation":"\\super 8,9\\nosupersub{}","plainCitation":"8,9","noteIndex":0},"citationItems":[{"id":799,"uris":["http://zotero.org/users/10526741/items/2HN9TKWF"],"itemData":{"id":799,"type":"article-journal","container-title":"Nature Biotechnology","DOI":"10.1038/s41587-019-0209-9","ISSN":"1546-1696","issue":"8","journalAbbreviation":"Nat Biotechnol","language":"en","license":"2019 The Author(s), under exclusive licence to Springer Nature America, Inc.","note":"publisher: Nature Publishing Group","page":"852-857","source":"www.nature.com","title":"Reproducible, interactive, scalable and extensible microbiome data science using QIIME 2","volume":"37","author":[{"family":"Bolyen","given":"Evan"},{"family":"Rideout","given":"Jai Ram"},{"family":"Dillon","given":"Matthew R."},{"family":"Bokulich","given":"Nicholas A."},{"family":"Abnet","given":"Christian C."},{"family":"Al-Ghalith","given":"Gabriel A."},{"family":"Alexander","given":"Harriet"},{"family":"Alm","given":"Eric J."},{"family":"Arumugam","given":"Manimozhiyan"},{"family":"Asnicar","given":"Francesco"},{"family":"Bai","given":"Yang"},{"family":"Bisanz","given":"Jordan E."},{"family":"Bittinger","given":"Kyle"},{"family":"Brejnrod","given":"Asker"},{"family":"Brislawn","given":"Colin J."},{"family":"Brown","given":"C. Titus"},{"family":"Callahan","given":"Benjamin J."},{"family":"Caraballo-Rodríguez","given":"Andrés Mauricio"},{"family":"Chase","given":"John"},{"family":"Cope","given":"Emily K."},{"family":"Da Silva","given":"Ricardo"},{"family":"Diener","given":"Christian"},{"family":"Dorrestein","given":"Pieter C."},{"family":"Douglas","given":"Gavin M."},{"family":"Durall","given":"Daniel M."},{"family":"Duvallet","given":"Claire"},{"family":"Edwardson","given":"Christian F."},{"family":"Ernst","given":"Madeleine"},{"family":"Estaki","given":"Mehrbod"},{"family":"Fouquier","given":"Jennifer"},{"family":"Gauglitz","given":"Julia M."},{"family":"Gibbons","given":"Sean M."},{"family":"Gibson","given":"Deanna L."},{"family":"Gonzalez","given":"Antonio"},{"family":"Gorlick","given":"Kestrel"},{"family":"Guo","given":"Jiarong"},{"family":"Hillmann","given":"Benjamin"},{"family":"Holmes","given":"Susan"},{"family":"Holste","given":"Hannes"},{"family":"Huttenhower","given":"Curtis"},{"family":"Huttley","given":"Gavin A."},{"family":"Janssen","given":"Stefan"},{"family":"Jarmusch","given":"Alan K."},{"family":"Jiang","given":"Lingjing"},{"family":"Kaehler","given":"Benjamin D."},{"family":"Kang","given":"Kyo Bin"},{"family":"Keefe","given":"Christopher R."},{"family":"Keim","given":"Paul"},{"family":"Kelley","given":"Scott T."},{"family":"Knights","given":"Dan"},{"family":"Koester","given":"Irina"},{"family":"Kosciolek","given":"Tomasz"},{"family":"Kreps","given":"Jorden"},{"family":"Langille","given":"Morgan G. I."},{"family":"Lee","given":"Joslynn"},{"family":"Ley","given":"Ruth"},{"family":"Liu","given":"Yong-Xin"},{"family":"Loftfield","given":"Erikka"},{"family":"Lozupone","given":"Catherine"},{"family":"Maher","given":"Massoud"},{"family":"Marotz","given":"Clarisse"},{"family":"Martin","given":"Bryan D."},{"family":"McDonald","given":"Daniel"},{"family":"McIver","given":"Lauren J."},{"family":"Melnik","given":"Alexey V."},{"family":"Metcalf","given":"Jessica L."},{"family":"Morgan","given":"Sydney C."},{"family":"Morton","given":"Jamie T."},{"family":"Naimey","given":"Ahmad Turan"},{"family":"Navas-Molina","given":"Jose A."},{"family":"Nothias","given":"Louis Felix"},{"family":"Orchanian","given":"Stephanie B."},{"family":"Pearson","given":"Talima"},{"family":"Peoples","given":"Samuel L."},{"family":"Petras","given":"Daniel"},{"family":"Preuss","given":"Mary Lai"},{"family":"Pruesse","given":"Elmar"},{"family":"Rasmussen","given":"Lasse Buur"},{"family":"Rivers","given":"Adam"},{"family":"Robeson","given":"Michael S."},{"family":"Rosenthal","given":"Patrick"},{"family":"Segata","given":"Nicola"},{"family":"Shaffer","given":"Michael"},{"family":"Shiffer","given":"Arron"},{"family":"Sinha","given":"Rashmi"},{"family":"Song","given":"Se Jin"},{"family":"Spear","given":"John R."},{"family":"Swafford","given":"Austin D."},{"family":"Thompson","given":"Luke R."},{"family":"Torres","given":"Pedro J."},{"family":"Trinh","given":"Pauline"},{"family":"Tripathi","given":"Anupriya"},{"family":"Turnbaugh","given":"Peter J."},{"family":"Ul-Hasan","given":"Sabah"},{"family":"Hooft","given":"Justin J. J.","non-dropping-particle":"van der"},{"family":"Vargas","given":"Fernando"},{"family":"Vázquez-Baeza","given":"Yoshiki"},{"family":"Vogtmann","given":"Emily"},{"family":"Hippel","given":"Max","non-dropping-particle":"von"},{"family":"Walters","given":"William"},{"family":"Wan","given":"Yunhu"},{"family":"Wang","given":"Mingxun"},{"family":"Warren","given":"Jonathan"},{"family":"Weber","given":"Kyle C."},{"family":"Williamson","given":"Charles H. D."},{"family":"Willis","given":"Amy D."},{"family":"Xu","given":"Zhenjiang Zech"},{"family":"Zaneveld","given":"Jesse R."},{"family":"Zhang","given":"Yilong"},{"family":"Zhu","given":"Qiyun"},{"family":"Knight","given":"Rob"},{"family":"Caporaso","given":"J. Gregory"}],"issued":{"date-parts":[["2019",8]]}}},{"id":45,"uris":["http://zotero.org/users/10526741/items/UIY3EMG4"],"itemData":{"id":45,"type":"article-journal","abstract":"DADA2 is an open-source software package that denoises and removes sequencing errors from Illumina amplicon sequence data to distinguish microbial sample sequences differing by as little as a single nucleotide.","container-title":"Nature Methods","DOI":"10.1038/nmeth.3869","ISSN":"1548-7105","issue":"7","journalAbbreviation":"Nat Methods","language":"en","license":"2016 Nature Publishing Group, a division of Macmillan Publishers Limited. All Rights Reserved.","note":"number: 7\npublisher: Nature Publishing Group","page":"581-583","source":"www.nature.com","title":"DADA2: High-resolution sample inference from Illumina amplicon data","title-short":"DADA2","volume":"13","author":[{"family":"Callahan","given":"Benjamin J."},{"family":"McMurdie","given":"Paul J."},{"family":"Rosen","given":"Michael J."},{"family":"Han","given":"Andrew W."},{"family":"Johnson","given":"Amy Jo A."},{"family":"Holmes","given":"Susan P."}],"issued":{"date-parts":[["2016",7]]}}}],"schema":"https://github.com/citation-style-language/schema/raw/master/csl-citation.json"} </w:instrText>
      </w:r>
      <w:r w:rsidR="00D90C92">
        <w:rPr>
          <w:rFonts w:eastAsia="Calibri" w:cs="Calibri"/>
          <w:szCs w:val="24"/>
          <w:lang w:val="en-US"/>
        </w:rPr>
        <w:fldChar w:fldCharType="separate"/>
      </w:r>
      <w:r w:rsidR="00D90C92" w:rsidRPr="00D90C92">
        <w:rPr>
          <w:rFonts w:cs="Calibri"/>
          <w:vertAlign w:val="superscript"/>
        </w:rPr>
        <w:t>8,9</w:t>
      </w:r>
      <w:r w:rsidR="00D90C92">
        <w:rPr>
          <w:rFonts w:eastAsia="Calibri" w:cs="Calibri"/>
          <w:szCs w:val="24"/>
          <w:lang w:val="en-US"/>
        </w:rPr>
        <w:fldChar w:fldCharType="end"/>
      </w:r>
      <w:r w:rsidRPr="00483771">
        <w:rPr>
          <w:rFonts w:eastAsia="Calibri" w:cs="Calibri"/>
          <w:szCs w:val="24"/>
          <w:lang w:val="en-US"/>
        </w:rPr>
        <w:t>, which inferred ASVs and then assigned taxonomy using a Naïve Bayes classifier pre-trained on the SILVA v138 reference database. The resulting feature Table contained a total of 21,078 ASVs, corresponding to 243 genera.</w:t>
      </w:r>
      <w:bookmarkStart w:id="8" w:name="_7a7dfhcq7105" w:colFirst="0" w:colLast="0"/>
      <w:bookmarkEnd w:id="8"/>
      <w:r w:rsidR="007D52F9" w:rsidRPr="00483771">
        <w:rPr>
          <w:rFonts w:eastAsia="Calibri" w:cs="Calibri"/>
          <w:szCs w:val="24"/>
          <w:lang w:val="en-US"/>
        </w:rPr>
        <w:br w:type="page"/>
      </w:r>
    </w:p>
    <w:p w14:paraId="4A58360A" w14:textId="30EFFFFE" w:rsidR="007D52F9" w:rsidRPr="00483771" w:rsidRDefault="00CB5902" w:rsidP="00CB5902">
      <w:pPr>
        <w:pStyle w:val="Kop3"/>
      </w:pPr>
      <w:bookmarkStart w:id="9" w:name="_Toc214877553"/>
      <w:r>
        <w:lastRenderedPageBreak/>
        <w:t>1.</w:t>
      </w:r>
      <w:r w:rsidR="007D52F9" w:rsidRPr="00483771">
        <w:t>4. Description of covariates</w:t>
      </w:r>
      <w:bookmarkEnd w:id="9"/>
    </w:p>
    <w:p w14:paraId="351DFB72" w14:textId="77777777" w:rsidR="007D52F9" w:rsidRPr="00CB5902" w:rsidRDefault="007D52F9" w:rsidP="00CB5902">
      <w:pPr>
        <w:rPr>
          <w:u w:val="single"/>
          <w:lang w:val="en-US"/>
        </w:rPr>
      </w:pPr>
      <w:r w:rsidRPr="00CB5902">
        <w:rPr>
          <w:u w:val="single"/>
          <w:lang w:val="en-US"/>
        </w:rPr>
        <w:t>Sequencing batch</w:t>
      </w:r>
    </w:p>
    <w:p w14:paraId="5A4407C6" w14:textId="50CF6EE6" w:rsidR="007D52F9" w:rsidRPr="00483771" w:rsidRDefault="007D52F9" w:rsidP="007D52F9">
      <w:pPr>
        <w:spacing w:before="240" w:after="240"/>
        <w:jc w:val="both"/>
        <w:rPr>
          <w:rFonts w:eastAsia="Calibri" w:cs="Calibri"/>
          <w:szCs w:val="24"/>
          <w:lang w:val="en-US"/>
        </w:rPr>
      </w:pPr>
      <w:r w:rsidRPr="00483771">
        <w:rPr>
          <w:rFonts w:eastAsia="Calibri" w:cs="Calibri"/>
          <w:szCs w:val="24"/>
          <w:lang w:val="en-US"/>
        </w:rPr>
        <w:t>We observed clustering based on the sequencing batch in the MACS cohort, reflected on an OTU/ASV-level unsupervised ordination plot (</w:t>
      </w:r>
      <w:proofErr w:type="spellStart"/>
      <w:r w:rsidR="00B214E2" w:rsidRPr="00B214E2">
        <w:rPr>
          <w:rFonts w:eastAsia="Calibri" w:cs="Calibri"/>
          <w:b/>
          <w:bCs/>
          <w:szCs w:val="24"/>
          <w:lang w:val="en-US"/>
        </w:rPr>
        <w:t>e</w:t>
      </w:r>
      <w:hyperlink w:anchor="_cus5jmeg3f4s">
        <w:r w:rsidRPr="00483771">
          <w:rPr>
            <w:rFonts w:eastAsia="Calibri" w:cs="Calibri"/>
            <w:b/>
            <w:szCs w:val="24"/>
            <w:lang w:val="en-US"/>
          </w:rPr>
          <w:t>Figure</w:t>
        </w:r>
        <w:proofErr w:type="spellEnd"/>
        <w:r w:rsidRPr="00483771">
          <w:rPr>
            <w:rFonts w:eastAsia="Calibri" w:cs="Calibri"/>
            <w:b/>
            <w:szCs w:val="24"/>
            <w:lang w:val="en-US"/>
          </w:rPr>
          <w:t xml:space="preserve"> </w:t>
        </w:r>
        <w:r w:rsidR="00BD102D" w:rsidRPr="00483771">
          <w:rPr>
            <w:rFonts w:eastAsia="Calibri" w:cs="Calibri"/>
            <w:b/>
            <w:szCs w:val="24"/>
            <w:lang w:val="en-US"/>
          </w:rPr>
          <w:t>2</w:t>
        </w:r>
      </w:hyperlink>
      <w:r w:rsidRPr="00483771">
        <w:rPr>
          <w:rFonts w:eastAsia="Calibri" w:cs="Calibri"/>
          <w:szCs w:val="24"/>
          <w:lang w:val="en-US"/>
        </w:rPr>
        <w:t>). The sequencing batch effects were no longer observed after agglomeration to genus level. The sequencing batch affected the number of detected OTUs (F=36.92, p &lt; 0.001), hence we added the variable as a covariate in our analyses.</w:t>
      </w:r>
    </w:p>
    <w:p w14:paraId="273BDDD9" w14:textId="5B51876E" w:rsidR="00BD102D" w:rsidRPr="005947E8" w:rsidRDefault="00562F48" w:rsidP="00E22350">
      <w:pPr>
        <w:pStyle w:val="Kop3"/>
        <w:rPr>
          <w:rFonts w:eastAsia="Calibri"/>
          <w:sz w:val="20"/>
          <w:szCs w:val="22"/>
          <w:lang w:val="en-US"/>
        </w:rPr>
      </w:pPr>
      <w:bookmarkStart w:id="10" w:name="_Toc214877554"/>
      <w:proofErr w:type="spellStart"/>
      <w:r>
        <w:rPr>
          <w:rFonts w:eastAsia="Calibri"/>
          <w:sz w:val="20"/>
          <w:szCs w:val="22"/>
          <w:lang w:val="en-US"/>
        </w:rPr>
        <w:t>eFigure</w:t>
      </w:r>
      <w:proofErr w:type="spellEnd"/>
      <w:r w:rsidR="00BD102D" w:rsidRPr="005947E8">
        <w:rPr>
          <w:rFonts w:eastAsia="Calibri"/>
          <w:sz w:val="20"/>
          <w:szCs w:val="22"/>
          <w:lang w:val="en-US"/>
        </w:rPr>
        <w:t xml:space="preserve"> 2</w:t>
      </w:r>
      <w:r w:rsidR="00E22350" w:rsidRPr="005947E8">
        <w:rPr>
          <w:rFonts w:eastAsia="Calibri"/>
          <w:sz w:val="20"/>
          <w:szCs w:val="22"/>
          <w:lang w:val="en-US"/>
        </w:rPr>
        <w:t>.</w:t>
      </w:r>
      <w:r w:rsidR="00BD102D" w:rsidRPr="005947E8">
        <w:rPr>
          <w:rFonts w:eastAsia="Calibri"/>
          <w:sz w:val="20"/>
          <w:szCs w:val="22"/>
          <w:lang w:val="en-US"/>
        </w:rPr>
        <w:t xml:space="preserve"> </w:t>
      </w:r>
      <w:r w:rsidR="00BD102D" w:rsidRPr="005947E8">
        <w:rPr>
          <w:rFonts w:eastAsia="Calibri"/>
          <w:b w:val="0"/>
          <w:bCs/>
          <w:i w:val="0"/>
          <w:iCs/>
          <w:sz w:val="20"/>
          <w:szCs w:val="22"/>
          <w:lang w:val="en-US"/>
        </w:rPr>
        <w:t>Sequencing batch effect in the MACS cohort</w:t>
      </w:r>
      <w:bookmarkEnd w:id="10"/>
    </w:p>
    <w:p w14:paraId="3EBA8368" w14:textId="77777777" w:rsidR="00BD102D" w:rsidRPr="00483771" w:rsidRDefault="00BD102D" w:rsidP="00BD102D">
      <w:pPr>
        <w:spacing w:before="240" w:after="240"/>
        <w:jc w:val="both"/>
        <w:rPr>
          <w:rFonts w:eastAsia="Calibri" w:cs="Calibri"/>
          <w:szCs w:val="24"/>
          <w:lang w:val="en-US"/>
        </w:rPr>
      </w:pPr>
      <w:r w:rsidRPr="00483771">
        <w:rPr>
          <w:rFonts w:eastAsia="Calibri" w:cs="Calibri"/>
          <w:noProof/>
          <w:szCs w:val="24"/>
          <w:lang w:val="en-US"/>
        </w:rPr>
        <w:drawing>
          <wp:inline distT="114300" distB="114300" distL="114300" distR="114300" wp14:anchorId="5C5FFBD7" wp14:editId="694D3FD2">
            <wp:extent cx="5943600" cy="23495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5943600" cy="2349500"/>
                    </a:xfrm>
                    <a:prstGeom prst="rect">
                      <a:avLst/>
                    </a:prstGeom>
                    <a:ln/>
                  </pic:spPr>
                </pic:pic>
              </a:graphicData>
            </a:graphic>
          </wp:inline>
        </w:drawing>
      </w:r>
    </w:p>
    <w:p w14:paraId="7482D08A" w14:textId="7FDAAC5E" w:rsidR="00BD102D" w:rsidRPr="00483771" w:rsidRDefault="00BD102D" w:rsidP="007D52F9">
      <w:pPr>
        <w:spacing w:before="240" w:after="240"/>
        <w:jc w:val="both"/>
        <w:rPr>
          <w:rFonts w:eastAsia="Calibri" w:cs="Calibri"/>
          <w:sz w:val="20"/>
          <w:szCs w:val="20"/>
          <w:lang w:val="en-US"/>
        </w:rPr>
      </w:pPr>
      <w:r w:rsidRPr="00483771">
        <w:rPr>
          <w:rFonts w:eastAsia="Calibri" w:cs="Calibri"/>
          <w:sz w:val="20"/>
          <w:szCs w:val="20"/>
          <w:lang w:val="en-US"/>
        </w:rPr>
        <w:t xml:space="preserve">In the MACS cohort, unsupervised ordination (PCA on </w:t>
      </w:r>
      <w:r w:rsidRPr="00483771">
        <w:rPr>
          <w:rFonts w:eastAsia="Calibri" w:cs="Calibri"/>
          <w:i/>
          <w:sz w:val="20"/>
          <w:szCs w:val="20"/>
          <w:lang w:val="en-US"/>
        </w:rPr>
        <w:t>Aitchison distance</w:t>
      </w:r>
      <w:r w:rsidRPr="00483771">
        <w:rPr>
          <w:rFonts w:eastAsia="Calibri" w:cs="Calibri"/>
          <w:sz w:val="20"/>
          <w:szCs w:val="20"/>
          <w:lang w:val="en-US"/>
        </w:rPr>
        <w:t xml:space="preserve">) on OTU-level  revealed a sequencing batch effect </w:t>
      </w:r>
      <w:r w:rsidRPr="00483771">
        <w:rPr>
          <w:rFonts w:eastAsia="Calibri" w:cs="Calibri"/>
          <w:b/>
          <w:sz w:val="20"/>
          <w:szCs w:val="20"/>
          <w:lang w:val="en-US"/>
        </w:rPr>
        <w:t>(A)</w:t>
      </w:r>
      <w:r w:rsidRPr="00483771">
        <w:rPr>
          <w:rFonts w:eastAsia="Calibri" w:cs="Calibri"/>
          <w:sz w:val="20"/>
          <w:szCs w:val="20"/>
          <w:lang w:val="en-US"/>
        </w:rPr>
        <w:t xml:space="preserve">. After agglomeration to genus level, the sequencing batch effect disappeared </w:t>
      </w:r>
      <w:r w:rsidRPr="00483771">
        <w:rPr>
          <w:rFonts w:eastAsia="Calibri" w:cs="Calibri"/>
          <w:b/>
          <w:bCs/>
          <w:sz w:val="20"/>
          <w:szCs w:val="20"/>
          <w:lang w:val="en-US"/>
        </w:rPr>
        <w:t>(B)</w:t>
      </w:r>
      <w:r w:rsidRPr="00483771">
        <w:rPr>
          <w:rFonts w:eastAsia="Calibri" w:cs="Calibri"/>
          <w:sz w:val="20"/>
          <w:szCs w:val="20"/>
          <w:lang w:val="en-US"/>
        </w:rPr>
        <w:t>. Since the batch affected the microbial community structure, we corrected for batch effect in all statistical models.</w:t>
      </w:r>
    </w:p>
    <w:p w14:paraId="302DCBEE" w14:textId="77777777" w:rsidR="00BD102D" w:rsidRPr="00CB5902" w:rsidRDefault="00BD102D" w:rsidP="00CB5902">
      <w:pPr>
        <w:rPr>
          <w:u w:val="single"/>
          <w:lang w:val="en-US"/>
        </w:rPr>
      </w:pPr>
    </w:p>
    <w:p w14:paraId="7EEB1C14" w14:textId="77777777" w:rsidR="007D52F9" w:rsidRPr="00CB5902" w:rsidRDefault="007D52F9" w:rsidP="00CB5902">
      <w:pPr>
        <w:rPr>
          <w:i/>
          <w:iCs/>
          <w:u w:val="single"/>
          <w:lang w:val="en-US"/>
        </w:rPr>
      </w:pPr>
      <w:r w:rsidRPr="00CB5902">
        <w:rPr>
          <w:i/>
          <w:iCs/>
          <w:u w:val="single"/>
          <w:lang w:val="en-US"/>
        </w:rPr>
        <w:t>Sequencing depth</w:t>
      </w:r>
    </w:p>
    <w:p w14:paraId="1CA133B6" w14:textId="77777777" w:rsidR="007D52F9" w:rsidRPr="00483771" w:rsidRDefault="007D52F9" w:rsidP="007D52F9">
      <w:pPr>
        <w:spacing w:before="240" w:after="240"/>
        <w:jc w:val="both"/>
        <w:rPr>
          <w:rFonts w:eastAsia="Calibri" w:cs="Calibri"/>
          <w:szCs w:val="24"/>
          <w:lang w:val="en-US"/>
        </w:rPr>
      </w:pPr>
      <w:r w:rsidRPr="00483771">
        <w:rPr>
          <w:rFonts w:eastAsia="Calibri" w:cs="Calibri"/>
          <w:szCs w:val="24"/>
          <w:lang w:val="en-US"/>
        </w:rPr>
        <w:t xml:space="preserve">Sequencing depth, the number of sequencing reads after pre-processing using </w:t>
      </w:r>
      <w:proofErr w:type="spellStart"/>
      <w:r w:rsidRPr="00483771">
        <w:rPr>
          <w:rFonts w:eastAsia="Calibri" w:cs="Calibri"/>
          <w:szCs w:val="24"/>
          <w:lang w:val="en-US"/>
        </w:rPr>
        <w:t>Natrix</w:t>
      </w:r>
      <w:proofErr w:type="spellEnd"/>
      <w:r w:rsidRPr="00483771">
        <w:rPr>
          <w:rFonts w:eastAsia="Calibri" w:cs="Calibri"/>
          <w:szCs w:val="24"/>
          <w:lang w:val="en-US"/>
        </w:rPr>
        <w:t xml:space="preserve"> (MACS) or QIIME2-DADA2 (MIND-Set), was significantly associated with the number of microbial features in both the MACS (r=.23, p&lt;.001) and MIND-Set (r=.09, p &lt; .001) cohorts, and was therefore added as a covariate in the analyses</w:t>
      </w:r>
    </w:p>
    <w:p w14:paraId="6F499E1D" w14:textId="77777777" w:rsidR="007D52F9" w:rsidRPr="00CB5902" w:rsidRDefault="007D52F9" w:rsidP="00E22350">
      <w:pPr>
        <w:rPr>
          <w:i/>
          <w:iCs/>
          <w:u w:val="single"/>
          <w:lang w:val="en-US"/>
        </w:rPr>
      </w:pPr>
      <w:r w:rsidRPr="00CB5902">
        <w:rPr>
          <w:i/>
          <w:iCs/>
          <w:u w:val="single"/>
          <w:lang w:val="en-US"/>
        </w:rPr>
        <w:t>Depression symptom severity</w:t>
      </w:r>
    </w:p>
    <w:p w14:paraId="7643A5EF" w14:textId="2B2DC44F" w:rsidR="007D52F9" w:rsidRPr="00483771" w:rsidRDefault="007D52F9" w:rsidP="007D52F9">
      <w:pPr>
        <w:spacing w:before="240" w:after="240"/>
        <w:jc w:val="both"/>
        <w:rPr>
          <w:rFonts w:eastAsia="Calibri" w:cs="Calibri"/>
          <w:szCs w:val="24"/>
          <w:lang w:val="en-US"/>
        </w:rPr>
      </w:pPr>
      <w:r w:rsidRPr="00483771">
        <w:rPr>
          <w:rFonts w:eastAsia="Calibri" w:cs="Calibri"/>
          <w:szCs w:val="24"/>
          <w:lang w:val="en-US"/>
        </w:rPr>
        <w:t>All participants in the MACS cohort self-reported depression symptom severity using the Beck Depression Inventory (BDI-II)</w:t>
      </w:r>
      <w:r w:rsidR="00E354D7">
        <w:rPr>
          <w:rFonts w:eastAsia="Calibri" w:cs="Calibri"/>
          <w:szCs w:val="24"/>
          <w:lang w:val="en-US"/>
        </w:rPr>
        <w:fldChar w:fldCharType="begin"/>
      </w:r>
      <w:r w:rsidR="00E354D7">
        <w:rPr>
          <w:rFonts w:eastAsia="Calibri" w:cs="Calibri"/>
          <w:szCs w:val="24"/>
          <w:lang w:val="en-US"/>
        </w:rPr>
        <w:instrText xml:space="preserve"> ADDIN ZOTERO_ITEM CSL_CITATION {"citationID":"ijyD6HDY","properties":{"formattedCitation":"\\super 10\\nosupersub{}","plainCitation":"10","noteIndex":0},"citationItems":[{"id":1083,"uris":["http://zotero.org/users/10526741/items/8JLPU6ZG"],"itemData":{"id":1083,"type":"article-journal","container-title":"Arthritis Care &amp; Research","DOI":"10.1002/acr.20556","ISSN":"2151-464X, 2151-4658","issue":"S11","journalAbbreviation":"Arthritis Care &amp; Research","language":"en","license":"http://onlinelibrary.wiley.com/termsAndConditions#vor","source":"DOI.org (Crossref)","title":"Measures of depression and depressive symptoms: Beck Depression Inventory‐II (BDI‐II), Center for Epidemiologic Studies Depression Scale (CES‐D), Geriatric Depression Scale (GDS), Hospital Anxiety and Depression Scale (HADS), and Patient Health Questionnaire‐9 (PHQ‐9)","title-short":"Measures of depression and depressive symptoms","URL":"https://acrjournals.onlinelibrary.wiley.com/doi/10.1002/acr.20556","volume":"63","author":[{"family":"Smarr","given":"Karen L."},{"family":"Keefer","given":"Autumn L."}],"accessed":{"date-parts":[["2025",11,10]]},"issued":{"date-parts":[["2011",11]]}}}],"schema":"https://github.com/citation-style-language/schema/raw/master/csl-citation.json"} </w:instrText>
      </w:r>
      <w:r w:rsidR="00E354D7">
        <w:rPr>
          <w:rFonts w:eastAsia="Calibri" w:cs="Calibri"/>
          <w:szCs w:val="24"/>
          <w:lang w:val="en-US"/>
        </w:rPr>
        <w:fldChar w:fldCharType="separate"/>
      </w:r>
      <w:r w:rsidR="00E354D7" w:rsidRPr="00E354D7">
        <w:rPr>
          <w:rFonts w:cs="Calibri"/>
          <w:vertAlign w:val="superscript"/>
        </w:rPr>
        <w:t>10</w:t>
      </w:r>
      <w:r w:rsidR="00E354D7">
        <w:rPr>
          <w:rFonts w:eastAsia="Calibri" w:cs="Calibri"/>
          <w:szCs w:val="24"/>
          <w:lang w:val="en-US"/>
        </w:rPr>
        <w:fldChar w:fldCharType="end"/>
      </w:r>
      <w:r w:rsidRPr="00483771">
        <w:rPr>
          <w:rFonts w:eastAsia="Calibri" w:cs="Calibri"/>
          <w:szCs w:val="24"/>
          <w:lang w:val="en-US"/>
        </w:rPr>
        <w:t>. The BDI-II is a 21-item questionnaire that assesses the intensity of depressive symptoms over the past two weeks. Each item is scored on a scale from 0 to 3. Total scores range from 0 to 63, with scores of 0–13 indicating minimal depression, 14–19 mild depression, 20–28 moderate depression, and 29–63 severe depression.</w:t>
      </w:r>
      <w:r w:rsidR="00971D8D" w:rsidRPr="00483771">
        <w:rPr>
          <w:rFonts w:eastAsia="Calibri" w:cs="Calibri"/>
          <w:szCs w:val="24"/>
          <w:lang w:val="en-US"/>
        </w:rPr>
        <w:t xml:space="preserve"> </w:t>
      </w:r>
    </w:p>
    <w:p w14:paraId="1C41B524" w14:textId="2D7D9CB3" w:rsidR="007D52F9" w:rsidRPr="00483771" w:rsidRDefault="007D52F9" w:rsidP="00425AA1">
      <w:pPr>
        <w:spacing w:before="240" w:after="240"/>
        <w:jc w:val="both"/>
        <w:rPr>
          <w:rFonts w:eastAsia="Calibri" w:cs="Calibri"/>
          <w:szCs w:val="24"/>
          <w:lang w:val="en-US"/>
        </w:rPr>
      </w:pPr>
      <w:r w:rsidRPr="00483771">
        <w:rPr>
          <w:rFonts w:eastAsia="Calibri" w:cs="Calibri"/>
          <w:szCs w:val="24"/>
          <w:lang w:val="en-US"/>
        </w:rPr>
        <w:t>All participants in the MIND-Set cohort self-reported depression symptom severity using the Inventory of Depressive Symptomatology (IDS-SR)</w:t>
      </w:r>
      <w:r w:rsidR="002D4AD5">
        <w:rPr>
          <w:rFonts w:eastAsia="Calibri" w:cs="Calibri"/>
          <w:szCs w:val="24"/>
          <w:lang w:val="en-US"/>
        </w:rPr>
        <w:fldChar w:fldCharType="begin"/>
      </w:r>
      <w:r w:rsidR="002D4AD5">
        <w:rPr>
          <w:rFonts w:eastAsia="Calibri" w:cs="Calibri"/>
          <w:szCs w:val="24"/>
          <w:lang w:val="en-US"/>
        </w:rPr>
        <w:instrText xml:space="preserve"> ADDIN ZOTERO_ITEM CSL_CITATION {"citationID":"PYRWa4QW","properties":{"formattedCitation":"\\super 11\\nosupersub{}","plainCitation":"11","noteIndex":0},"citationItems":[{"id":1084,"uris":["http://zotero.org/users/10526741/items/6GHH6CFS"],"itemData":{"id":1084,"type":"article-journal","abstract":"Background\n              Depression shows a large heterogeneity of symptoms between and within persons over time. However, most outcome studies have assessed depression as a single underlying latent construct, using the sum score on psychometric scales as an indicator for severity. This study assesses longitudinal symptom‐specific trajectories and within‐person variability of major depressive disorder over a 9‐year period.\n            \n            \n              Methods\n              \n                Data were derived from the Netherlands Study of Depression and Anxiety (\n                NESDA\n                ). This study included 783 participants with a current major depressive disorder at baseline. The Inventory Depressive Symptomatology‐Self‐Report (\n                IDS\n                ‐\n                SR\n                ) was used to analyze 28 depressive symptoms at up to six time points during the 9‐year follow‐up.\n              \n            \n            \n              Results\n              The highest baseline severity scores were found for the items regarding energy and mood states. The core symptoms depressed mood and anhedonia had the most favorable course, whereas sleeping problems and (psycho‐)somatic symptoms were more persistent over 9‐year follow‐up. Within‐person variability was highest for symptoms related to energy and lowest for suicidal ideation.\n            \n            \n              Conclusions\n              The severity, course, and within‐person variability differed markedly between depressive symptoms. Our findings strengthen the idea that employing a symptom‐focused approach in both clinical care and research is of value.","container-title":"Acta Psychiatrica Scandinavica","DOI":"10.1111/acps.12987","ISSN":"0001-690X, 1600-0447","issue":"2","journalAbbreviation":"Acta Psychiatr Scand","language":"en","page":"194-205","source":"DOI.org (Crossref)","title":"Severity, course trajectory, and within‐person variability of individual symptoms in patients with major depressive disorder","volume":"139","author":[{"family":"Van Eeden","given":"W. A."},{"family":"Van Hemert","given":"A. M."},{"family":"Carlier","given":"I. V. E."},{"family":"Penninx","given":"B. W."},{"family":"Giltay","given":"E. J."}],"issued":{"date-parts":[["2019",2]]}}}],"schema":"https://github.com/citation-style-language/schema/raw/master/csl-citation.json"} </w:instrText>
      </w:r>
      <w:r w:rsidR="002D4AD5">
        <w:rPr>
          <w:rFonts w:eastAsia="Calibri" w:cs="Calibri"/>
          <w:szCs w:val="24"/>
          <w:lang w:val="en-US"/>
        </w:rPr>
        <w:fldChar w:fldCharType="separate"/>
      </w:r>
      <w:r w:rsidR="002D4AD5" w:rsidRPr="002D4AD5">
        <w:rPr>
          <w:rFonts w:cs="Calibri"/>
          <w:vertAlign w:val="superscript"/>
        </w:rPr>
        <w:t>11</w:t>
      </w:r>
      <w:r w:rsidR="002D4AD5">
        <w:rPr>
          <w:rFonts w:eastAsia="Calibri" w:cs="Calibri"/>
          <w:szCs w:val="24"/>
          <w:lang w:val="en-US"/>
        </w:rPr>
        <w:fldChar w:fldCharType="end"/>
      </w:r>
      <w:r w:rsidRPr="00483771">
        <w:rPr>
          <w:rFonts w:eastAsia="Calibri" w:cs="Calibri"/>
          <w:szCs w:val="24"/>
          <w:lang w:val="en-US"/>
        </w:rPr>
        <w:t xml:space="preserve">. The IDS-SR is a 30-item questionnaire designed </w:t>
      </w:r>
      <w:r w:rsidRPr="00483771">
        <w:rPr>
          <w:rFonts w:eastAsia="Calibri" w:cs="Calibri"/>
          <w:szCs w:val="24"/>
          <w:lang w:val="en-US"/>
        </w:rPr>
        <w:lastRenderedPageBreak/>
        <w:t>to assess the severity of depressive symptoms across various domains, including mood, sleep, appetite, and cognitive functioning. Each item is scored on a scale from 0 to 3. Total scores range from 0 to 84, with scores of 0-13 indicating no depression, 14-25 mild depression, 26-38 severe depression and 39-84 very severe depression.</w:t>
      </w:r>
    </w:p>
    <w:p w14:paraId="1A6612D4" w14:textId="7036E01E" w:rsidR="008D3830" w:rsidRPr="00483771" w:rsidRDefault="008D3830" w:rsidP="007D52F9">
      <w:pPr>
        <w:spacing w:before="240" w:after="240"/>
        <w:jc w:val="both"/>
        <w:rPr>
          <w:rFonts w:eastAsia="Calibri" w:cs="Calibri"/>
          <w:b/>
          <w:szCs w:val="24"/>
          <w:lang w:val="en-US"/>
        </w:rPr>
      </w:pPr>
      <w:r w:rsidRPr="00483771">
        <w:rPr>
          <w:rFonts w:eastAsia="Calibri" w:cs="Calibri"/>
          <w:szCs w:val="24"/>
          <w:lang w:val="en-US"/>
        </w:rPr>
        <w:t xml:space="preserve">There was a significant different in depression symptom severity between </w:t>
      </w:r>
      <w:r w:rsidR="00D81D5C" w:rsidRPr="00483771">
        <w:rPr>
          <w:rFonts w:eastAsia="Calibri" w:cs="Calibri"/>
          <w:szCs w:val="24"/>
          <w:lang w:val="en-US"/>
        </w:rPr>
        <w:t xml:space="preserve">medication groups, with the SSRI/SNRI-treated group showing higher symptom levels compared to unmedicated group, </w:t>
      </w:r>
      <w:r w:rsidRPr="00483771">
        <w:rPr>
          <w:rFonts w:eastAsia="Calibri" w:cs="Calibri"/>
          <w:szCs w:val="24"/>
          <w:lang w:val="en-US"/>
        </w:rPr>
        <w:t xml:space="preserve"> in both MACS (F = 61.32, p &lt; .001) and </w:t>
      </w:r>
      <w:proofErr w:type="spellStart"/>
      <w:r w:rsidRPr="00483771">
        <w:rPr>
          <w:rFonts w:eastAsia="Calibri" w:cs="Calibri"/>
          <w:szCs w:val="24"/>
          <w:lang w:val="en-US"/>
        </w:rPr>
        <w:t>MINDSet</w:t>
      </w:r>
      <w:proofErr w:type="spellEnd"/>
      <w:r w:rsidRPr="00483771">
        <w:rPr>
          <w:rFonts w:eastAsia="Calibri" w:cs="Calibri"/>
          <w:szCs w:val="24"/>
          <w:lang w:val="en-US"/>
        </w:rPr>
        <w:t xml:space="preserve"> (F = 14.68, p &lt; 0.001)</w:t>
      </w:r>
      <w:r w:rsidR="00D81D5C" w:rsidRPr="00483771">
        <w:rPr>
          <w:rFonts w:eastAsia="Calibri" w:cs="Calibri"/>
          <w:szCs w:val="24"/>
          <w:lang w:val="en-US"/>
        </w:rPr>
        <w:t xml:space="preserve">. </w:t>
      </w:r>
      <w:r w:rsidR="00345BBD" w:rsidRPr="00483771">
        <w:rPr>
          <w:rFonts w:eastAsia="Calibri" w:cs="Calibri"/>
          <w:szCs w:val="24"/>
          <w:lang w:val="en-US"/>
        </w:rPr>
        <w:t xml:space="preserve">Therefore, all the models testing differences between medication groups were adjusted for symptom severity (BDI or IDS-SR). </w:t>
      </w:r>
    </w:p>
    <w:p w14:paraId="1FCEEE89" w14:textId="77777777" w:rsidR="007D52F9" w:rsidRPr="00CB5902" w:rsidRDefault="007D52F9" w:rsidP="00E22350">
      <w:pPr>
        <w:rPr>
          <w:i/>
          <w:iCs/>
          <w:u w:val="single"/>
          <w:lang w:val="en-US"/>
        </w:rPr>
      </w:pPr>
      <w:r w:rsidRPr="00CB5902">
        <w:rPr>
          <w:i/>
          <w:iCs/>
          <w:u w:val="single"/>
          <w:lang w:val="en-US"/>
        </w:rPr>
        <w:t>Psychiatric comorbidities</w:t>
      </w:r>
    </w:p>
    <w:p w14:paraId="60A1CA0B" w14:textId="46E6F4A6" w:rsidR="007D52F9" w:rsidRPr="00483771" w:rsidRDefault="007D52F9" w:rsidP="007D52F9">
      <w:pPr>
        <w:spacing w:before="240" w:after="240"/>
        <w:jc w:val="both"/>
        <w:rPr>
          <w:rFonts w:eastAsia="Calibri" w:cs="Calibri"/>
          <w:szCs w:val="24"/>
          <w:lang w:val="en-US"/>
        </w:rPr>
      </w:pPr>
      <w:r w:rsidRPr="00483771">
        <w:rPr>
          <w:rFonts w:eastAsia="Calibri" w:cs="Calibri"/>
          <w:szCs w:val="24"/>
          <w:lang w:val="en-US"/>
        </w:rPr>
        <w:t xml:space="preserve">The MACS cohort included only individuals with or without a comorbid anxiety disorder; thus, psychiatric comorbidities were coded as a binary variable indicating presence or absence of comorbid anxiety. For the MIND-Set cohort, psychiatric comorbidities were quantified by counting the number of </w:t>
      </w:r>
      <w:r w:rsidR="00383369">
        <w:rPr>
          <w:rFonts w:eastAsia="Calibri" w:cs="Calibri"/>
          <w:szCs w:val="24"/>
          <w:lang w:val="en-US"/>
        </w:rPr>
        <w:t xml:space="preserve">the following diagnostic groups: </w:t>
      </w:r>
      <w:r w:rsidR="00D72A43">
        <w:rPr>
          <w:rFonts w:eastAsia="Calibri" w:cs="Calibri"/>
          <w:szCs w:val="24"/>
          <w:lang w:val="en-US"/>
        </w:rPr>
        <w:t>Attention Deficit/Hyperactivity Disorder (</w:t>
      </w:r>
      <w:r w:rsidR="005F74AA">
        <w:rPr>
          <w:rFonts w:eastAsia="Calibri" w:cs="Calibri"/>
          <w:szCs w:val="24"/>
          <w:lang w:val="en-US"/>
        </w:rPr>
        <w:t>ADHD</w:t>
      </w:r>
      <w:r w:rsidR="00D72A43">
        <w:rPr>
          <w:rFonts w:eastAsia="Calibri" w:cs="Calibri"/>
          <w:szCs w:val="24"/>
          <w:lang w:val="en-US"/>
        </w:rPr>
        <w:t>)</w:t>
      </w:r>
      <w:r w:rsidR="005F74AA">
        <w:rPr>
          <w:rFonts w:eastAsia="Calibri" w:cs="Calibri"/>
          <w:szCs w:val="24"/>
          <w:lang w:val="en-US"/>
        </w:rPr>
        <w:t>,</w:t>
      </w:r>
      <w:r w:rsidR="00D72A43">
        <w:rPr>
          <w:rFonts w:eastAsia="Calibri" w:cs="Calibri"/>
          <w:szCs w:val="24"/>
          <w:lang w:val="en-US"/>
        </w:rPr>
        <w:t xml:space="preserve"> Autism Spectrum Disorder (</w:t>
      </w:r>
      <w:r w:rsidR="005F74AA">
        <w:rPr>
          <w:rFonts w:eastAsia="Calibri" w:cs="Calibri"/>
          <w:szCs w:val="24"/>
          <w:lang w:val="en-US"/>
        </w:rPr>
        <w:t>ASD</w:t>
      </w:r>
      <w:r w:rsidR="00D72A43">
        <w:rPr>
          <w:rFonts w:eastAsia="Calibri" w:cs="Calibri"/>
          <w:szCs w:val="24"/>
          <w:lang w:val="en-US"/>
        </w:rPr>
        <w:t>)</w:t>
      </w:r>
      <w:r w:rsidR="005F74AA">
        <w:rPr>
          <w:rFonts w:eastAsia="Calibri" w:cs="Calibri"/>
          <w:szCs w:val="24"/>
          <w:lang w:val="en-US"/>
        </w:rPr>
        <w:t xml:space="preserve">, Dysthymia, Bipolar Disorder, </w:t>
      </w:r>
      <w:r w:rsidR="00F94C27">
        <w:rPr>
          <w:rFonts w:eastAsia="Calibri" w:cs="Calibri"/>
          <w:szCs w:val="24"/>
          <w:lang w:val="en-US"/>
        </w:rPr>
        <w:t>General</w:t>
      </w:r>
      <w:r w:rsidR="00D72A43">
        <w:rPr>
          <w:rFonts w:eastAsia="Calibri" w:cs="Calibri"/>
          <w:szCs w:val="24"/>
          <w:lang w:val="en-US"/>
        </w:rPr>
        <w:t>ized</w:t>
      </w:r>
      <w:r w:rsidR="00F94C27">
        <w:rPr>
          <w:rFonts w:eastAsia="Calibri" w:cs="Calibri"/>
          <w:szCs w:val="24"/>
          <w:lang w:val="en-US"/>
        </w:rPr>
        <w:t xml:space="preserve"> Anxiety Disorder</w:t>
      </w:r>
      <w:r w:rsidR="00D72A43">
        <w:rPr>
          <w:rFonts w:eastAsia="Calibri" w:cs="Calibri"/>
          <w:szCs w:val="24"/>
          <w:lang w:val="en-US"/>
        </w:rPr>
        <w:t xml:space="preserve"> (GAD)</w:t>
      </w:r>
      <w:r w:rsidR="00F94C27">
        <w:rPr>
          <w:rFonts w:eastAsia="Calibri" w:cs="Calibri"/>
          <w:szCs w:val="24"/>
          <w:lang w:val="en-US"/>
        </w:rPr>
        <w:t xml:space="preserve">, Panic Disorder, </w:t>
      </w:r>
      <w:r w:rsidR="00D72A43">
        <w:rPr>
          <w:rFonts w:eastAsia="Calibri" w:cs="Calibri"/>
          <w:szCs w:val="24"/>
          <w:lang w:val="en-US"/>
        </w:rPr>
        <w:t>Post Traumatic Stress Disorder (</w:t>
      </w:r>
      <w:r w:rsidR="00F94C27">
        <w:rPr>
          <w:rFonts w:eastAsia="Calibri" w:cs="Calibri"/>
          <w:szCs w:val="24"/>
          <w:lang w:val="en-US"/>
        </w:rPr>
        <w:t>PTSD</w:t>
      </w:r>
      <w:r w:rsidR="00D72A43">
        <w:rPr>
          <w:rFonts w:eastAsia="Calibri" w:cs="Calibri"/>
          <w:szCs w:val="24"/>
          <w:lang w:val="en-US"/>
        </w:rPr>
        <w:t>) or Substance Use Disorder (SUD)</w:t>
      </w:r>
      <w:r w:rsidR="001946AC">
        <w:rPr>
          <w:rFonts w:eastAsia="Calibri" w:cs="Calibri"/>
          <w:szCs w:val="24"/>
          <w:lang w:val="en-US"/>
        </w:rPr>
        <w:t>.</w:t>
      </w:r>
      <w:r w:rsidR="00785541">
        <w:rPr>
          <w:rFonts w:eastAsia="Calibri" w:cs="Calibri"/>
          <w:szCs w:val="24"/>
          <w:lang w:val="en-US"/>
        </w:rPr>
        <w:t xml:space="preserve"> </w:t>
      </w:r>
    </w:p>
    <w:p w14:paraId="39D104C1" w14:textId="77777777" w:rsidR="007D52F9" w:rsidRPr="00CB5902" w:rsidRDefault="007D52F9" w:rsidP="00E22350">
      <w:pPr>
        <w:rPr>
          <w:i/>
          <w:iCs/>
          <w:u w:val="single"/>
          <w:lang w:val="en-US"/>
        </w:rPr>
      </w:pPr>
      <w:r w:rsidRPr="00CB5902">
        <w:rPr>
          <w:i/>
          <w:iCs/>
          <w:u w:val="single"/>
          <w:lang w:val="en-US"/>
        </w:rPr>
        <w:t>Remission status</w:t>
      </w:r>
    </w:p>
    <w:p w14:paraId="22B02426" w14:textId="743C88B7" w:rsidR="007D52F9" w:rsidRPr="00483771" w:rsidRDefault="007D52F9" w:rsidP="007D52F9">
      <w:pPr>
        <w:spacing w:before="240" w:after="240"/>
        <w:jc w:val="both"/>
        <w:rPr>
          <w:rFonts w:eastAsia="Calibri" w:cs="Calibri"/>
          <w:szCs w:val="24"/>
          <w:lang w:val="en-US"/>
        </w:rPr>
      </w:pPr>
      <w:r w:rsidRPr="00483771">
        <w:rPr>
          <w:rFonts w:eastAsia="Calibri" w:cs="Calibri"/>
          <w:szCs w:val="24"/>
          <w:lang w:val="en-US"/>
        </w:rPr>
        <w:t xml:space="preserve">MDD patients were categorized based on their remission status at study enrollment. In the MACS cohort, individuals meeting criteria for a current depressive episode were classified as </w:t>
      </w:r>
      <w:r w:rsidR="000E3A44" w:rsidRPr="00483771">
        <w:rPr>
          <w:rFonts w:eastAsia="Calibri" w:cs="Calibri"/>
          <w:szCs w:val="24"/>
          <w:lang w:val="en-US"/>
        </w:rPr>
        <w:t>'</w:t>
      </w:r>
      <w:r w:rsidRPr="00483771">
        <w:rPr>
          <w:rFonts w:eastAsia="Calibri" w:cs="Calibri"/>
          <w:i/>
          <w:szCs w:val="24"/>
          <w:lang w:val="en-US"/>
        </w:rPr>
        <w:t>active</w:t>
      </w:r>
      <w:r w:rsidR="00575946">
        <w:rPr>
          <w:rFonts w:eastAsia="Calibri" w:cs="Calibri"/>
          <w:i/>
          <w:szCs w:val="24"/>
          <w:lang w:val="en-US"/>
        </w:rPr>
        <w:t xml:space="preserve">; </w:t>
      </w:r>
      <w:r w:rsidRPr="00483771">
        <w:rPr>
          <w:rFonts w:eastAsia="Calibri" w:cs="Calibri"/>
          <w:szCs w:val="24"/>
          <w:lang w:val="en-US"/>
        </w:rPr>
        <w:t xml:space="preserve">, while those not currently meeting criteria were classified as </w:t>
      </w:r>
      <w:r w:rsidR="00575946">
        <w:rPr>
          <w:rFonts w:eastAsia="Calibri" w:cs="Calibri"/>
          <w:szCs w:val="24"/>
          <w:lang w:val="en-US"/>
        </w:rPr>
        <w:t>‘</w:t>
      </w:r>
      <w:r w:rsidRPr="00483771">
        <w:rPr>
          <w:rFonts w:eastAsia="Calibri" w:cs="Calibri"/>
          <w:i/>
          <w:szCs w:val="24"/>
          <w:lang w:val="en-US"/>
        </w:rPr>
        <w:t>partially remitted</w:t>
      </w:r>
      <w:r w:rsidR="00575946">
        <w:rPr>
          <w:rFonts w:eastAsia="Calibri" w:cs="Calibri"/>
          <w:i/>
          <w:szCs w:val="24"/>
          <w:lang w:val="en-US"/>
        </w:rPr>
        <w:t>’</w:t>
      </w:r>
      <w:r w:rsidRPr="00483771">
        <w:rPr>
          <w:rFonts w:eastAsia="Calibri" w:cs="Calibri"/>
          <w:szCs w:val="24"/>
          <w:lang w:val="en-US"/>
        </w:rPr>
        <w:t xml:space="preserve"> (if in partial remission) or </w:t>
      </w:r>
      <w:r w:rsidR="00575946">
        <w:rPr>
          <w:rFonts w:eastAsia="Calibri" w:cs="Calibri"/>
          <w:szCs w:val="24"/>
          <w:lang w:val="en-US"/>
        </w:rPr>
        <w:t>‘</w:t>
      </w:r>
      <w:r w:rsidRPr="00483771">
        <w:rPr>
          <w:rFonts w:eastAsia="Calibri" w:cs="Calibri"/>
          <w:i/>
          <w:szCs w:val="24"/>
          <w:lang w:val="en-US"/>
        </w:rPr>
        <w:t>remitted</w:t>
      </w:r>
      <w:r w:rsidR="00575946">
        <w:rPr>
          <w:rFonts w:eastAsia="Calibri" w:cs="Calibri"/>
          <w:i/>
          <w:szCs w:val="24"/>
          <w:lang w:val="en-US"/>
        </w:rPr>
        <w:t>’</w:t>
      </w:r>
      <w:r w:rsidRPr="00483771">
        <w:rPr>
          <w:rFonts w:eastAsia="Calibri" w:cs="Calibri"/>
          <w:szCs w:val="24"/>
          <w:lang w:val="en-US"/>
        </w:rPr>
        <w:t xml:space="preserve"> (if fully recovered from a past episode). In the MIND-Set cohort, patients with a current depressive episode were classified as </w:t>
      </w:r>
      <w:r w:rsidR="00575946">
        <w:rPr>
          <w:rFonts w:eastAsia="Calibri" w:cs="Calibri"/>
          <w:szCs w:val="24"/>
          <w:lang w:val="en-US"/>
        </w:rPr>
        <w:t>‘</w:t>
      </w:r>
      <w:r w:rsidRPr="00483771">
        <w:rPr>
          <w:rFonts w:eastAsia="Calibri" w:cs="Calibri"/>
          <w:i/>
          <w:szCs w:val="24"/>
          <w:lang w:val="en-US"/>
        </w:rPr>
        <w:t>active</w:t>
      </w:r>
      <w:r w:rsidR="00575946">
        <w:rPr>
          <w:rFonts w:eastAsia="Calibri" w:cs="Calibri"/>
          <w:i/>
          <w:szCs w:val="24"/>
          <w:lang w:val="en-US"/>
        </w:rPr>
        <w:t>’</w:t>
      </w:r>
      <w:r w:rsidRPr="00483771">
        <w:rPr>
          <w:rFonts w:eastAsia="Calibri" w:cs="Calibri"/>
          <w:szCs w:val="24"/>
          <w:lang w:val="en-US"/>
        </w:rPr>
        <w:t xml:space="preserve">, and those without were classified as </w:t>
      </w:r>
      <w:r w:rsidR="00575946">
        <w:rPr>
          <w:rFonts w:eastAsia="Calibri" w:cs="Calibri"/>
          <w:szCs w:val="24"/>
          <w:lang w:val="en-US"/>
        </w:rPr>
        <w:t>‘</w:t>
      </w:r>
      <w:r w:rsidRPr="00483771">
        <w:rPr>
          <w:rFonts w:eastAsia="Calibri" w:cs="Calibri"/>
          <w:i/>
          <w:szCs w:val="24"/>
          <w:lang w:val="en-US"/>
        </w:rPr>
        <w:t>remitted</w:t>
      </w:r>
      <w:r w:rsidR="00575946">
        <w:rPr>
          <w:rFonts w:eastAsia="Calibri" w:cs="Calibri"/>
          <w:i/>
          <w:szCs w:val="24"/>
          <w:lang w:val="en-US"/>
        </w:rPr>
        <w:t>’</w:t>
      </w:r>
      <w:r w:rsidRPr="00483771">
        <w:rPr>
          <w:rFonts w:eastAsia="Calibri" w:cs="Calibri"/>
          <w:szCs w:val="24"/>
          <w:lang w:val="en-US"/>
        </w:rPr>
        <w:t>.</w:t>
      </w:r>
    </w:p>
    <w:p w14:paraId="5A679CF2" w14:textId="77777777" w:rsidR="007D52F9" w:rsidRPr="00CB5902" w:rsidRDefault="007D52F9" w:rsidP="00E22350">
      <w:pPr>
        <w:rPr>
          <w:i/>
          <w:iCs/>
          <w:u w:val="single"/>
          <w:lang w:val="en-US"/>
        </w:rPr>
      </w:pPr>
      <w:r w:rsidRPr="00CB5902">
        <w:rPr>
          <w:i/>
          <w:iCs/>
          <w:u w:val="single"/>
          <w:lang w:val="en-US"/>
        </w:rPr>
        <w:t>Appetite change</w:t>
      </w:r>
    </w:p>
    <w:p w14:paraId="53FCD345" w14:textId="0676346A" w:rsidR="007D52F9" w:rsidRPr="00483771" w:rsidRDefault="007D52F9" w:rsidP="007D52F9">
      <w:pPr>
        <w:spacing w:before="240" w:after="240"/>
        <w:jc w:val="both"/>
        <w:rPr>
          <w:rFonts w:eastAsia="Calibri" w:cs="Calibri"/>
          <w:szCs w:val="24"/>
          <w:lang w:val="en-US"/>
        </w:rPr>
      </w:pPr>
      <w:r w:rsidRPr="00483771">
        <w:rPr>
          <w:rFonts w:eastAsia="Calibri" w:cs="Calibri"/>
          <w:szCs w:val="24"/>
          <w:lang w:val="en-US"/>
        </w:rPr>
        <w:t>Appetite change was assessed in the MACS cohort using item A3 from the Structured Interview Guide for the Hamilton Depression Rating Scale (SIGH-HAMD)</w:t>
      </w:r>
      <w:r w:rsidR="00AC048E">
        <w:rPr>
          <w:rFonts w:eastAsia="Calibri" w:cs="Calibri"/>
          <w:szCs w:val="24"/>
          <w:lang w:val="en-US"/>
        </w:rPr>
        <w:fldChar w:fldCharType="begin"/>
      </w:r>
      <w:r w:rsidR="00AC048E">
        <w:rPr>
          <w:rFonts w:eastAsia="Calibri" w:cs="Calibri"/>
          <w:szCs w:val="24"/>
          <w:lang w:val="en-US"/>
        </w:rPr>
        <w:instrText xml:space="preserve"> ADDIN ZOTERO_ITEM CSL_CITATION {"citationID":"NoCITHHb","properties":{"formattedCitation":"\\super 12\\nosupersub{}","plainCitation":"12","noteIndex":0},"citationItems":[{"id":1085,"uris":["http://zotero.org/users/10526741/items/YC7Z22C9"],"itemData":{"id":1085,"type":"article-journal","container-title":"Archives of General Psychiatry","DOI":"10.1001/archpsyc.1988.01800320058007","ISSN":"0003-990X","issue":"8","journalAbbreviation":"Arch Gen Psychiatry","language":"en","page":"742","source":"DOI.org (Crossref)","title":"A Structured Interview Guide for the Hamilton Depression Rating Scale","volume":"45","author":[{"family":"Williams","given":"Janet B. W."}],"issued":{"date-parts":[["1988",8,1]]}}}],"schema":"https://github.com/citation-style-language/schema/raw/master/csl-citation.json"} </w:instrText>
      </w:r>
      <w:r w:rsidR="00AC048E">
        <w:rPr>
          <w:rFonts w:eastAsia="Calibri" w:cs="Calibri"/>
          <w:szCs w:val="24"/>
          <w:lang w:val="en-US"/>
        </w:rPr>
        <w:fldChar w:fldCharType="separate"/>
      </w:r>
      <w:r w:rsidR="00AC048E" w:rsidRPr="00AC048E">
        <w:rPr>
          <w:rFonts w:cs="Calibri"/>
          <w:vertAlign w:val="superscript"/>
        </w:rPr>
        <w:t>12</w:t>
      </w:r>
      <w:r w:rsidR="00AC048E">
        <w:rPr>
          <w:rFonts w:eastAsia="Calibri" w:cs="Calibri"/>
          <w:szCs w:val="24"/>
          <w:lang w:val="en-US"/>
        </w:rPr>
        <w:fldChar w:fldCharType="end"/>
      </w:r>
      <w:r w:rsidRPr="00483771">
        <w:rPr>
          <w:rFonts w:eastAsia="Calibri" w:cs="Calibri"/>
          <w:szCs w:val="24"/>
          <w:lang w:val="en-US"/>
        </w:rPr>
        <w:t>: “</w:t>
      </w:r>
      <w:r w:rsidRPr="00483771">
        <w:rPr>
          <w:rFonts w:eastAsia="Calibri" w:cs="Calibri"/>
          <w:i/>
          <w:iCs/>
          <w:szCs w:val="24"/>
          <w:lang w:val="en-US"/>
        </w:rPr>
        <w:t>Has your appetite been greater than when you feel well or okay?</w:t>
      </w:r>
      <w:r w:rsidRPr="00483771">
        <w:rPr>
          <w:rFonts w:eastAsia="Calibri" w:cs="Calibri"/>
          <w:szCs w:val="24"/>
          <w:lang w:val="en-US"/>
        </w:rPr>
        <w:t>” with response options ranging from 0 (no increase in appetite) to 3 (wants to eat much more than usual).</w:t>
      </w:r>
      <w:r w:rsidR="000E3A44" w:rsidRPr="00483771">
        <w:rPr>
          <w:rFonts w:eastAsia="Calibri" w:cs="Calibri"/>
          <w:szCs w:val="24"/>
          <w:lang w:val="en-US"/>
        </w:rPr>
        <w:t xml:space="preserve"> Appetite change was not assessed in </w:t>
      </w:r>
      <w:proofErr w:type="spellStart"/>
      <w:r w:rsidR="000E3A44" w:rsidRPr="00483771">
        <w:rPr>
          <w:rFonts w:eastAsia="Calibri" w:cs="Calibri"/>
          <w:szCs w:val="24"/>
          <w:lang w:val="en-US"/>
        </w:rPr>
        <w:t>MINDSet</w:t>
      </w:r>
      <w:proofErr w:type="spellEnd"/>
      <w:r w:rsidR="00781786" w:rsidRPr="00483771">
        <w:rPr>
          <w:rFonts w:eastAsia="Calibri" w:cs="Calibri"/>
          <w:szCs w:val="24"/>
          <w:lang w:val="en-US"/>
        </w:rPr>
        <w:t>.</w:t>
      </w:r>
    </w:p>
    <w:p w14:paraId="2541D25D" w14:textId="77777777" w:rsidR="007D52F9" w:rsidRPr="00CB5902" w:rsidRDefault="007D52F9" w:rsidP="00E22350">
      <w:pPr>
        <w:rPr>
          <w:i/>
          <w:iCs/>
          <w:u w:val="single"/>
          <w:lang w:val="en-US"/>
        </w:rPr>
      </w:pPr>
      <w:r w:rsidRPr="00CB5902">
        <w:rPr>
          <w:i/>
          <w:iCs/>
          <w:u w:val="single"/>
          <w:lang w:val="en-US"/>
        </w:rPr>
        <w:t>Somatic comorbidity</w:t>
      </w:r>
    </w:p>
    <w:p w14:paraId="7CD779F8" w14:textId="7C1122F1" w:rsidR="0034697F" w:rsidRPr="00483771" w:rsidRDefault="007D52F9" w:rsidP="007D52F9">
      <w:pPr>
        <w:spacing w:before="240" w:after="240"/>
        <w:jc w:val="both"/>
        <w:rPr>
          <w:rFonts w:eastAsia="Calibri" w:cs="Calibri"/>
          <w:szCs w:val="24"/>
          <w:lang w:val="en-US"/>
        </w:rPr>
      </w:pPr>
      <w:r w:rsidRPr="00483771">
        <w:rPr>
          <w:rFonts w:eastAsia="Calibri" w:cs="Calibri"/>
          <w:szCs w:val="24"/>
          <w:lang w:val="en-US"/>
        </w:rPr>
        <w:t xml:space="preserve">The MACS cohort also comprised individuals with somatic diagnoses, including autoimmune diseases (n=7), gastrointestinal disorders (n=2), neurological and pain disorders (n=6), musculoskeletal disorder (n=2), respiratory diseases (n=3), and a history of cancer (n=4). </w:t>
      </w:r>
      <w:r w:rsidR="008E5D47" w:rsidRPr="00483771">
        <w:rPr>
          <w:rFonts w:eastAsia="Calibri" w:cs="Calibri"/>
          <w:szCs w:val="24"/>
          <w:lang w:val="en-US"/>
        </w:rPr>
        <w:t>T</w:t>
      </w:r>
      <w:r w:rsidRPr="00483771">
        <w:rPr>
          <w:rFonts w:eastAsia="Calibri" w:cs="Calibri"/>
          <w:szCs w:val="24"/>
          <w:lang w:val="en-US"/>
        </w:rPr>
        <w:t xml:space="preserve">his variable was encoded as a </w:t>
      </w:r>
      <w:r w:rsidR="008E5D47" w:rsidRPr="00483771">
        <w:rPr>
          <w:rFonts w:eastAsia="Calibri" w:cs="Calibri"/>
          <w:szCs w:val="24"/>
          <w:lang w:val="en-US"/>
        </w:rPr>
        <w:t>binary</w:t>
      </w:r>
      <w:r w:rsidRPr="00483771">
        <w:rPr>
          <w:rFonts w:eastAsia="Calibri" w:cs="Calibri"/>
          <w:szCs w:val="24"/>
          <w:lang w:val="en-US"/>
        </w:rPr>
        <w:t xml:space="preserve"> variable based on the presence</w:t>
      </w:r>
      <w:r w:rsidR="008E5D47" w:rsidRPr="00483771">
        <w:rPr>
          <w:rFonts w:eastAsia="Calibri" w:cs="Calibri"/>
          <w:szCs w:val="24"/>
          <w:lang w:val="en-US"/>
        </w:rPr>
        <w:t xml:space="preserve"> or </w:t>
      </w:r>
      <w:r w:rsidRPr="00483771">
        <w:rPr>
          <w:rFonts w:eastAsia="Calibri" w:cs="Calibri"/>
          <w:szCs w:val="24"/>
          <w:lang w:val="en-US"/>
        </w:rPr>
        <w:t xml:space="preserve">absence of any somatic </w:t>
      </w:r>
      <w:r w:rsidR="008E5D47" w:rsidRPr="00483771">
        <w:rPr>
          <w:rFonts w:eastAsia="Calibri" w:cs="Calibri"/>
          <w:szCs w:val="24"/>
          <w:lang w:val="en-US"/>
        </w:rPr>
        <w:t>disease</w:t>
      </w:r>
      <w:r w:rsidRPr="00483771">
        <w:rPr>
          <w:rFonts w:eastAsia="Calibri" w:cs="Calibri"/>
          <w:szCs w:val="24"/>
          <w:lang w:val="en-US"/>
        </w:rPr>
        <w:t>.</w:t>
      </w:r>
    </w:p>
    <w:p w14:paraId="1C025D66" w14:textId="27F16C5B" w:rsidR="00483771" w:rsidRPr="00CB5902" w:rsidRDefault="00483771" w:rsidP="00E22350">
      <w:pPr>
        <w:rPr>
          <w:i/>
          <w:iCs/>
          <w:u w:val="single"/>
          <w:lang w:val="en-US"/>
        </w:rPr>
      </w:pPr>
      <w:r w:rsidRPr="00CB5902">
        <w:rPr>
          <w:i/>
          <w:iCs/>
          <w:u w:val="single"/>
          <w:lang w:val="en-US"/>
        </w:rPr>
        <w:t>Dietary factors</w:t>
      </w:r>
      <w:r w:rsidR="00D74463" w:rsidRPr="00CB5902">
        <w:rPr>
          <w:i/>
          <w:iCs/>
          <w:u w:val="single"/>
          <w:lang w:val="en-US"/>
        </w:rPr>
        <w:t xml:space="preserve"> (</w:t>
      </w:r>
      <w:r w:rsidR="009777CB" w:rsidRPr="00CB5902">
        <w:rPr>
          <w:i/>
          <w:iCs/>
          <w:u w:val="single"/>
          <w:lang w:val="en-US"/>
        </w:rPr>
        <w:t>total fiber intake, total calorie intake, soft drink consumption)</w:t>
      </w:r>
    </w:p>
    <w:p w14:paraId="01BE27C2" w14:textId="335D51F4" w:rsidR="00024694" w:rsidRPr="005947E8" w:rsidRDefault="001C4660" w:rsidP="006C1AED">
      <w:pPr>
        <w:rPr>
          <w:rFonts w:cs="Calibri"/>
          <w:lang w:val="en-US" w:eastAsia="en-US"/>
        </w:rPr>
      </w:pPr>
      <w:r>
        <w:rPr>
          <w:rFonts w:cs="Calibri"/>
          <w:szCs w:val="24"/>
          <w:lang w:val="en-US" w:eastAsia="en-US"/>
        </w:rPr>
        <w:t>Dietary components were evaluated using a validated German semiquantitative food frequency questionnaire (</w:t>
      </w:r>
      <w:r w:rsidR="00D74463">
        <w:rPr>
          <w:rFonts w:cs="Calibri"/>
          <w:szCs w:val="24"/>
          <w:lang w:val="en-US" w:eastAsia="en-US"/>
        </w:rPr>
        <w:t>FFQ2</w:t>
      </w:r>
      <w:r>
        <w:rPr>
          <w:rFonts w:cs="Calibri"/>
          <w:szCs w:val="24"/>
          <w:lang w:val="en-US" w:eastAsia="en-US"/>
        </w:rPr>
        <w:t>), containing 101 items</w:t>
      </w:r>
      <w:r w:rsidR="005C3E00">
        <w:rPr>
          <w:rFonts w:cs="Calibri"/>
          <w:szCs w:val="24"/>
          <w:lang w:val="en-US" w:eastAsia="en-US"/>
        </w:rPr>
        <w:fldChar w:fldCharType="begin"/>
      </w:r>
      <w:r w:rsidR="005C3E00">
        <w:rPr>
          <w:rFonts w:cs="Calibri"/>
          <w:szCs w:val="24"/>
          <w:lang w:val="en-US" w:eastAsia="en-US"/>
        </w:rPr>
        <w:instrText xml:space="preserve"> ADDIN ZOTERO_ITEM CSL_CITATION {"citationID":"hvL012uY","properties":{"formattedCitation":"\\super 13\\nosupersub{}","plainCitation":"13","noteIndex":0},"citationItems":[{"id":1086,"uris":["http://zotero.org/users/10526741/items/5X3WBKH2"],"itemData":{"id":1086,"type":"article-journal","container-title":"The Journal of Nutrition","DOI":"10.1093/jn/137.12.2781","ISSN":"00223166","issue":"12","journalAbbreviation":"The Journal of Nutrition","language":"en","page":"2781-2786","source":"DOI.org (Crossref)","title":"Fitting Portion Sizes in a Self-Administered Food Frequency Questionnaire ,","volume":"137","author":[{"family":"Nöthlings","given":"Ute"},{"family":"Hoffmann","given":"Kurt"},{"family":"Bergmann","given":"Manuela M."},{"family":"Boeing","given":"Heiner"}],"issued":{"date-parts":[["2007",12]]}}}],"schema":"https://github.com/citation-style-language/schema/raw/master/csl-citation.json"} </w:instrText>
      </w:r>
      <w:r w:rsidR="005C3E00">
        <w:rPr>
          <w:rFonts w:cs="Calibri"/>
          <w:szCs w:val="24"/>
          <w:lang w:val="en-US" w:eastAsia="en-US"/>
        </w:rPr>
        <w:fldChar w:fldCharType="separate"/>
      </w:r>
      <w:r w:rsidR="005C3E00" w:rsidRPr="005C3E00">
        <w:rPr>
          <w:rFonts w:cs="Calibri"/>
          <w:vertAlign w:val="superscript"/>
        </w:rPr>
        <w:t>13</w:t>
      </w:r>
      <w:r w:rsidR="005C3E00">
        <w:rPr>
          <w:rFonts w:cs="Calibri"/>
          <w:szCs w:val="24"/>
          <w:lang w:val="en-US" w:eastAsia="en-US"/>
        </w:rPr>
        <w:fldChar w:fldCharType="end"/>
      </w:r>
      <w:r w:rsidR="00232F66">
        <w:rPr>
          <w:rFonts w:cs="Calibri"/>
          <w:szCs w:val="24"/>
          <w:lang w:val="en-US" w:eastAsia="en-US"/>
        </w:rPr>
        <w:t xml:space="preserve">. </w:t>
      </w:r>
      <w:r w:rsidR="00232F66" w:rsidRPr="00232F66">
        <w:rPr>
          <w:rFonts w:cs="Calibri"/>
          <w:szCs w:val="24"/>
          <w:lang w:eastAsia="en-US"/>
        </w:rPr>
        <w:t xml:space="preserve">Participants reported how often they typically </w:t>
      </w:r>
      <w:r w:rsidR="00232F66" w:rsidRPr="00232F66">
        <w:rPr>
          <w:rFonts w:cs="Calibri"/>
          <w:szCs w:val="24"/>
          <w:lang w:eastAsia="en-US"/>
        </w:rPr>
        <w:lastRenderedPageBreak/>
        <w:t>consumed one serving, illustrated in the questionnaire, during the past year. Response options ranged from “never” to “multiple times per day.”</w:t>
      </w:r>
      <w:r w:rsidR="009213E5">
        <w:rPr>
          <w:rFonts w:cs="Calibri"/>
          <w:szCs w:val="24"/>
          <w:lang w:eastAsia="en-US"/>
        </w:rPr>
        <w:t xml:space="preserve"> Individual dietary components were calculated by </w:t>
      </w:r>
      <w:r w:rsidR="009178AA" w:rsidRPr="009178AA">
        <w:rPr>
          <w:rFonts w:cs="Calibri"/>
          <w:szCs w:val="24"/>
          <w:lang w:eastAsia="en-US"/>
        </w:rPr>
        <w:t>multiplying the reported frequency by the standard portion size listed in the FFQ2</w:t>
      </w:r>
      <w:r w:rsidR="009178AA">
        <w:rPr>
          <w:rFonts w:cs="Calibri"/>
          <w:szCs w:val="24"/>
          <w:lang w:eastAsia="en-US"/>
        </w:rPr>
        <w:t xml:space="preserve">. </w:t>
      </w:r>
      <w:r w:rsidR="009178AA" w:rsidRPr="009178AA">
        <w:rPr>
          <w:rFonts w:cs="Calibri"/>
          <w:lang w:val="en-US" w:eastAsia="en-US"/>
        </w:rPr>
        <w:t>Nutrient data were then used to estimate the total energy intake in kilocalories.</w:t>
      </w:r>
      <w:r w:rsidR="009178AA">
        <w:rPr>
          <w:rFonts w:cs="Calibri"/>
          <w:lang w:val="en-US" w:eastAsia="en-US"/>
        </w:rPr>
        <w:t xml:space="preserve"> Here, we adjust the analyses for 1) total fiber intake (in gram), total calorie intake (in </w:t>
      </w:r>
      <w:r w:rsidR="000352F5">
        <w:rPr>
          <w:rFonts w:eastAsia="Calibri" w:cs="Calibri"/>
          <w:szCs w:val="24"/>
          <w:lang w:val="en-US"/>
        </w:rPr>
        <w:t>kilojoules</w:t>
      </w:r>
      <w:r w:rsidR="009178AA">
        <w:rPr>
          <w:rFonts w:cs="Calibri"/>
          <w:lang w:val="en-US" w:eastAsia="en-US"/>
        </w:rPr>
        <w:t>)</w:t>
      </w:r>
      <w:r w:rsidR="000352F5">
        <w:rPr>
          <w:rFonts w:cs="Calibri"/>
          <w:lang w:val="en-US" w:eastAsia="en-US"/>
        </w:rPr>
        <w:t>, and total sof</w:t>
      </w:r>
      <w:r w:rsidR="00D74463">
        <w:rPr>
          <w:rFonts w:cs="Calibri"/>
          <w:lang w:val="en-US" w:eastAsia="en-US"/>
        </w:rPr>
        <w:t>t drink consumption (as in</w:t>
      </w:r>
      <w:r w:rsidR="00CF0B40">
        <w:rPr>
          <w:rFonts w:cs="Calibri"/>
          <w:lang w:val="en-US" w:eastAsia="en-US"/>
        </w:rPr>
        <w:t xml:space="preserve"> </w:t>
      </w:r>
      <w:r w:rsidR="00CF0B40">
        <w:rPr>
          <w:rFonts w:cs="Calibri"/>
          <w:lang w:val="en-US" w:eastAsia="en-US"/>
        </w:rPr>
        <w:fldChar w:fldCharType="begin"/>
      </w:r>
      <w:r w:rsidR="00CF0B40">
        <w:rPr>
          <w:rFonts w:cs="Calibri"/>
          <w:lang w:val="en-US" w:eastAsia="en-US"/>
        </w:rPr>
        <w:instrText xml:space="preserve"> ADDIN ZOTERO_ITEM CSL_CITATION {"citationID":"e82gF8Zp","properties":{"formattedCitation":"\\super 14\\nosupersub{}","plainCitation":"14","noteIndex":0},"citationItems":[{"id":1089,"uris":["http://zotero.org/users/10526741/items/VUKRCERS"],"itemData":{"id":1089,"type":"article-journal","abstract":"Importance\n              Soft drink consumption is linked to negative physical and mental health outcomes, but its association with major depressive disorder (MDD) and the underlying mechanisms remains unclear.\n            \n            \n              Objective\n              \n                To examine the association between soft drink consumption and MDD diagnosis and severity and whether this association is mediated by changes in the gut microbiota, particularly\n                Eggerthella\n                and\n                Hungatella\n                abundance.\n              \n            \n            \n              Design, Setting, and Participants\n              This multicenter cohort study was conducted in Germany using cross-sectional data from the Marburg-Münster Affective Cohort. Patients with MDD and healthy controls (aged 18-65 years) recruited from the general population and primary care between September 2014 and September 2018 were analyzed. Data analyses were conducted between May and December 2024.\n            \n            \n              Main Outcomes and Measures\n              \n                Primary analyses included multivariable regression and analysis of variance (ANOVA) models examining the association between soft drink consumption and MDD diagnosis and symptom severity, controlling for site and education, and\n                Eggerthella\n                and\n                Hungatella\n                abundance, controlling for site, education, and library size. Mediation analyses tested whether microbiota abundance mediated the soft drink–MDD link.\n              \n            \n            \n              Results\n              \n                A total of 405 patients with MDD (275 female patients [67.9%]; mean [SD] age, 36.37 [13.33] years) and 527 healthy controls (345 female controls [65.5%]; mean [SD] age, 35.33 [13.13] years) were included. Soft drink consumption predicted MDD diagnosis (odds ratio [OR], 1.081; 95% CI, 1.008-1.159;\n                P\n                 = .03) and symptom severity (\n                P\n                 &amp;amp;lt; .001; partial η\n                2\n                [ηp\n                2\n                ], 0.012; 95% CI, 0.004-0.035), with stronger effects in women (diagnosis: OR, 1.167; 95% CI, 1.054-1.292;\n                P\n                 = .003; severity:\n                P\n                 &amp;amp;lt; .001; ηp\n                2\n                , 0.036; 95% CI, 0.011-0.062). In women, consumption was linked to increased\n                Eggerthella\n                (\n                P\n                 = .007; ηp\n                2\n                , 0.017; 95% CI, 0.0002-0.068), but not\n                Hungatella\n                abundance. Mediation analyses confirmed that\n                Eggerthella\n                significantly mediated the soft drink–MDD association (diagnosis:\n                P\n                 = .011; severity:\n                P\n                 = .005), explaining 3.82% and 5.00% of the effect, respectively.\n              \n            \n            \n              Conclusions and Relevance\n              \n                In this cohort study, it was found that soft drink consumption may contribute to MDD through gut microbiota alterations, notably involving\n                Eggerthella\n                . Public health strategies to reduce soft drink intake may help mitigate depression risk, especially among vulnerable populations; in addition, interventions for depression targeting the microbiome composition appear promising.","container-title":"JAMA Psychiatry","DOI":"10.1001/jamapsychiatry.2025.2579","ISSN":"2168-622X","issue":"11","journalAbbreviation":"JAMA Psychiatry","language":"en","page":"1095","source":"DOI.org (Crossref)","title":"Soft Drink Consumption and Depression Mediated by Gut Microbiome Alterations","volume":"82","author":[{"family":"Edwin Thanarajah","given":"Sharmili"},{"family":"Ribeiro","given":"Adèle H."},{"family":"Lee","given":"Jaehyun"},{"family":"Winter","given":"Nils R."},{"family":"Stein","given":"Frederike"},{"family":"Lippert","given":"Rachel N."},{"family":"Hanssen","given":"Ruth"},{"family":"Schiweck","given":"Carmen"},{"family":"Fehse","given":"Leon"},{"family":"Bloemendaal","given":"Mirjam"},{"family":"Aichholzer","given":"Mareike"},{"family":"Bouzouina","given":"Aicha"},{"family":"Uckermark","given":"Carmen"},{"family":"Welzel","given":"Marius"},{"family":"Repple","given":"Jonathan"},{"family":"Matura","given":"Silke"},{"family":"Meinert","given":"Susanne"},{"family":"Bang","given":"Corinna"},{"family":"Franke","given":"Andre"},{"family":"Leenings","given":"Ramona"},{"family":"Konowski","given":"Maximilian"},{"family":"Ernsting","given":"Jan"},{"family":"Fisch","given":"Lukas"},{"family":"Barkhau","given":"Carlotta"},{"family":"Thomas-Odenthal","given":"Florian"},{"family":"Usemann","given":"Paula"},{"family":"Teutenberg","given":"Lea"},{"family":"Straube","given":"Benjamin"},{"family":"Alexander","given":"Nina"},{"family":"Jamalabadi","given":"Hamidreza"},{"family":"Nenadić","given":"Igor"},{"family":"Lügering","given":"Andreas"},{"family":"Nitsch","given":"Robert"},{"family":"Kittel-Schneider","given":"Sarah"},{"family":"Cryan","given":"John F."},{"family":"Reif","given":"Andreas"},{"family":"Kircher","given":"Tilo"},{"family":"Heider","given":"Dominik"},{"family":"Dannlowski","given":"Udo"},{"family":"Hahn","given":"Tim"}],"issued":{"date-parts":[["2025",11,1]]}}}],"schema":"https://github.com/citation-style-language/schema/raw/master/csl-citation.json"} </w:instrText>
      </w:r>
      <w:r w:rsidR="00CF0B40">
        <w:rPr>
          <w:rFonts w:cs="Calibri"/>
          <w:lang w:val="en-US" w:eastAsia="en-US"/>
        </w:rPr>
        <w:fldChar w:fldCharType="separate"/>
      </w:r>
      <w:r w:rsidR="00CF0B40" w:rsidRPr="00CF0B40">
        <w:rPr>
          <w:rFonts w:cs="Calibri"/>
          <w:vertAlign w:val="superscript"/>
        </w:rPr>
        <w:t>14</w:t>
      </w:r>
      <w:r w:rsidR="00CF0B40">
        <w:rPr>
          <w:rFonts w:cs="Calibri"/>
          <w:lang w:val="en-US" w:eastAsia="en-US"/>
        </w:rPr>
        <w:fldChar w:fldCharType="end"/>
      </w:r>
      <w:r w:rsidR="005947E8">
        <w:rPr>
          <w:rFonts w:cs="Calibri"/>
          <w:szCs w:val="24"/>
          <w:lang w:val="en-US" w:eastAsia="en-US"/>
        </w:rPr>
        <w:t>).</w:t>
      </w:r>
    </w:p>
    <w:p w14:paraId="06713F2A" w14:textId="77777777" w:rsidR="00024694" w:rsidRDefault="00024694">
      <w:pPr>
        <w:spacing w:after="160" w:line="259" w:lineRule="auto"/>
        <w:rPr>
          <w:rFonts w:cs="Calibri"/>
          <w:szCs w:val="24"/>
          <w:lang w:val="en-US" w:eastAsia="en-US"/>
        </w:rPr>
      </w:pPr>
      <w:r>
        <w:rPr>
          <w:rFonts w:cs="Calibri"/>
          <w:szCs w:val="24"/>
          <w:lang w:val="en-US" w:eastAsia="en-US"/>
        </w:rPr>
        <w:br w:type="page"/>
      </w:r>
    </w:p>
    <w:p w14:paraId="614C8420" w14:textId="11B31D57" w:rsidR="007D52F9" w:rsidRPr="00483771" w:rsidRDefault="00CB5902" w:rsidP="00CB5902">
      <w:pPr>
        <w:pStyle w:val="Kop3"/>
        <w:rPr>
          <w:rFonts w:eastAsia="Calibri"/>
        </w:rPr>
      </w:pPr>
      <w:bookmarkStart w:id="11" w:name="_ioxdq5vqs4bc" w:colFirst="0" w:colLast="0"/>
      <w:bookmarkStart w:id="12" w:name="_Toc214877555"/>
      <w:bookmarkEnd w:id="11"/>
      <w:r>
        <w:rPr>
          <w:rFonts w:eastAsia="Calibri"/>
        </w:rPr>
        <w:lastRenderedPageBreak/>
        <w:t>1.</w:t>
      </w:r>
      <w:r w:rsidR="00753A4C">
        <w:rPr>
          <w:rFonts w:eastAsia="Calibri"/>
        </w:rPr>
        <w:t>5</w:t>
      </w:r>
      <w:r w:rsidR="007D52F9" w:rsidRPr="00483771">
        <w:rPr>
          <w:rFonts w:eastAsia="Calibri"/>
        </w:rPr>
        <w:t>. Sensitivity analyses</w:t>
      </w:r>
      <w:bookmarkEnd w:id="12"/>
    </w:p>
    <w:p w14:paraId="3960AA4D" w14:textId="31B401C7" w:rsidR="00F04347" w:rsidRPr="00575946" w:rsidRDefault="0020585F" w:rsidP="00575946">
      <w:pPr>
        <w:spacing w:before="240" w:after="240"/>
        <w:jc w:val="both"/>
        <w:rPr>
          <w:rFonts w:eastAsia="Calibri" w:cs="Calibri"/>
          <w:szCs w:val="24"/>
          <w:u w:val="single"/>
        </w:rPr>
      </w:pPr>
      <w:bookmarkStart w:id="13" w:name="_lryat0aoha4t" w:colFirst="0" w:colLast="0"/>
      <w:bookmarkEnd w:id="13"/>
      <w:r>
        <w:rPr>
          <w:rFonts w:eastAsia="Calibri" w:cs="Calibri"/>
          <w:szCs w:val="24"/>
          <w:u w:val="single"/>
        </w:rPr>
        <w:t>Methods</w:t>
      </w:r>
      <w:r>
        <w:rPr>
          <w:rFonts w:eastAsia="Calibri" w:cs="Calibri"/>
          <w:szCs w:val="24"/>
          <w:u w:val="single"/>
        </w:rPr>
        <w:br/>
      </w:r>
      <w:r w:rsidRPr="0020585F">
        <w:rPr>
          <w:rFonts w:eastAsia="Calibri" w:cs="Calibri"/>
          <w:szCs w:val="24"/>
        </w:rPr>
        <w:t>To confirm the robustness of associations between SSRI/SNRI treatment and gut microbiota in MDD, we conducted sensitivity analyses. Both MACS and MIND-Set cohorts were analyzed for remission status. In MACS only, additional sensitivity analyses accounted for appetite changes, somatic comorbidities, and dietary factors (fiber, calorie, and soft drink intake). Sensitivity analyses were applied to all microbial features significantly linked to SSRI/SNRI use, using logistic and quantile regression models as in the stratified analysis, with the sensitivity factor included as an additional covariate.</w:t>
      </w:r>
    </w:p>
    <w:p w14:paraId="5294690F" w14:textId="228F58D1" w:rsidR="00F04347" w:rsidRPr="00483771" w:rsidRDefault="00F04347">
      <w:pPr>
        <w:spacing w:after="160" w:line="259" w:lineRule="auto"/>
        <w:rPr>
          <w:rFonts w:eastAsia="Calibri" w:cs="Calibri"/>
          <w:b/>
          <w:szCs w:val="24"/>
          <w:lang w:val="en-US"/>
        </w:rPr>
      </w:pPr>
      <w:r w:rsidRPr="00483771">
        <w:rPr>
          <w:rFonts w:eastAsia="Calibri" w:cs="Calibri"/>
          <w:b/>
          <w:szCs w:val="24"/>
          <w:lang w:val="en-US"/>
        </w:rPr>
        <w:br w:type="page"/>
      </w:r>
    </w:p>
    <w:p w14:paraId="616AA65A" w14:textId="6D6F058B" w:rsidR="00024694" w:rsidRPr="00024694" w:rsidRDefault="00CB5902" w:rsidP="00E22350">
      <w:pPr>
        <w:pStyle w:val="Kop2"/>
        <w:rPr>
          <w:rFonts w:eastAsia="Calibri"/>
          <w:b w:val="0"/>
          <w:lang w:val="en-US"/>
        </w:rPr>
      </w:pPr>
      <w:bookmarkStart w:id="14" w:name="_xnfrwihlb0i9" w:colFirst="0" w:colLast="0"/>
      <w:bookmarkStart w:id="15" w:name="_Toc214877556"/>
      <w:bookmarkEnd w:id="14"/>
      <w:r>
        <w:rPr>
          <w:rFonts w:eastAsia="Calibri"/>
          <w:lang w:val="en-US"/>
        </w:rPr>
        <w:lastRenderedPageBreak/>
        <w:t>2</w:t>
      </w:r>
      <w:r w:rsidR="00024694" w:rsidRPr="00483771">
        <w:rPr>
          <w:rFonts w:eastAsia="Calibri"/>
          <w:lang w:val="en-US"/>
        </w:rPr>
        <w:t xml:space="preserve">. </w:t>
      </w:r>
      <w:r w:rsidR="00024694">
        <w:rPr>
          <w:rFonts w:eastAsia="Calibri"/>
          <w:lang w:val="en-US"/>
        </w:rPr>
        <w:t xml:space="preserve">Supplementary </w:t>
      </w:r>
      <w:r w:rsidR="00024694" w:rsidRPr="005947E8">
        <w:rPr>
          <w:lang w:val="en-US"/>
        </w:rPr>
        <w:t>Figures</w:t>
      </w:r>
      <w:bookmarkEnd w:id="15"/>
    </w:p>
    <w:p w14:paraId="07BC07AF" w14:textId="57D00B1C" w:rsidR="00F04347" w:rsidRPr="00E22350" w:rsidRDefault="009043F7" w:rsidP="00E22350">
      <w:pPr>
        <w:pStyle w:val="Kop3"/>
        <w:rPr>
          <w:rFonts w:eastAsia="Calibri" w:cs="Calibri"/>
          <w:b w:val="0"/>
          <w:bCs/>
          <w:i w:val="0"/>
          <w:iCs/>
          <w:szCs w:val="24"/>
          <w:lang w:val="en-US"/>
        </w:rPr>
      </w:pPr>
      <w:bookmarkStart w:id="16" w:name="_Toc214877557"/>
      <w:proofErr w:type="spellStart"/>
      <w:r>
        <w:rPr>
          <w:rStyle w:val="Kop3Char"/>
          <w:b/>
          <w:bCs/>
          <w:i/>
          <w:iCs/>
          <w:lang w:val="en-US"/>
        </w:rPr>
        <w:t>eFigure</w:t>
      </w:r>
      <w:proofErr w:type="spellEnd"/>
      <w:r w:rsidR="00F04347" w:rsidRPr="00E22350">
        <w:rPr>
          <w:rStyle w:val="Kop3Char"/>
          <w:b/>
          <w:bCs/>
          <w:i/>
          <w:iCs/>
          <w:lang w:val="en-US"/>
        </w:rPr>
        <w:t xml:space="preserve"> </w:t>
      </w:r>
      <w:r w:rsidR="00E22350" w:rsidRPr="00E22350">
        <w:rPr>
          <w:rStyle w:val="Kop3Char"/>
          <w:b/>
          <w:bCs/>
          <w:i/>
          <w:iCs/>
          <w:lang w:val="en-US"/>
        </w:rPr>
        <w:t>3</w:t>
      </w:r>
      <w:r w:rsidR="00024694" w:rsidRPr="00E22350">
        <w:rPr>
          <w:rStyle w:val="Kop3Char"/>
          <w:b/>
          <w:bCs/>
          <w:i/>
          <w:iCs/>
          <w:lang w:val="en-US"/>
        </w:rPr>
        <w:t>.</w:t>
      </w:r>
      <w:r w:rsidR="00F04347" w:rsidRPr="00E22350">
        <w:rPr>
          <w:rFonts w:eastAsia="Calibri" w:cs="Calibri"/>
          <w:b w:val="0"/>
          <w:bCs/>
          <w:i w:val="0"/>
          <w:iCs/>
          <w:szCs w:val="24"/>
          <w:lang w:val="en-US"/>
        </w:rPr>
        <w:t xml:space="preserve"> </w:t>
      </w:r>
      <w:r w:rsidR="00F04347" w:rsidRPr="00E22350">
        <w:rPr>
          <w:rFonts w:eastAsia="Calibri" w:cs="Calibri"/>
          <w:b w:val="0"/>
          <w:bCs/>
          <w:szCs w:val="24"/>
          <w:lang w:val="en-US"/>
        </w:rPr>
        <w:t>Distribution of treatment psychotropic medications</w:t>
      </w:r>
      <w:bookmarkEnd w:id="16"/>
    </w:p>
    <w:p w14:paraId="537F7A26" w14:textId="2D7D6B52" w:rsidR="00F04347" w:rsidRPr="00483771" w:rsidRDefault="002B7912" w:rsidP="00F04347">
      <w:pPr>
        <w:spacing w:before="240" w:after="240" w:line="256" w:lineRule="auto"/>
        <w:jc w:val="both"/>
        <w:rPr>
          <w:rFonts w:eastAsia="Calibri" w:cs="Calibri"/>
          <w:b/>
          <w:szCs w:val="24"/>
          <w:lang w:val="en-US"/>
        </w:rPr>
      </w:pPr>
      <w:r>
        <w:rPr>
          <w:rFonts w:eastAsia="Calibri" w:cs="Calibri"/>
          <w:b/>
          <w:noProof/>
          <w:szCs w:val="24"/>
          <w:lang w:val="en-US"/>
        </w:rPr>
        <w:drawing>
          <wp:inline distT="0" distB="0" distL="0" distR="0" wp14:anchorId="6A78D090" wp14:editId="1BF5ED48">
            <wp:extent cx="6055995" cy="5289550"/>
            <wp:effectExtent l="0" t="0" r="0" b="0"/>
            <wp:docPr id="13054436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5995" cy="5289550"/>
                    </a:xfrm>
                    <a:prstGeom prst="rect">
                      <a:avLst/>
                    </a:prstGeom>
                    <a:noFill/>
                    <a:ln>
                      <a:noFill/>
                    </a:ln>
                  </pic:spPr>
                </pic:pic>
              </a:graphicData>
            </a:graphic>
          </wp:inline>
        </w:drawing>
      </w:r>
    </w:p>
    <w:p w14:paraId="62F1FD05" w14:textId="1FC7E6C0" w:rsidR="00F04347" w:rsidRPr="00483771" w:rsidRDefault="002B7912" w:rsidP="00024694">
      <w:pPr>
        <w:spacing w:before="240" w:after="240"/>
        <w:jc w:val="both"/>
        <w:rPr>
          <w:rFonts w:eastAsia="Calibri" w:cs="Calibri"/>
          <w:b/>
          <w:szCs w:val="24"/>
          <w:lang w:val="en-US"/>
        </w:rPr>
      </w:pPr>
      <w:r>
        <w:rPr>
          <w:rFonts w:eastAsia="Calibri" w:cs="Calibri"/>
          <w:bCs/>
          <w:sz w:val="20"/>
          <w:szCs w:val="20"/>
          <w:lang w:val="en-US"/>
        </w:rPr>
        <w:t xml:space="preserve">The </w:t>
      </w:r>
      <w:r w:rsidR="00040E5B">
        <w:rPr>
          <w:rFonts w:eastAsia="Calibri" w:cs="Calibri"/>
          <w:bCs/>
          <w:sz w:val="20"/>
          <w:szCs w:val="20"/>
          <w:lang w:val="en-US"/>
        </w:rPr>
        <w:t xml:space="preserve">distribution of medication use in the MACS </w:t>
      </w:r>
      <w:r w:rsidR="00040E5B">
        <w:rPr>
          <w:rFonts w:eastAsia="Calibri" w:cs="Calibri"/>
          <w:b/>
          <w:sz w:val="20"/>
          <w:szCs w:val="20"/>
          <w:lang w:val="en-US"/>
        </w:rPr>
        <w:t>(A)</w:t>
      </w:r>
      <w:r w:rsidR="00040E5B">
        <w:rPr>
          <w:rFonts w:eastAsia="Calibri" w:cs="Calibri"/>
          <w:bCs/>
          <w:sz w:val="20"/>
          <w:szCs w:val="20"/>
          <w:lang w:val="en-US"/>
        </w:rPr>
        <w:t xml:space="preserve"> and MIND-Set </w:t>
      </w:r>
      <w:r w:rsidR="00040E5B">
        <w:rPr>
          <w:rFonts w:eastAsia="Calibri" w:cs="Calibri"/>
          <w:b/>
          <w:sz w:val="20"/>
          <w:szCs w:val="20"/>
          <w:lang w:val="en-US"/>
        </w:rPr>
        <w:t>(C)</w:t>
      </w:r>
      <w:r w:rsidR="00040E5B">
        <w:rPr>
          <w:rFonts w:eastAsia="Calibri" w:cs="Calibri"/>
          <w:bCs/>
          <w:sz w:val="20"/>
          <w:szCs w:val="20"/>
          <w:lang w:val="en-US"/>
        </w:rPr>
        <w:t xml:space="preserve"> cohort together with corresponding groups: unmedicated in purple, SSRI/SRNRI (+/- other psychotropics) in orange and other psychotropics only in pink. The </w:t>
      </w:r>
      <w:r w:rsidR="00F05D10">
        <w:rPr>
          <w:rFonts w:eastAsia="Calibri" w:cs="Calibri"/>
          <w:bCs/>
          <w:sz w:val="20"/>
          <w:szCs w:val="20"/>
          <w:lang w:val="en-US"/>
        </w:rPr>
        <w:t xml:space="preserve">horizontal bars show the number of participants using each corresponding medication. The dots represent the combination of different types of medications. The vertical bars show the number of participants treated with this combination of </w:t>
      </w:r>
      <w:r w:rsidR="00114021">
        <w:rPr>
          <w:rFonts w:eastAsia="Calibri" w:cs="Calibri"/>
          <w:bCs/>
          <w:sz w:val="20"/>
          <w:szCs w:val="20"/>
          <w:lang w:val="en-US"/>
        </w:rPr>
        <w:t xml:space="preserve">medications. Panel </w:t>
      </w:r>
      <w:r w:rsidR="00114021">
        <w:rPr>
          <w:rFonts w:eastAsia="Calibri" w:cs="Calibri"/>
          <w:b/>
          <w:sz w:val="20"/>
          <w:szCs w:val="20"/>
          <w:lang w:val="en-US"/>
        </w:rPr>
        <w:t xml:space="preserve">(B) </w:t>
      </w:r>
      <w:r w:rsidR="00114021">
        <w:rPr>
          <w:rFonts w:eastAsia="Calibri" w:cs="Calibri"/>
          <w:bCs/>
          <w:sz w:val="20"/>
          <w:szCs w:val="20"/>
          <w:lang w:val="en-US"/>
        </w:rPr>
        <w:t xml:space="preserve">and </w:t>
      </w:r>
      <w:r w:rsidR="00114021">
        <w:rPr>
          <w:rFonts w:eastAsia="Calibri" w:cs="Calibri"/>
          <w:b/>
          <w:sz w:val="20"/>
          <w:szCs w:val="20"/>
          <w:lang w:val="en-US"/>
        </w:rPr>
        <w:t xml:space="preserve">(D) </w:t>
      </w:r>
      <w:r w:rsidR="00114021">
        <w:rPr>
          <w:rFonts w:eastAsia="Calibri" w:cs="Calibri"/>
          <w:bCs/>
          <w:sz w:val="20"/>
          <w:szCs w:val="20"/>
          <w:lang w:val="en-US"/>
        </w:rPr>
        <w:t>show the different medications non-SSRI/SNRI psychotropic medications for MACS and MIND-Set, respectively.</w:t>
      </w:r>
    </w:p>
    <w:p w14:paraId="78848187" w14:textId="77777777" w:rsidR="00F04347" w:rsidRPr="00483771" w:rsidRDefault="00F04347" w:rsidP="00F04347">
      <w:pPr>
        <w:pStyle w:val="Kop1"/>
        <w:keepNext w:val="0"/>
        <w:keepLines w:val="0"/>
        <w:spacing w:before="480"/>
        <w:jc w:val="both"/>
        <w:rPr>
          <w:rFonts w:ascii="Calibri" w:eastAsia="Calibri" w:hAnsi="Calibri" w:cs="Calibri"/>
          <w:b/>
          <w:color w:val="auto"/>
          <w:sz w:val="24"/>
          <w:szCs w:val="24"/>
          <w:lang w:val="en-US"/>
        </w:rPr>
      </w:pPr>
      <w:bookmarkStart w:id="17" w:name="_g6mzsr7m7ci7" w:colFirst="0" w:colLast="0"/>
      <w:bookmarkEnd w:id="17"/>
      <w:r w:rsidRPr="00483771">
        <w:rPr>
          <w:color w:val="auto"/>
          <w:lang w:val="en-US"/>
        </w:rPr>
        <w:br w:type="page"/>
      </w:r>
    </w:p>
    <w:p w14:paraId="71ABE0CE" w14:textId="71F44E23" w:rsidR="00024694" w:rsidRPr="00E22350" w:rsidRDefault="009043F7" w:rsidP="00E22350">
      <w:pPr>
        <w:pStyle w:val="Kop3"/>
        <w:rPr>
          <w:rFonts w:eastAsia="Calibri"/>
          <w:lang w:val="en-US"/>
        </w:rPr>
      </w:pPr>
      <w:bookmarkStart w:id="18" w:name="_cus5jmeg3f4s" w:colFirst="0" w:colLast="0"/>
      <w:bookmarkStart w:id="19" w:name="_xpvafleim09g" w:colFirst="0" w:colLast="0"/>
      <w:bookmarkStart w:id="20" w:name="_pbc2yq3enqt" w:colFirst="0" w:colLast="0"/>
      <w:bookmarkStart w:id="21" w:name="_Toc214877558"/>
      <w:bookmarkEnd w:id="18"/>
      <w:bookmarkEnd w:id="19"/>
      <w:bookmarkEnd w:id="20"/>
      <w:proofErr w:type="spellStart"/>
      <w:r>
        <w:rPr>
          <w:rStyle w:val="Kop3Char"/>
          <w:b/>
          <w:bCs/>
          <w:i/>
          <w:iCs/>
          <w:lang w:val="en-US"/>
        </w:rPr>
        <w:lastRenderedPageBreak/>
        <w:t>eFigure</w:t>
      </w:r>
      <w:proofErr w:type="spellEnd"/>
      <w:r w:rsidR="00F04347" w:rsidRPr="00E22350">
        <w:rPr>
          <w:rStyle w:val="Kop3Char"/>
          <w:b/>
          <w:bCs/>
          <w:i/>
          <w:iCs/>
          <w:lang w:val="en-US"/>
        </w:rPr>
        <w:t xml:space="preserve"> 4</w:t>
      </w:r>
      <w:r w:rsidR="00E22350" w:rsidRPr="00E22350">
        <w:rPr>
          <w:rStyle w:val="Kop3Char"/>
          <w:lang w:val="en-US"/>
        </w:rPr>
        <w:t>.</w:t>
      </w:r>
      <w:r w:rsidR="00F04347" w:rsidRPr="00E22350">
        <w:rPr>
          <w:rFonts w:eastAsia="Calibri"/>
          <w:lang w:val="en-US"/>
        </w:rPr>
        <w:t xml:space="preserve"> </w:t>
      </w:r>
      <w:r w:rsidR="00EB3FE0" w:rsidRPr="00E22350">
        <w:rPr>
          <w:rFonts w:eastAsia="Calibri"/>
          <w:b w:val="0"/>
          <w:bCs/>
          <w:noProof/>
        </w:rPr>
        <w:drawing>
          <wp:anchor distT="0" distB="0" distL="114300" distR="114300" simplePos="0" relativeHeight="251630080" behindDoc="0" locked="0" layoutInCell="1" allowOverlap="1" wp14:anchorId="0C7AAB80" wp14:editId="527A9D5E">
            <wp:simplePos x="0" y="0"/>
            <wp:positionH relativeFrom="column">
              <wp:posOffset>-102476</wp:posOffset>
            </wp:positionH>
            <wp:positionV relativeFrom="page">
              <wp:posOffset>1466193</wp:posOffset>
            </wp:positionV>
            <wp:extent cx="6579235" cy="7583170"/>
            <wp:effectExtent l="0" t="0" r="0" b="0"/>
            <wp:wrapTopAndBottom/>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8">
                      <a:extLst>
                        <a:ext uri="{28A0092B-C50C-407E-A947-70E740481C1C}">
                          <a14:useLocalDpi xmlns:a14="http://schemas.microsoft.com/office/drawing/2010/main" val="0"/>
                        </a:ext>
                      </a:extLst>
                    </a:blip>
                    <a:srcRect t="1685" b="1258"/>
                    <a:stretch/>
                  </pic:blipFill>
                  <pic:spPr bwMode="auto">
                    <a:xfrm>
                      <a:off x="0" y="0"/>
                      <a:ext cx="6579235" cy="758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347" w:rsidRPr="00E22350">
        <w:rPr>
          <w:rFonts w:eastAsia="Calibri"/>
          <w:b w:val="0"/>
          <w:bCs/>
          <w:lang w:val="en-US"/>
        </w:rPr>
        <w:t>Abundance distribution MDD-associated genera in the MACS cohort</w:t>
      </w:r>
      <w:bookmarkEnd w:id="21"/>
    </w:p>
    <w:p w14:paraId="7B7AAF24" w14:textId="50DAD858" w:rsidR="00F04347" w:rsidRPr="00024694" w:rsidRDefault="00F04347" w:rsidP="00F04347">
      <w:pPr>
        <w:pStyle w:val="Kop1"/>
        <w:keepNext w:val="0"/>
        <w:keepLines w:val="0"/>
        <w:spacing w:before="480"/>
        <w:jc w:val="both"/>
        <w:rPr>
          <w:rFonts w:ascii="Calibri" w:eastAsia="Calibri" w:hAnsi="Calibri" w:cs="Calibri"/>
          <w:b/>
          <w:color w:val="auto"/>
          <w:sz w:val="24"/>
          <w:szCs w:val="24"/>
          <w:lang w:val="en-US"/>
        </w:rPr>
      </w:pPr>
    </w:p>
    <w:p w14:paraId="08C0D72A" w14:textId="63F07ED1" w:rsidR="00EB3FE0" w:rsidRDefault="00EB3FE0" w:rsidP="00F04347">
      <w:pPr>
        <w:spacing w:before="240" w:after="240"/>
        <w:jc w:val="both"/>
        <w:rPr>
          <w:rFonts w:eastAsia="Calibri" w:cs="Calibri"/>
          <w:szCs w:val="24"/>
          <w:lang w:val="en-US"/>
        </w:rPr>
      </w:pPr>
      <w:r w:rsidRPr="00483771">
        <w:rPr>
          <w:rFonts w:eastAsia="Calibri" w:cs="Calibri"/>
          <w:noProof/>
          <w:szCs w:val="24"/>
          <w:lang w:val="en-US"/>
        </w:rPr>
        <w:lastRenderedPageBreak/>
        <w:drawing>
          <wp:anchor distT="0" distB="0" distL="114300" distR="114300" simplePos="0" relativeHeight="251650560" behindDoc="0" locked="0" layoutInCell="1" allowOverlap="1" wp14:anchorId="7EA84875" wp14:editId="10D24DF9">
            <wp:simplePos x="0" y="0"/>
            <wp:positionH relativeFrom="column">
              <wp:posOffset>-134007</wp:posOffset>
            </wp:positionH>
            <wp:positionV relativeFrom="page">
              <wp:posOffset>1355834</wp:posOffset>
            </wp:positionV>
            <wp:extent cx="6641465" cy="6479540"/>
            <wp:effectExtent l="0" t="0" r="0" b="0"/>
            <wp:wrapTopAndBottom/>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9">
                      <a:extLst>
                        <a:ext uri="{28A0092B-C50C-407E-A947-70E740481C1C}">
                          <a14:useLocalDpi xmlns:a14="http://schemas.microsoft.com/office/drawing/2010/main" val="0"/>
                        </a:ext>
                      </a:extLst>
                    </a:blip>
                    <a:srcRect t="1772" b="1450"/>
                    <a:stretch/>
                  </pic:blipFill>
                  <pic:spPr bwMode="auto">
                    <a:xfrm>
                      <a:off x="0" y="0"/>
                      <a:ext cx="6641465" cy="6479540"/>
                    </a:xfrm>
                    <a:prstGeom prst="rect">
                      <a:avLst/>
                    </a:prstGeom>
                    <a:ln>
                      <a:noFill/>
                    </a:ln>
                    <a:extLst>
                      <a:ext uri="{53640926-AAD7-44D8-BBD7-CCE9431645EC}">
                        <a14:shadowObscured xmlns:a14="http://schemas.microsoft.com/office/drawing/2010/main"/>
                      </a:ext>
                    </a:extLst>
                  </pic:spPr>
                </pic:pic>
              </a:graphicData>
            </a:graphic>
          </wp:anchor>
        </w:drawing>
      </w:r>
    </w:p>
    <w:p w14:paraId="5A13A951" w14:textId="77777777" w:rsidR="00EB3FE0" w:rsidRDefault="00EB3FE0" w:rsidP="00F04347">
      <w:pPr>
        <w:spacing w:before="240" w:after="240"/>
        <w:jc w:val="both"/>
        <w:rPr>
          <w:rFonts w:eastAsia="Calibri" w:cs="Calibri"/>
          <w:szCs w:val="24"/>
          <w:lang w:val="en-US"/>
        </w:rPr>
      </w:pPr>
    </w:p>
    <w:p w14:paraId="59ACD923" w14:textId="43116B23" w:rsidR="00F04347" w:rsidRPr="0034697F" w:rsidRDefault="00F04347" w:rsidP="0034697F">
      <w:pPr>
        <w:spacing w:before="240" w:after="240"/>
        <w:jc w:val="both"/>
        <w:rPr>
          <w:rFonts w:eastAsia="Calibri" w:cs="Calibri"/>
          <w:sz w:val="20"/>
          <w:szCs w:val="20"/>
          <w:lang w:val="en-US"/>
        </w:rPr>
      </w:pPr>
      <w:r w:rsidRPr="00EB3FE0">
        <w:rPr>
          <w:rFonts w:eastAsia="Calibri" w:cs="Calibri"/>
          <w:sz w:val="20"/>
          <w:szCs w:val="20"/>
          <w:lang w:val="en-US"/>
        </w:rPr>
        <w:t>Density plots of centered log-ratio-transformed abundance of the nine MDD-associated bacterial genera for the unaffected</w:t>
      </w:r>
      <w:r w:rsidR="00EB3FE0">
        <w:rPr>
          <w:rFonts w:eastAsia="Calibri" w:cs="Calibri"/>
          <w:sz w:val="20"/>
          <w:szCs w:val="20"/>
          <w:lang w:val="en-US"/>
        </w:rPr>
        <w:t xml:space="preserve"> controls</w:t>
      </w:r>
      <w:r w:rsidRPr="00EB3FE0">
        <w:rPr>
          <w:rFonts w:eastAsia="Calibri" w:cs="Calibri"/>
          <w:sz w:val="20"/>
          <w:szCs w:val="20"/>
          <w:lang w:val="en-US"/>
        </w:rPr>
        <w:t xml:space="preserve"> (yellow), MDD (blue), SSRI/SNRI-treated MDD (orange) and unmedicated MDD (purple) groups</w:t>
      </w:r>
      <w:r w:rsidR="003873C8">
        <w:rPr>
          <w:rFonts w:eastAsia="Calibri" w:cs="Calibri"/>
          <w:sz w:val="20"/>
          <w:szCs w:val="20"/>
          <w:lang w:val="en-US"/>
        </w:rPr>
        <w:t xml:space="preserve"> in the MACS cohort</w:t>
      </w:r>
      <w:bookmarkStart w:id="22" w:name="_6r5rilhwl2a" w:colFirst="0" w:colLast="0"/>
      <w:bookmarkEnd w:id="22"/>
      <w:r w:rsidRPr="00483771">
        <w:rPr>
          <w:lang w:val="en-US"/>
        </w:rPr>
        <w:br w:type="page"/>
      </w:r>
    </w:p>
    <w:p w14:paraId="02783292" w14:textId="3E9A70D2" w:rsidR="003873C8" w:rsidRDefault="00A318DF" w:rsidP="0034697F">
      <w:pPr>
        <w:pStyle w:val="Kop3"/>
        <w:rPr>
          <w:rFonts w:eastAsia="Calibri"/>
          <w:lang w:val="en-US"/>
        </w:rPr>
      </w:pPr>
      <w:bookmarkStart w:id="23" w:name="_l0bsocevq231" w:colFirst="0" w:colLast="0"/>
      <w:bookmarkStart w:id="24" w:name="_Toc214877559"/>
      <w:bookmarkEnd w:id="23"/>
      <w:r w:rsidRPr="00E22350">
        <w:rPr>
          <w:rFonts w:eastAsia="Calibri" w:cs="Calibri"/>
          <w:b w:val="0"/>
          <w:bCs/>
          <w:noProof/>
          <w:szCs w:val="24"/>
          <w:lang w:val="en-US"/>
        </w:rPr>
        <w:lastRenderedPageBreak/>
        <w:drawing>
          <wp:anchor distT="0" distB="0" distL="114300" distR="114300" simplePos="0" relativeHeight="251681280" behindDoc="0" locked="0" layoutInCell="1" allowOverlap="1" wp14:anchorId="0A72A59D" wp14:editId="1B8AA9A3">
            <wp:simplePos x="0" y="0"/>
            <wp:positionH relativeFrom="column">
              <wp:posOffset>-119380</wp:posOffset>
            </wp:positionH>
            <wp:positionV relativeFrom="page">
              <wp:posOffset>1227449</wp:posOffset>
            </wp:positionV>
            <wp:extent cx="6574155" cy="7469505"/>
            <wp:effectExtent l="0" t="0" r="0" b="0"/>
            <wp:wrapTopAndBottom/>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6574155" cy="7469505"/>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9043F7">
        <w:rPr>
          <w:rFonts w:eastAsia="Calibri"/>
          <w:lang w:val="en-US"/>
        </w:rPr>
        <w:t>eFigure</w:t>
      </w:r>
      <w:proofErr w:type="spellEnd"/>
      <w:r w:rsidR="009043F7">
        <w:rPr>
          <w:rFonts w:eastAsia="Calibri"/>
          <w:lang w:val="en-US"/>
        </w:rPr>
        <w:t xml:space="preserve"> 5</w:t>
      </w:r>
      <w:r w:rsidR="00E22350">
        <w:rPr>
          <w:rFonts w:eastAsia="Calibri"/>
          <w:lang w:val="en-US"/>
        </w:rPr>
        <w:t>.</w:t>
      </w:r>
      <w:r w:rsidR="00F04347" w:rsidRPr="00E22350">
        <w:rPr>
          <w:rFonts w:eastAsia="Calibri"/>
          <w:lang w:val="en-US"/>
        </w:rPr>
        <w:t xml:space="preserve"> </w:t>
      </w:r>
      <w:r w:rsidR="00F04347" w:rsidRPr="00E22350">
        <w:rPr>
          <w:rFonts w:eastAsia="Calibri" w:cs="Calibri"/>
          <w:b w:val="0"/>
          <w:bCs/>
          <w:szCs w:val="24"/>
          <w:lang w:val="en-US"/>
        </w:rPr>
        <w:t>Abundance distribution of MDD-associated genera in the MIND-Set cohort</w:t>
      </w:r>
      <w:bookmarkEnd w:id="24"/>
      <w:r w:rsidR="00F04347" w:rsidRPr="00483771">
        <w:rPr>
          <w:rFonts w:eastAsia="Calibri"/>
          <w:lang w:val="en-US"/>
        </w:rPr>
        <w:br/>
      </w:r>
    </w:p>
    <w:p w14:paraId="14BAD694" w14:textId="21CC4BC9" w:rsidR="003873C8" w:rsidRDefault="003873C8" w:rsidP="00A318DF">
      <w:pPr>
        <w:rPr>
          <w:lang w:val="en-US"/>
        </w:rPr>
      </w:pPr>
      <w:r w:rsidRPr="00483771">
        <w:rPr>
          <w:noProof/>
          <w:lang w:val="en-US"/>
        </w:rPr>
        <w:lastRenderedPageBreak/>
        <w:drawing>
          <wp:anchor distT="0" distB="0" distL="114300" distR="114300" simplePos="0" relativeHeight="251703808" behindDoc="0" locked="0" layoutInCell="1" allowOverlap="1" wp14:anchorId="2DE4F4DE" wp14:editId="30D6F411">
            <wp:simplePos x="0" y="0"/>
            <wp:positionH relativeFrom="column">
              <wp:posOffset>-253365</wp:posOffset>
            </wp:positionH>
            <wp:positionV relativeFrom="paragraph">
              <wp:posOffset>253365</wp:posOffset>
            </wp:positionV>
            <wp:extent cx="6553835" cy="6291580"/>
            <wp:effectExtent l="0" t="0" r="0" b="0"/>
            <wp:wrapTopAndBottom/>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553835" cy="6291580"/>
                    </a:xfrm>
                    <a:prstGeom prst="rect">
                      <a:avLst/>
                    </a:prstGeom>
                    <a:ln/>
                  </pic:spPr>
                </pic:pic>
              </a:graphicData>
            </a:graphic>
            <wp14:sizeRelH relativeFrom="margin">
              <wp14:pctWidth>0</wp14:pctWidth>
            </wp14:sizeRelH>
            <wp14:sizeRelV relativeFrom="margin">
              <wp14:pctHeight>0</wp14:pctHeight>
            </wp14:sizeRelV>
          </wp:anchor>
        </w:drawing>
      </w:r>
    </w:p>
    <w:p w14:paraId="053C7AAC" w14:textId="631E706F" w:rsidR="003873C8" w:rsidRDefault="003873C8" w:rsidP="00A318DF">
      <w:pPr>
        <w:rPr>
          <w:lang w:val="en-US"/>
        </w:rPr>
      </w:pPr>
    </w:p>
    <w:p w14:paraId="5712FC63" w14:textId="1EABCADB" w:rsidR="00F04347" w:rsidRPr="00E22350" w:rsidRDefault="00F04347" w:rsidP="00E22350">
      <w:pPr>
        <w:rPr>
          <w:sz w:val="20"/>
          <w:szCs w:val="20"/>
          <w:lang w:val="en-US"/>
        </w:rPr>
      </w:pPr>
      <w:r w:rsidRPr="00E22350">
        <w:rPr>
          <w:sz w:val="20"/>
          <w:szCs w:val="20"/>
          <w:lang w:val="en-US"/>
        </w:rPr>
        <w:t>Density plots of centered log-ratio-transformed abundance of the nine MDD-associated bacterial genera for the unaffected (yellow), MDD (blue), SSRI/SNRI-treated MDD (orange) and unmedicated MDD (purple) groups</w:t>
      </w:r>
      <w:r w:rsidR="003873C8" w:rsidRPr="00E22350">
        <w:rPr>
          <w:sz w:val="20"/>
          <w:szCs w:val="20"/>
          <w:lang w:val="en-US"/>
        </w:rPr>
        <w:t xml:space="preserve"> in the MIND-Set cohort</w:t>
      </w:r>
    </w:p>
    <w:p w14:paraId="7A7ACDB7" w14:textId="72C6EDDF" w:rsidR="00F04347" w:rsidRPr="0034697F" w:rsidRDefault="00F04347" w:rsidP="0034697F">
      <w:pPr>
        <w:spacing w:before="240" w:after="240"/>
        <w:jc w:val="center"/>
        <w:rPr>
          <w:rFonts w:eastAsia="Calibri" w:cs="Calibri"/>
          <w:szCs w:val="24"/>
          <w:lang w:val="en-US"/>
        </w:rPr>
      </w:pPr>
      <w:bookmarkStart w:id="25" w:name="_cl4807n0u1nl" w:colFirst="0" w:colLast="0"/>
      <w:bookmarkEnd w:id="25"/>
      <w:r w:rsidRPr="00483771">
        <w:rPr>
          <w:lang w:val="en-US"/>
        </w:rPr>
        <w:br w:type="page"/>
      </w:r>
    </w:p>
    <w:p w14:paraId="5432D785" w14:textId="3F646A5B" w:rsidR="00F04347" w:rsidRPr="00E22350" w:rsidRDefault="00E22350" w:rsidP="00E22350">
      <w:pPr>
        <w:pStyle w:val="Kop3"/>
        <w:rPr>
          <w:rFonts w:eastAsia="Calibri"/>
          <w:b w:val="0"/>
          <w:bCs/>
          <w:lang w:val="en-US"/>
        </w:rPr>
      </w:pPr>
      <w:bookmarkStart w:id="26" w:name="_x2r4cwctipp2" w:colFirst="0" w:colLast="0"/>
      <w:bookmarkStart w:id="27" w:name="_Toc214877560"/>
      <w:bookmarkEnd w:id="26"/>
      <w:r w:rsidRPr="00E22350">
        <w:rPr>
          <w:rFonts w:eastAsia="Calibri" w:cs="Calibri"/>
          <w:b w:val="0"/>
          <w:i w:val="0"/>
          <w:iCs/>
          <w:noProof/>
          <w:szCs w:val="24"/>
          <w:lang w:val="en-US"/>
        </w:rPr>
        <w:lastRenderedPageBreak/>
        <w:drawing>
          <wp:anchor distT="0" distB="0" distL="114300" distR="114300" simplePos="0" relativeHeight="251732480" behindDoc="0" locked="0" layoutInCell="1" allowOverlap="1" wp14:anchorId="21A9408C" wp14:editId="29C9387F">
            <wp:simplePos x="0" y="0"/>
            <wp:positionH relativeFrom="column">
              <wp:posOffset>-532130</wp:posOffset>
            </wp:positionH>
            <wp:positionV relativeFrom="page">
              <wp:posOffset>1257300</wp:posOffset>
            </wp:positionV>
            <wp:extent cx="7246620" cy="4275455"/>
            <wp:effectExtent l="0" t="0" r="0" b="0"/>
            <wp:wrapTopAndBottom/>
            <wp:docPr id="172592825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46620" cy="4275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043F7">
        <w:rPr>
          <w:rFonts w:eastAsia="Calibri"/>
          <w:lang w:val="en-US"/>
        </w:rPr>
        <w:t>eFigure</w:t>
      </w:r>
      <w:proofErr w:type="spellEnd"/>
      <w:r w:rsidR="00F04347" w:rsidRPr="00E22350">
        <w:rPr>
          <w:rFonts w:eastAsia="Calibri"/>
          <w:lang w:val="en-US"/>
        </w:rPr>
        <w:t xml:space="preserve"> 6</w:t>
      </w:r>
      <w:r w:rsidRPr="00E22350">
        <w:rPr>
          <w:rFonts w:eastAsia="Calibri"/>
          <w:lang w:val="en-US"/>
        </w:rPr>
        <w:t xml:space="preserve">. </w:t>
      </w:r>
      <w:r w:rsidR="00F04347" w:rsidRPr="00E22350">
        <w:rPr>
          <w:rFonts w:eastAsia="Calibri" w:cs="Calibri"/>
          <w:b w:val="0"/>
          <w:bCs/>
          <w:szCs w:val="24"/>
          <w:lang w:val="en-US"/>
        </w:rPr>
        <w:t>Associations between genus abundance and MDD and SSRI/SNRI treatment</w:t>
      </w:r>
      <w:bookmarkEnd w:id="27"/>
      <w:r w:rsidR="00F04347" w:rsidRPr="00E22350">
        <w:rPr>
          <w:rFonts w:eastAsia="Calibri" w:cs="Calibri"/>
          <w:b w:val="0"/>
          <w:bCs/>
          <w:szCs w:val="24"/>
          <w:lang w:val="en-US"/>
        </w:rPr>
        <w:t xml:space="preserve"> </w:t>
      </w:r>
    </w:p>
    <w:p w14:paraId="63F7A8AE" w14:textId="3FBA55B5" w:rsidR="00F04347" w:rsidRPr="00483771" w:rsidRDefault="00F04347" w:rsidP="00F04347">
      <w:pPr>
        <w:rPr>
          <w:lang w:val="en-US"/>
        </w:rPr>
      </w:pPr>
    </w:p>
    <w:p w14:paraId="6BA1D04F" w14:textId="6A6E435A" w:rsidR="0034697F" w:rsidRPr="0034697F" w:rsidRDefault="00F04347" w:rsidP="0034697F">
      <w:pPr>
        <w:spacing w:before="240" w:after="240"/>
        <w:jc w:val="both"/>
        <w:rPr>
          <w:rFonts w:eastAsia="Calibri" w:cs="Calibri"/>
          <w:sz w:val="20"/>
          <w:szCs w:val="20"/>
          <w:lang w:val="en-US"/>
        </w:rPr>
      </w:pPr>
      <w:r w:rsidRPr="00E22350">
        <w:rPr>
          <w:rFonts w:eastAsia="Calibri" w:cs="Calibri"/>
          <w:sz w:val="20"/>
          <w:szCs w:val="20"/>
          <w:lang w:val="en-US"/>
        </w:rPr>
        <w:t>Heatmaps showing the</w:t>
      </w:r>
      <w:r w:rsidR="00E15593" w:rsidRPr="00E22350">
        <w:rPr>
          <w:rFonts w:eastAsia="Calibri" w:cs="Calibri"/>
          <w:sz w:val="20"/>
          <w:szCs w:val="20"/>
          <w:lang w:val="en-US"/>
        </w:rPr>
        <w:t xml:space="preserve"> beta coefficients (quantile regression, left) or</w:t>
      </w:r>
      <w:r w:rsidRPr="00E22350">
        <w:rPr>
          <w:rFonts w:eastAsia="Calibri" w:cs="Calibri"/>
          <w:sz w:val="20"/>
          <w:szCs w:val="20"/>
          <w:lang w:val="en-US"/>
        </w:rPr>
        <w:t xml:space="preserve"> </w:t>
      </w:r>
      <w:proofErr w:type="spellStart"/>
      <w:r w:rsidRPr="00E22350">
        <w:rPr>
          <w:rFonts w:eastAsia="Calibri" w:cs="Calibri"/>
          <w:sz w:val="20"/>
          <w:szCs w:val="20"/>
          <w:lang w:val="en-US"/>
        </w:rPr>
        <w:t>log</w:t>
      </w:r>
      <w:r w:rsidR="00E15593" w:rsidRPr="00E22350">
        <w:rPr>
          <w:rFonts w:eastAsia="Calibri" w:cs="Calibri"/>
          <w:sz w:val="20"/>
          <w:szCs w:val="20"/>
          <w:lang w:val="en-US"/>
        </w:rPr>
        <w:t>OR</w:t>
      </w:r>
      <w:proofErr w:type="spellEnd"/>
      <w:r w:rsidR="00E15593" w:rsidRPr="00E22350">
        <w:rPr>
          <w:rFonts w:eastAsia="Calibri" w:cs="Calibri"/>
          <w:sz w:val="20"/>
          <w:szCs w:val="20"/>
          <w:lang w:val="en-US"/>
        </w:rPr>
        <w:t xml:space="preserve"> (logistic regression, right) of the </w:t>
      </w:r>
      <w:r w:rsidR="00523E44" w:rsidRPr="00E22350">
        <w:rPr>
          <w:rFonts w:eastAsia="Calibri" w:cs="Calibri"/>
          <w:sz w:val="20"/>
          <w:szCs w:val="20"/>
          <w:lang w:val="en-US"/>
        </w:rPr>
        <w:t xml:space="preserve">group differences </w:t>
      </w:r>
      <w:r w:rsidR="00E15593" w:rsidRPr="00E22350">
        <w:rPr>
          <w:rFonts w:eastAsia="Calibri" w:cs="Calibri"/>
          <w:sz w:val="20"/>
          <w:szCs w:val="20"/>
          <w:lang w:val="en-US"/>
        </w:rPr>
        <w:t xml:space="preserve">between </w:t>
      </w:r>
      <w:r w:rsidR="00E22350" w:rsidRPr="00E22350">
        <w:rPr>
          <w:rFonts w:eastAsia="Calibri" w:cs="Calibri"/>
          <w:sz w:val="20"/>
          <w:szCs w:val="20"/>
          <w:lang w:val="en-US"/>
        </w:rPr>
        <w:t xml:space="preserve">the </w:t>
      </w:r>
      <w:r w:rsidR="00523E44" w:rsidRPr="00E22350">
        <w:rPr>
          <w:rFonts w:eastAsia="Calibri" w:cs="Calibri"/>
          <w:sz w:val="20"/>
          <w:szCs w:val="20"/>
          <w:lang w:val="en-US"/>
        </w:rPr>
        <w:t>MDD (all, SSRI/SNRI, unmedicated) and unaffected control</w:t>
      </w:r>
      <w:r w:rsidR="00E22350" w:rsidRPr="00E22350">
        <w:rPr>
          <w:rFonts w:eastAsia="Calibri" w:cs="Calibri"/>
          <w:sz w:val="20"/>
          <w:szCs w:val="20"/>
          <w:lang w:val="en-US"/>
        </w:rPr>
        <w:t xml:space="preserve"> groups</w:t>
      </w:r>
      <w:r w:rsidR="00523E44" w:rsidRPr="00E22350">
        <w:rPr>
          <w:rFonts w:eastAsia="Calibri" w:cs="Calibri"/>
          <w:sz w:val="20"/>
          <w:szCs w:val="20"/>
          <w:lang w:val="en-US"/>
        </w:rPr>
        <w:t xml:space="preserve">, and of the group differences between </w:t>
      </w:r>
      <w:r w:rsidR="00E22350" w:rsidRPr="00E22350">
        <w:rPr>
          <w:rFonts w:eastAsia="Calibri" w:cs="Calibri"/>
          <w:sz w:val="20"/>
          <w:szCs w:val="20"/>
          <w:lang w:val="en-US"/>
        </w:rPr>
        <w:t xml:space="preserve">the </w:t>
      </w:r>
      <w:r w:rsidR="00523E44" w:rsidRPr="00E22350">
        <w:rPr>
          <w:rFonts w:eastAsia="Calibri" w:cs="Calibri"/>
          <w:sz w:val="20"/>
          <w:szCs w:val="20"/>
          <w:lang w:val="en-US"/>
        </w:rPr>
        <w:t xml:space="preserve">SSRI/SNRI-treated and </w:t>
      </w:r>
      <w:r w:rsidR="00E22350" w:rsidRPr="00E22350">
        <w:rPr>
          <w:rFonts w:eastAsia="Calibri" w:cs="Calibri"/>
          <w:sz w:val="20"/>
          <w:szCs w:val="20"/>
          <w:lang w:val="en-US"/>
        </w:rPr>
        <w:t xml:space="preserve">the </w:t>
      </w:r>
      <w:r w:rsidR="00523E44" w:rsidRPr="00E22350">
        <w:rPr>
          <w:rFonts w:eastAsia="Calibri" w:cs="Calibri"/>
          <w:sz w:val="20"/>
          <w:szCs w:val="20"/>
          <w:lang w:val="en-US"/>
        </w:rPr>
        <w:t xml:space="preserve">unmedicated </w:t>
      </w:r>
      <w:r w:rsidR="00E22350" w:rsidRPr="00E22350">
        <w:rPr>
          <w:rFonts w:eastAsia="Calibri" w:cs="Calibri"/>
          <w:sz w:val="20"/>
          <w:szCs w:val="20"/>
          <w:lang w:val="en-US"/>
        </w:rPr>
        <w:t>MDD groups. H</w:t>
      </w:r>
      <w:r w:rsidRPr="00E22350">
        <w:rPr>
          <w:rFonts w:eastAsia="Calibri" w:cs="Calibri"/>
          <w:sz w:val="20"/>
          <w:szCs w:val="20"/>
          <w:lang w:val="en-US"/>
        </w:rPr>
        <w:t xml:space="preserve">igher </w:t>
      </w:r>
      <w:r w:rsidR="00E22350" w:rsidRPr="00E22350">
        <w:rPr>
          <w:rFonts w:eastAsia="Calibri" w:cs="Calibri"/>
          <w:sz w:val="20"/>
          <w:szCs w:val="20"/>
          <w:lang w:val="en-US"/>
        </w:rPr>
        <w:t>beta coefficients/</w:t>
      </w:r>
      <w:proofErr w:type="spellStart"/>
      <w:r w:rsidRPr="00E22350">
        <w:rPr>
          <w:rFonts w:eastAsia="Calibri" w:cs="Calibri"/>
          <w:sz w:val="20"/>
          <w:szCs w:val="20"/>
          <w:lang w:val="en-US"/>
        </w:rPr>
        <w:t>log</w:t>
      </w:r>
      <w:r w:rsidR="00E22350" w:rsidRPr="00E22350">
        <w:rPr>
          <w:rFonts w:eastAsia="Calibri" w:cs="Calibri"/>
          <w:sz w:val="20"/>
          <w:szCs w:val="20"/>
          <w:lang w:val="en-US"/>
        </w:rPr>
        <w:t>OR</w:t>
      </w:r>
      <w:proofErr w:type="spellEnd"/>
      <w:r w:rsidR="00E22350" w:rsidRPr="00E22350">
        <w:rPr>
          <w:rFonts w:eastAsia="Calibri" w:cs="Calibri"/>
          <w:sz w:val="20"/>
          <w:szCs w:val="20"/>
          <w:lang w:val="en-US"/>
        </w:rPr>
        <w:t xml:space="preserve"> </w:t>
      </w:r>
      <w:r w:rsidRPr="00E22350">
        <w:rPr>
          <w:rFonts w:eastAsia="Calibri" w:cs="Calibri"/>
          <w:sz w:val="20"/>
          <w:szCs w:val="20"/>
          <w:lang w:val="en-US"/>
        </w:rPr>
        <w:t>(red) indicates a higher abundance in the first group of each comparison</w:t>
      </w:r>
      <w:r w:rsidR="00E22350" w:rsidRPr="00E22350">
        <w:rPr>
          <w:rFonts w:eastAsia="Calibri" w:cs="Calibri"/>
          <w:sz w:val="20"/>
          <w:szCs w:val="20"/>
          <w:lang w:val="en-US"/>
        </w:rPr>
        <w:t xml:space="preserve"> (</w:t>
      </w:r>
      <w:proofErr w:type="spellStart"/>
      <w:r w:rsidR="00E22350" w:rsidRPr="00E22350">
        <w:rPr>
          <w:rFonts w:eastAsia="Calibri" w:cs="Calibri"/>
          <w:sz w:val="20"/>
          <w:szCs w:val="20"/>
          <w:lang w:val="en-US"/>
        </w:rPr>
        <w:t>i.e</w:t>
      </w:r>
      <w:proofErr w:type="spellEnd"/>
      <w:r w:rsidR="00E22350" w:rsidRPr="00E22350">
        <w:rPr>
          <w:rFonts w:eastAsia="Calibri" w:cs="Calibri"/>
          <w:sz w:val="20"/>
          <w:szCs w:val="20"/>
          <w:lang w:val="en-US"/>
        </w:rPr>
        <w:t>, the MDD groups in the case-control and the SSRI/SNRI group in the medication comparison).</w:t>
      </w:r>
      <w:bookmarkStart w:id="28" w:name="_9t2c6prai8n3" w:colFirst="0" w:colLast="0"/>
      <w:bookmarkStart w:id="29" w:name="_yzq8nt1vtgr6" w:colFirst="0" w:colLast="0"/>
      <w:bookmarkEnd w:id="28"/>
      <w:bookmarkEnd w:id="29"/>
      <w:r w:rsidR="0034697F">
        <w:rPr>
          <w:lang w:val="en-US"/>
        </w:rPr>
        <w:br w:type="page"/>
      </w:r>
    </w:p>
    <w:p w14:paraId="671FD228" w14:textId="036410CA" w:rsidR="0034697F" w:rsidRPr="00575946" w:rsidRDefault="0034697F" w:rsidP="0034697F">
      <w:pPr>
        <w:pStyle w:val="Kop2"/>
        <w:rPr>
          <w:lang w:val="en-US"/>
        </w:rPr>
      </w:pPr>
      <w:bookmarkStart w:id="30" w:name="_Toc214877561"/>
      <w:r w:rsidRPr="00575946">
        <w:rPr>
          <w:lang w:val="en-US"/>
        </w:rPr>
        <w:lastRenderedPageBreak/>
        <w:t>References</w:t>
      </w:r>
      <w:bookmarkEnd w:id="30"/>
    </w:p>
    <w:p w14:paraId="4205AA4F" w14:textId="77777777" w:rsidR="0034697F" w:rsidRPr="0034697F" w:rsidRDefault="0034697F" w:rsidP="0034697F">
      <w:pPr>
        <w:pStyle w:val="Bibliografie"/>
        <w:rPr>
          <w:rFonts w:cs="Calibri"/>
        </w:rPr>
      </w:pPr>
      <w:r>
        <w:rPr>
          <w:lang w:val="en-US"/>
        </w:rPr>
        <w:fldChar w:fldCharType="begin"/>
      </w:r>
      <w:r w:rsidRPr="00575946">
        <w:rPr>
          <w:lang w:val="en-US"/>
        </w:rPr>
        <w:instrText xml:space="preserve"> ADDIN ZOTERO_BIBL {"uncited":[],"omitted":[],"custom":[]} CSL_BIBLIOGRAPHY </w:instrText>
      </w:r>
      <w:r>
        <w:rPr>
          <w:lang w:val="en-US"/>
        </w:rPr>
        <w:fldChar w:fldCharType="separate"/>
      </w:r>
      <w:r w:rsidRPr="00575946">
        <w:rPr>
          <w:rFonts w:cs="Calibri"/>
          <w:lang w:val="en-US"/>
        </w:rPr>
        <w:t>1.</w:t>
      </w:r>
      <w:r w:rsidRPr="00575946">
        <w:rPr>
          <w:rFonts w:cs="Calibri"/>
          <w:lang w:val="en-US"/>
        </w:rPr>
        <w:tab/>
        <w:t xml:space="preserve">Iovoli, F. </w:t>
      </w:r>
      <w:r w:rsidRPr="00575946">
        <w:rPr>
          <w:rFonts w:cs="Calibri"/>
          <w:i/>
          <w:iCs/>
          <w:lang w:val="en-US"/>
        </w:rPr>
        <w:t>et al.</w:t>
      </w:r>
      <w:r w:rsidRPr="00575946">
        <w:rPr>
          <w:rFonts w:cs="Calibri"/>
          <w:lang w:val="en-US"/>
        </w:rPr>
        <w:t xml:space="preserve"> </w:t>
      </w:r>
      <w:r w:rsidRPr="0034697F">
        <w:rPr>
          <w:rFonts w:cs="Calibri"/>
        </w:rPr>
        <w:t xml:space="preserve">Exploring the complex interrelation between depressive symptoms, risk, and protective factors: A comprehensive network approach. </w:t>
      </w:r>
      <w:r w:rsidRPr="0034697F">
        <w:rPr>
          <w:rFonts w:cs="Calibri"/>
          <w:i/>
          <w:iCs/>
        </w:rPr>
        <w:t>J. Affect. Disord.</w:t>
      </w:r>
      <w:r w:rsidRPr="0034697F">
        <w:rPr>
          <w:rFonts w:cs="Calibri"/>
        </w:rPr>
        <w:t xml:space="preserve"> </w:t>
      </w:r>
      <w:r w:rsidRPr="0034697F">
        <w:rPr>
          <w:rFonts w:cs="Calibri"/>
          <w:b/>
          <w:bCs/>
        </w:rPr>
        <w:t>355</w:t>
      </w:r>
      <w:r w:rsidRPr="0034697F">
        <w:rPr>
          <w:rFonts w:cs="Calibri"/>
        </w:rPr>
        <w:t>, 12–21 (2024).</w:t>
      </w:r>
    </w:p>
    <w:p w14:paraId="6E63833F" w14:textId="77777777" w:rsidR="0034697F" w:rsidRPr="0034697F" w:rsidRDefault="0034697F" w:rsidP="0034697F">
      <w:pPr>
        <w:pStyle w:val="Bibliografie"/>
        <w:rPr>
          <w:rFonts w:cs="Calibri"/>
        </w:rPr>
      </w:pPr>
      <w:r w:rsidRPr="0034697F">
        <w:rPr>
          <w:rFonts w:cs="Calibri"/>
        </w:rPr>
        <w:t>2.</w:t>
      </w:r>
      <w:r w:rsidRPr="0034697F">
        <w:rPr>
          <w:rFonts w:cs="Calibri"/>
        </w:rPr>
        <w:tab/>
        <w:t xml:space="preserve">Vogelbacher, C. </w:t>
      </w:r>
      <w:r w:rsidRPr="0034697F">
        <w:rPr>
          <w:rFonts w:cs="Calibri"/>
          <w:i/>
          <w:iCs/>
        </w:rPr>
        <w:t>et al.</w:t>
      </w:r>
      <w:r w:rsidRPr="0034697F">
        <w:rPr>
          <w:rFonts w:cs="Calibri"/>
        </w:rPr>
        <w:t xml:space="preserve"> The Marburg-Münster Affective Disorders Cohort Study (MACS): A quality assurance protocol for MR neuroimaging data. </w:t>
      </w:r>
      <w:r w:rsidRPr="0034697F">
        <w:rPr>
          <w:rFonts w:cs="Calibri"/>
          <w:i/>
          <w:iCs/>
        </w:rPr>
        <w:t>NeuroImage</w:t>
      </w:r>
      <w:r w:rsidRPr="0034697F">
        <w:rPr>
          <w:rFonts w:cs="Calibri"/>
        </w:rPr>
        <w:t xml:space="preserve"> </w:t>
      </w:r>
      <w:r w:rsidRPr="0034697F">
        <w:rPr>
          <w:rFonts w:cs="Calibri"/>
          <w:b/>
          <w:bCs/>
        </w:rPr>
        <w:t>172</w:t>
      </w:r>
      <w:r w:rsidRPr="0034697F">
        <w:rPr>
          <w:rFonts w:cs="Calibri"/>
        </w:rPr>
        <w:t>, 450–460 (2018).</w:t>
      </w:r>
    </w:p>
    <w:p w14:paraId="7AAEECF6" w14:textId="77777777" w:rsidR="0034697F" w:rsidRPr="0034697F" w:rsidRDefault="0034697F" w:rsidP="0034697F">
      <w:pPr>
        <w:pStyle w:val="Bibliografie"/>
        <w:rPr>
          <w:rFonts w:cs="Calibri"/>
        </w:rPr>
      </w:pPr>
      <w:r w:rsidRPr="0034697F">
        <w:rPr>
          <w:rFonts w:cs="Calibri"/>
        </w:rPr>
        <w:t>3.</w:t>
      </w:r>
      <w:r w:rsidRPr="0034697F">
        <w:rPr>
          <w:rFonts w:cs="Calibri"/>
        </w:rPr>
        <w:tab/>
        <w:t xml:space="preserve">van Eijndhoven, P. </w:t>
      </w:r>
      <w:r w:rsidRPr="0034697F">
        <w:rPr>
          <w:rFonts w:cs="Calibri"/>
          <w:i/>
          <w:iCs/>
        </w:rPr>
        <w:t>et al.</w:t>
      </w:r>
      <w:r w:rsidRPr="0034697F">
        <w:rPr>
          <w:rFonts w:cs="Calibri"/>
        </w:rPr>
        <w:t xml:space="preserve"> Measuring Integrated Novel Dimensions in Neurodevelopmental and Stress-Related Mental Disorders (MIND-SET): Protocol for a Cross-sectional Comorbidity Study From a Research Domain Criteria Perspective. </w:t>
      </w:r>
      <w:r w:rsidRPr="0034697F">
        <w:rPr>
          <w:rFonts w:cs="Calibri"/>
          <w:i/>
          <w:iCs/>
        </w:rPr>
        <w:t>JMIRx Med</w:t>
      </w:r>
      <w:r w:rsidRPr="0034697F">
        <w:rPr>
          <w:rFonts w:cs="Calibri"/>
        </w:rPr>
        <w:t xml:space="preserve"> </w:t>
      </w:r>
      <w:r w:rsidRPr="0034697F">
        <w:rPr>
          <w:rFonts w:cs="Calibri"/>
          <w:b/>
          <w:bCs/>
        </w:rPr>
        <w:t>3</w:t>
      </w:r>
      <w:r w:rsidRPr="0034697F">
        <w:rPr>
          <w:rFonts w:cs="Calibri"/>
        </w:rPr>
        <w:t>, e31269 (2022).</w:t>
      </w:r>
    </w:p>
    <w:p w14:paraId="23C59AEC" w14:textId="77777777" w:rsidR="0034697F" w:rsidRPr="0034697F" w:rsidRDefault="0034697F" w:rsidP="0034697F">
      <w:pPr>
        <w:pStyle w:val="Bibliografie"/>
        <w:rPr>
          <w:rFonts w:cs="Calibri"/>
        </w:rPr>
      </w:pPr>
      <w:r w:rsidRPr="0034697F">
        <w:rPr>
          <w:rFonts w:cs="Calibri"/>
        </w:rPr>
        <w:t>4.</w:t>
      </w:r>
      <w:r w:rsidRPr="0034697F">
        <w:rPr>
          <w:rFonts w:cs="Calibri"/>
        </w:rPr>
        <w:tab/>
        <w:t xml:space="preserve">Fehse, L. </w:t>
      </w:r>
      <w:r w:rsidRPr="0034697F">
        <w:rPr>
          <w:rFonts w:cs="Calibri"/>
          <w:i/>
          <w:iCs/>
        </w:rPr>
        <w:t>et al.</w:t>
      </w:r>
      <w:r w:rsidRPr="0034697F">
        <w:rPr>
          <w:rFonts w:cs="Calibri"/>
        </w:rPr>
        <w:t xml:space="preserve"> From Gut to Brain: Evidence for a Causal Contribution of Gut-Microbiota to Major Depressive Disorder in Humans. Preprint at https://doi.org/10.1101/2024.12.05.24318549 (2024).</w:t>
      </w:r>
    </w:p>
    <w:p w14:paraId="6ED50575" w14:textId="77777777" w:rsidR="0034697F" w:rsidRPr="0034697F" w:rsidRDefault="0034697F" w:rsidP="0034697F">
      <w:pPr>
        <w:pStyle w:val="Bibliografie"/>
        <w:rPr>
          <w:rFonts w:cs="Calibri"/>
        </w:rPr>
      </w:pPr>
      <w:r w:rsidRPr="0034697F">
        <w:rPr>
          <w:rFonts w:cs="Calibri"/>
        </w:rPr>
        <w:t>5.</w:t>
      </w:r>
      <w:r w:rsidRPr="0034697F">
        <w:rPr>
          <w:rFonts w:cs="Calibri"/>
        </w:rPr>
        <w:tab/>
        <w:t xml:space="preserve">Mulder, D. </w:t>
      </w:r>
      <w:r w:rsidRPr="0034697F">
        <w:rPr>
          <w:rFonts w:cs="Calibri"/>
          <w:i/>
          <w:iCs/>
        </w:rPr>
        <w:t>et al.</w:t>
      </w:r>
      <w:r w:rsidRPr="0034697F">
        <w:rPr>
          <w:rFonts w:cs="Calibri"/>
        </w:rPr>
        <w:t xml:space="preserve"> Gut microbiota composition links to variation in functional domains across psychiatric disorders. </w:t>
      </w:r>
      <w:r w:rsidRPr="0034697F">
        <w:rPr>
          <w:rFonts w:cs="Calibri"/>
          <w:i/>
          <w:iCs/>
        </w:rPr>
        <w:t>Brain. Behav. Immun.</w:t>
      </w:r>
      <w:r w:rsidRPr="0034697F">
        <w:rPr>
          <w:rFonts w:cs="Calibri"/>
        </w:rPr>
        <w:t xml:space="preserve"> </w:t>
      </w:r>
      <w:r w:rsidRPr="0034697F">
        <w:rPr>
          <w:rFonts w:cs="Calibri"/>
          <w:b/>
          <w:bCs/>
        </w:rPr>
        <w:t>120</w:t>
      </w:r>
      <w:r w:rsidRPr="0034697F">
        <w:rPr>
          <w:rFonts w:cs="Calibri"/>
        </w:rPr>
        <w:t>, 275–287 (2024).</w:t>
      </w:r>
    </w:p>
    <w:p w14:paraId="7D3F3C68" w14:textId="77777777" w:rsidR="0034697F" w:rsidRPr="0034697F" w:rsidRDefault="0034697F" w:rsidP="0034697F">
      <w:pPr>
        <w:pStyle w:val="Bibliografie"/>
        <w:rPr>
          <w:rFonts w:cs="Calibri"/>
        </w:rPr>
      </w:pPr>
      <w:r w:rsidRPr="0034697F">
        <w:rPr>
          <w:rFonts w:cs="Calibri"/>
        </w:rPr>
        <w:t>6.</w:t>
      </w:r>
      <w:r w:rsidRPr="0034697F">
        <w:rPr>
          <w:rFonts w:cs="Calibri"/>
        </w:rPr>
        <w:tab/>
        <w:t xml:space="preserve">Welzel, M. </w:t>
      </w:r>
      <w:r w:rsidRPr="0034697F">
        <w:rPr>
          <w:rFonts w:cs="Calibri"/>
          <w:i/>
          <w:iCs/>
        </w:rPr>
        <w:t>et al.</w:t>
      </w:r>
      <w:r w:rsidRPr="0034697F">
        <w:rPr>
          <w:rFonts w:cs="Calibri"/>
        </w:rPr>
        <w:t xml:space="preserve"> Natrix: a Snakemake-based workflow for processing, clustering, and taxonomically assigning amplicon sequencing reads. </w:t>
      </w:r>
      <w:r w:rsidRPr="0034697F">
        <w:rPr>
          <w:rFonts w:cs="Calibri"/>
          <w:i/>
          <w:iCs/>
        </w:rPr>
        <w:t>BMC Bioinformatics</w:t>
      </w:r>
      <w:r w:rsidRPr="0034697F">
        <w:rPr>
          <w:rFonts w:cs="Calibri"/>
        </w:rPr>
        <w:t xml:space="preserve"> </w:t>
      </w:r>
      <w:r w:rsidRPr="0034697F">
        <w:rPr>
          <w:rFonts w:cs="Calibri"/>
          <w:b/>
          <w:bCs/>
        </w:rPr>
        <w:t>21</w:t>
      </w:r>
      <w:r w:rsidRPr="0034697F">
        <w:rPr>
          <w:rFonts w:cs="Calibri"/>
        </w:rPr>
        <w:t>, 526 (2020).</w:t>
      </w:r>
    </w:p>
    <w:p w14:paraId="7DFD58FD" w14:textId="77777777" w:rsidR="0034697F" w:rsidRPr="0034697F" w:rsidRDefault="0034697F" w:rsidP="0034697F">
      <w:pPr>
        <w:pStyle w:val="Bibliografie"/>
        <w:rPr>
          <w:rFonts w:cs="Calibri"/>
        </w:rPr>
      </w:pPr>
      <w:r w:rsidRPr="0034697F">
        <w:rPr>
          <w:rFonts w:cs="Calibri"/>
        </w:rPr>
        <w:t>7.</w:t>
      </w:r>
      <w:r w:rsidRPr="0034697F">
        <w:rPr>
          <w:rFonts w:cs="Calibri"/>
        </w:rPr>
        <w:tab/>
        <w:t xml:space="preserve">Quast, C. </w:t>
      </w:r>
      <w:r w:rsidRPr="0034697F">
        <w:rPr>
          <w:rFonts w:cs="Calibri"/>
          <w:i/>
          <w:iCs/>
        </w:rPr>
        <w:t>et al.</w:t>
      </w:r>
      <w:r w:rsidRPr="0034697F">
        <w:rPr>
          <w:rFonts w:cs="Calibri"/>
        </w:rPr>
        <w:t xml:space="preserve"> The SILVA ribosomal RNA gene database project: improved data processing and web-based tools. </w:t>
      </w:r>
      <w:r w:rsidRPr="0034697F">
        <w:rPr>
          <w:rFonts w:cs="Calibri"/>
          <w:i/>
          <w:iCs/>
        </w:rPr>
        <w:t>Nucleic Acids Res.</w:t>
      </w:r>
      <w:r w:rsidRPr="0034697F">
        <w:rPr>
          <w:rFonts w:cs="Calibri"/>
        </w:rPr>
        <w:t xml:space="preserve"> </w:t>
      </w:r>
      <w:r w:rsidRPr="0034697F">
        <w:rPr>
          <w:rFonts w:cs="Calibri"/>
          <w:b/>
          <w:bCs/>
        </w:rPr>
        <w:t>41</w:t>
      </w:r>
      <w:r w:rsidRPr="0034697F">
        <w:rPr>
          <w:rFonts w:cs="Calibri"/>
        </w:rPr>
        <w:t>, D590–D596 (2012).</w:t>
      </w:r>
    </w:p>
    <w:p w14:paraId="7B4BE1CF" w14:textId="77777777" w:rsidR="0034697F" w:rsidRPr="0034697F" w:rsidRDefault="0034697F" w:rsidP="0034697F">
      <w:pPr>
        <w:pStyle w:val="Bibliografie"/>
        <w:rPr>
          <w:rFonts w:cs="Calibri"/>
        </w:rPr>
      </w:pPr>
      <w:r w:rsidRPr="0034697F">
        <w:rPr>
          <w:rFonts w:cs="Calibri"/>
        </w:rPr>
        <w:t>8.</w:t>
      </w:r>
      <w:r w:rsidRPr="0034697F">
        <w:rPr>
          <w:rFonts w:cs="Calibri"/>
        </w:rPr>
        <w:tab/>
        <w:t xml:space="preserve">Bolyen, E. </w:t>
      </w:r>
      <w:r w:rsidRPr="0034697F">
        <w:rPr>
          <w:rFonts w:cs="Calibri"/>
          <w:i/>
          <w:iCs/>
        </w:rPr>
        <w:t>et al.</w:t>
      </w:r>
      <w:r w:rsidRPr="0034697F">
        <w:rPr>
          <w:rFonts w:cs="Calibri"/>
        </w:rPr>
        <w:t xml:space="preserve"> Reproducible, interactive, scalable and extensible microbiome data science using QIIME 2. </w:t>
      </w:r>
      <w:r w:rsidRPr="0034697F">
        <w:rPr>
          <w:rFonts w:cs="Calibri"/>
          <w:i/>
          <w:iCs/>
        </w:rPr>
        <w:t>Nat. Biotechnol.</w:t>
      </w:r>
      <w:r w:rsidRPr="0034697F">
        <w:rPr>
          <w:rFonts w:cs="Calibri"/>
        </w:rPr>
        <w:t xml:space="preserve"> </w:t>
      </w:r>
      <w:r w:rsidRPr="0034697F">
        <w:rPr>
          <w:rFonts w:cs="Calibri"/>
          <w:b/>
          <w:bCs/>
        </w:rPr>
        <w:t>37</w:t>
      </w:r>
      <w:r w:rsidRPr="0034697F">
        <w:rPr>
          <w:rFonts w:cs="Calibri"/>
        </w:rPr>
        <w:t>, 852–857 (2019).</w:t>
      </w:r>
    </w:p>
    <w:p w14:paraId="2922C4CD" w14:textId="77777777" w:rsidR="0034697F" w:rsidRPr="0034697F" w:rsidRDefault="0034697F" w:rsidP="0034697F">
      <w:pPr>
        <w:pStyle w:val="Bibliografie"/>
        <w:rPr>
          <w:rFonts w:cs="Calibri"/>
        </w:rPr>
      </w:pPr>
      <w:r w:rsidRPr="0034697F">
        <w:rPr>
          <w:rFonts w:cs="Calibri"/>
        </w:rPr>
        <w:t>9.</w:t>
      </w:r>
      <w:r w:rsidRPr="0034697F">
        <w:rPr>
          <w:rFonts w:cs="Calibri"/>
        </w:rPr>
        <w:tab/>
        <w:t xml:space="preserve">Callahan, B. J. </w:t>
      </w:r>
      <w:r w:rsidRPr="0034697F">
        <w:rPr>
          <w:rFonts w:cs="Calibri"/>
          <w:i/>
          <w:iCs/>
        </w:rPr>
        <w:t>et al.</w:t>
      </w:r>
      <w:r w:rsidRPr="0034697F">
        <w:rPr>
          <w:rFonts w:cs="Calibri"/>
        </w:rPr>
        <w:t xml:space="preserve"> DADA2: High-resolution sample inference from Illumina amplicon data. </w:t>
      </w:r>
      <w:r w:rsidRPr="0034697F">
        <w:rPr>
          <w:rFonts w:cs="Calibri"/>
          <w:i/>
          <w:iCs/>
        </w:rPr>
        <w:t>Nat. Methods</w:t>
      </w:r>
      <w:r w:rsidRPr="0034697F">
        <w:rPr>
          <w:rFonts w:cs="Calibri"/>
        </w:rPr>
        <w:t xml:space="preserve"> </w:t>
      </w:r>
      <w:r w:rsidRPr="0034697F">
        <w:rPr>
          <w:rFonts w:cs="Calibri"/>
          <w:b/>
          <w:bCs/>
        </w:rPr>
        <w:t>13</w:t>
      </w:r>
      <w:r w:rsidRPr="0034697F">
        <w:rPr>
          <w:rFonts w:cs="Calibri"/>
        </w:rPr>
        <w:t>, 581–583 (2016).</w:t>
      </w:r>
    </w:p>
    <w:p w14:paraId="35E4B707" w14:textId="77777777" w:rsidR="0034697F" w:rsidRPr="0034697F" w:rsidRDefault="0034697F" w:rsidP="0034697F">
      <w:pPr>
        <w:pStyle w:val="Bibliografie"/>
        <w:rPr>
          <w:rFonts w:cs="Calibri"/>
        </w:rPr>
      </w:pPr>
      <w:r w:rsidRPr="0034697F">
        <w:rPr>
          <w:rFonts w:cs="Calibri"/>
        </w:rPr>
        <w:t>10.</w:t>
      </w:r>
      <w:r w:rsidRPr="0034697F">
        <w:rPr>
          <w:rFonts w:cs="Calibri"/>
        </w:rPr>
        <w:tab/>
        <w:t xml:space="preserve">Smarr, K. L. &amp; Keefer, A. L. Measures of depression and depressive symptoms: Beck Depression Inventory‐II (BDI‐II), Center for Epidemiologic Studies Depression Scale (CES‐D), Geriatric </w:t>
      </w:r>
      <w:r w:rsidRPr="0034697F">
        <w:rPr>
          <w:rFonts w:cs="Calibri"/>
        </w:rPr>
        <w:lastRenderedPageBreak/>
        <w:t xml:space="preserve">Depression Scale (GDS), Hospital Anxiety and Depression Scale (HADS), and Patient Health Questionnaire‐9 (PHQ‐9). </w:t>
      </w:r>
      <w:r w:rsidRPr="0034697F">
        <w:rPr>
          <w:rFonts w:cs="Calibri"/>
          <w:i/>
          <w:iCs/>
        </w:rPr>
        <w:t>Arthritis Care Res.</w:t>
      </w:r>
      <w:r w:rsidRPr="0034697F">
        <w:rPr>
          <w:rFonts w:cs="Calibri"/>
        </w:rPr>
        <w:t xml:space="preserve"> </w:t>
      </w:r>
      <w:r w:rsidRPr="0034697F">
        <w:rPr>
          <w:rFonts w:cs="Calibri"/>
          <w:b/>
          <w:bCs/>
        </w:rPr>
        <w:t>63</w:t>
      </w:r>
      <w:r w:rsidRPr="0034697F">
        <w:rPr>
          <w:rFonts w:cs="Calibri"/>
        </w:rPr>
        <w:t>, (2011).</w:t>
      </w:r>
    </w:p>
    <w:p w14:paraId="224E571E" w14:textId="77777777" w:rsidR="0034697F" w:rsidRPr="0034697F" w:rsidRDefault="0034697F" w:rsidP="0034697F">
      <w:pPr>
        <w:pStyle w:val="Bibliografie"/>
        <w:rPr>
          <w:rFonts w:cs="Calibri"/>
        </w:rPr>
      </w:pPr>
      <w:r w:rsidRPr="0034697F">
        <w:rPr>
          <w:rFonts w:cs="Calibri"/>
        </w:rPr>
        <w:t>11.</w:t>
      </w:r>
      <w:r w:rsidRPr="0034697F">
        <w:rPr>
          <w:rFonts w:cs="Calibri"/>
        </w:rPr>
        <w:tab/>
        <w:t xml:space="preserve">Van Eeden, W. A., Van Hemert, A. M., Carlier, I. V. E., Penninx, B. W. &amp; Giltay, E. J. Severity, course trajectory, and within‐person variability of individual symptoms in patients with major depressive disorder. </w:t>
      </w:r>
      <w:r w:rsidRPr="0034697F">
        <w:rPr>
          <w:rFonts w:cs="Calibri"/>
          <w:i/>
          <w:iCs/>
        </w:rPr>
        <w:t>Acta Psychiatr. Scand.</w:t>
      </w:r>
      <w:r w:rsidRPr="0034697F">
        <w:rPr>
          <w:rFonts w:cs="Calibri"/>
        </w:rPr>
        <w:t xml:space="preserve"> </w:t>
      </w:r>
      <w:r w:rsidRPr="0034697F">
        <w:rPr>
          <w:rFonts w:cs="Calibri"/>
          <w:b/>
          <w:bCs/>
        </w:rPr>
        <w:t>139</w:t>
      </w:r>
      <w:r w:rsidRPr="0034697F">
        <w:rPr>
          <w:rFonts w:cs="Calibri"/>
        </w:rPr>
        <w:t>, 194–205 (2019).</w:t>
      </w:r>
    </w:p>
    <w:p w14:paraId="3270EFFE" w14:textId="77777777" w:rsidR="0034697F" w:rsidRPr="0034697F" w:rsidRDefault="0034697F" w:rsidP="0034697F">
      <w:pPr>
        <w:pStyle w:val="Bibliografie"/>
        <w:rPr>
          <w:rFonts w:cs="Calibri"/>
        </w:rPr>
      </w:pPr>
      <w:r w:rsidRPr="0034697F">
        <w:rPr>
          <w:rFonts w:cs="Calibri"/>
        </w:rPr>
        <w:t>12.</w:t>
      </w:r>
      <w:r w:rsidRPr="0034697F">
        <w:rPr>
          <w:rFonts w:cs="Calibri"/>
        </w:rPr>
        <w:tab/>
        <w:t xml:space="preserve">Williams, J. B. W. A Structured Interview Guide for the Hamilton Depression Rating Scale. </w:t>
      </w:r>
      <w:r w:rsidRPr="0034697F">
        <w:rPr>
          <w:rFonts w:cs="Calibri"/>
          <w:i/>
          <w:iCs/>
        </w:rPr>
        <w:t>Arch. Gen. Psychiatry</w:t>
      </w:r>
      <w:r w:rsidRPr="0034697F">
        <w:rPr>
          <w:rFonts w:cs="Calibri"/>
        </w:rPr>
        <w:t xml:space="preserve"> </w:t>
      </w:r>
      <w:r w:rsidRPr="0034697F">
        <w:rPr>
          <w:rFonts w:cs="Calibri"/>
          <w:b/>
          <w:bCs/>
        </w:rPr>
        <w:t>45</w:t>
      </w:r>
      <w:r w:rsidRPr="0034697F">
        <w:rPr>
          <w:rFonts w:cs="Calibri"/>
        </w:rPr>
        <w:t>, 742 (1988).</w:t>
      </w:r>
    </w:p>
    <w:p w14:paraId="31B3B1CD" w14:textId="77777777" w:rsidR="0034697F" w:rsidRPr="0034697F" w:rsidRDefault="0034697F" w:rsidP="0034697F">
      <w:pPr>
        <w:pStyle w:val="Bibliografie"/>
        <w:rPr>
          <w:rFonts w:cs="Calibri"/>
        </w:rPr>
      </w:pPr>
      <w:r w:rsidRPr="0034697F">
        <w:rPr>
          <w:rFonts w:cs="Calibri"/>
        </w:rPr>
        <w:t>13.</w:t>
      </w:r>
      <w:r w:rsidRPr="0034697F">
        <w:rPr>
          <w:rFonts w:cs="Calibri"/>
        </w:rPr>
        <w:tab/>
        <w:t xml:space="preserve">Nöthlings, U., Hoffmann, K., Bergmann, M. M. &amp; Boeing, H. Fitting Portion Sizes in a Self-Administered Food Frequency Questionnaire ,. </w:t>
      </w:r>
      <w:r w:rsidRPr="0034697F">
        <w:rPr>
          <w:rFonts w:cs="Calibri"/>
          <w:i/>
          <w:iCs/>
        </w:rPr>
        <w:t>J. Nutr.</w:t>
      </w:r>
      <w:r w:rsidRPr="0034697F">
        <w:rPr>
          <w:rFonts w:cs="Calibri"/>
        </w:rPr>
        <w:t xml:space="preserve"> </w:t>
      </w:r>
      <w:r w:rsidRPr="0034697F">
        <w:rPr>
          <w:rFonts w:cs="Calibri"/>
          <w:b/>
          <w:bCs/>
        </w:rPr>
        <w:t>137</w:t>
      </w:r>
      <w:r w:rsidRPr="0034697F">
        <w:rPr>
          <w:rFonts w:cs="Calibri"/>
        </w:rPr>
        <w:t>, 2781–2786 (2007).</w:t>
      </w:r>
    </w:p>
    <w:p w14:paraId="55B8C6BC" w14:textId="77777777" w:rsidR="0034697F" w:rsidRPr="0034697F" w:rsidRDefault="0034697F" w:rsidP="0034697F">
      <w:pPr>
        <w:pStyle w:val="Bibliografie"/>
        <w:rPr>
          <w:rFonts w:cs="Calibri"/>
        </w:rPr>
      </w:pPr>
      <w:r w:rsidRPr="0034697F">
        <w:rPr>
          <w:rFonts w:cs="Calibri"/>
        </w:rPr>
        <w:t>14.</w:t>
      </w:r>
      <w:r w:rsidRPr="0034697F">
        <w:rPr>
          <w:rFonts w:cs="Calibri"/>
        </w:rPr>
        <w:tab/>
        <w:t xml:space="preserve">Edwin Thanarajah, S. </w:t>
      </w:r>
      <w:r w:rsidRPr="0034697F">
        <w:rPr>
          <w:rFonts w:cs="Calibri"/>
          <w:i/>
          <w:iCs/>
        </w:rPr>
        <w:t>et al.</w:t>
      </w:r>
      <w:r w:rsidRPr="0034697F">
        <w:rPr>
          <w:rFonts w:cs="Calibri"/>
        </w:rPr>
        <w:t xml:space="preserve"> Soft Drink Consumption and Depression Mediated by Gut Microbiome Alterations. </w:t>
      </w:r>
      <w:r w:rsidRPr="0034697F">
        <w:rPr>
          <w:rFonts w:cs="Calibri"/>
          <w:i/>
          <w:iCs/>
        </w:rPr>
        <w:t>JAMA Psychiatry</w:t>
      </w:r>
      <w:r w:rsidRPr="0034697F">
        <w:rPr>
          <w:rFonts w:cs="Calibri"/>
        </w:rPr>
        <w:t xml:space="preserve"> </w:t>
      </w:r>
      <w:r w:rsidRPr="0034697F">
        <w:rPr>
          <w:rFonts w:cs="Calibri"/>
          <w:b/>
          <w:bCs/>
        </w:rPr>
        <w:t>82</w:t>
      </w:r>
      <w:r w:rsidRPr="0034697F">
        <w:rPr>
          <w:rFonts w:cs="Calibri"/>
        </w:rPr>
        <w:t>, 1095 (2025).</w:t>
      </w:r>
    </w:p>
    <w:p w14:paraId="5296CAA0" w14:textId="066955A9" w:rsidR="00A128D2" w:rsidRPr="00483771" w:rsidRDefault="0034697F">
      <w:pPr>
        <w:rPr>
          <w:lang w:val="en-US"/>
        </w:rPr>
      </w:pPr>
      <w:r>
        <w:rPr>
          <w:lang w:val="en-US"/>
        </w:rPr>
        <w:fldChar w:fldCharType="end"/>
      </w:r>
    </w:p>
    <w:p w14:paraId="45035F00" w14:textId="77777777" w:rsidR="00C706B9" w:rsidRPr="00483771" w:rsidRDefault="00C706B9">
      <w:pPr>
        <w:rPr>
          <w:lang w:val="en-US"/>
        </w:rPr>
      </w:pPr>
    </w:p>
    <w:sectPr w:rsidR="00C706B9" w:rsidRPr="00483771" w:rsidSect="0034697F">
      <w:pgSz w:w="11906" w:h="16838"/>
      <w:pgMar w:top="1440" w:right="1080" w:bottom="1440" w:left="108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347"/>
    <w:rsid w:val="00024694"/>
    <w:rsid w:val="000310D7"/>
    <w:rsid w:val="000352F5"/>
    <w:rsid w:val="000373D3"/>
    <w:rsid w:val="00040E5B"/>
    <w:rsid w:val="00044DEF"/>
    <w:rsid w:val="00097CF8"/>
    <w:rsid w:val="000E3A44"/>
    <w:rsid w:val="000F2277"/>
    <w:rsid w:val="000F3A6A"/>
    <w:rsid w:val="00114021"/>
    <w:rsid w:val="00137A69"/>
    <w:rsid w:val="001946AC"/>
    <w:rsid w:val="001B7336"/>
    <w:rsid w:val="001C4660"/>
    <w:rsid w:val="0020585F"/>
    <w:rsid w:val="00232F66"/>
    <w:rsid w:val="00240177"/>
    <w:rsid w:val="002402BA"/>
    <w:rsid w:val="002B2F1E"/>
    <w:rsid w:val="002B7912"/>
    <w:rsid w:val="002D4AD5"/>
    <w:rsid w:val="002E6E27"/>
    <w:rsid w:val="002F38A2"/>
    <w:rsid w:val="00306AA5"/>
    <w:rsid w:val="0031709E"/>
    <w:rsid w:val="00345BBD"/>
    <w:rsid w:val="0034697F"/>
    <w:rsid w:val="0035186A"/>
    <w:rsid w:val="00383369"/>
    <w:rsid w:val="003870A7"/>
    <w:rsid w:val="003873C8"/>
    <w:rsid w:val="003C6464"/>
    <w:rsid w:val="003D285C"/>
    <w:rsid w:val="003F7A0C"/>
    <w:rsid w:val="00425AA1"/>
    <w:rsid w:val="00483771"/>
    <w:rsid w:val="004901E7"/>
    <w:rsid w:val="00523E44"/>
    <w:rsid w:val="00562F48"/>
    <w:rsid w:val="00575946"/>
    <w:rsid w:val="005947E8"/>
    <w:rsid w:val="005C3E00"/>
    <w:rsid w:val="005F74AA"/>
    <w:rsid w:val="006522CE"/>
    <w:rsid w:val="00666E6F"/>
    <w:rsid w:val="006C1AED"/>
    <w:rsid w:val="006C28C7"/>
    <w:rsid w:val="006F1B85"/>
    <w:rsid w:val="0072169A"/>
    <w:rsid w:val="007449EB"/>
    <w:rsid w:val="00753A4C"/>
    <w:rsid w:val="00781786"/>
    <w:rsid w:val="00785541"/>
    <w:rsid w:val="00785A82"/>
    <w:rsid w:val="00787C08"/>
    <w:rsid w:val="007A1002"/>
    <w:rsid w:val="007A2C69"/>
    <w:rsid w:val="007B4776"/>
    <w:rsid w:val="007D52F9"/>
    <w:rsid w:val="008133DD"/>
    <w:rsid w:val="0082764B"/>
    <w:rsid w:val="0083484D"/>
    <w:rsid w:val="00846464"/>
    <w:rsid w:val="008861C7"/>
    <w:rsid w:val="00890B4D"/>
    <w:rsid w:val="008B7551"/>
    <w:rsid w:val="008D3389"/>
    <w:rsid w:val="008D3830"/>
    <w:rsid w:val="008D416C"/>
    <w:rsid w:val="008E5D47"/>
    <w:rsid w:val="0090046D"/>
    <w:rsid w:val="009043F7"/>
    <w:rsid w:val="009159B7"/>
    <w:rsid w:val="009178AA"/>
    <w:rsid w:val="009213E5"/>
    <w:rsid w:val="009439F4"/>
    <w:rsid w:val="00963A4A"/>
    <w:rsid w:val="00971D8D"/>
    <w:rsid w:val="009777CB"/>
    <w:rsid w:val="009C0545"/>
    <w:rsid w:val="00A128D2"/>
    <w:rsid w:val="00A318DF"/>
    <w:rsid w:val="00A367A5"/>
    <w:rsid w:val="00A46BDE"/>
    <w:rsid w:val="00A566B6"/>
    <w:rsid w:val="00A96251"/>
    <w:rsid w:val="00AB04A0"/>
    <w:rsid w:val="00AC048E"/>
    <w:rsid w:val="00AC0CB8"/>
    <w:rsid w:val="00AC62DD"/>
    <w:rsid w:val="00AD63DC"/>
    <w:rsid w:val="00AF657F"/>
    <w:rsid w:val="00B07A18"/>
    <w:rsid w:val="00B214E2"/>
    <w:rsid w:val="00B23AE7"/>
    <w:rsid w:val="00B51DD7"/>
    <w:rsid w:val="00B71844"/>
    <w:rsid w:val="00BC1206"/>
    <w:rsid w:val="00BD102D"/>
    <w:rsid w:val="00C35C83"/>
    <w:rsid w:val="00C706B9"/>
    <w:rsid w:val="00CA61A1"/>
    <w:rsid w:val="00CB5902"/>
    <w:rsid w:val="00CC04F1"/>
    <w:rsid w:val="00CE1B98"/>
    <w:rsid w:val="00CF0B40"/>
    <w:rsid w:val="00CF1520"/>
    <w:rsid w:val="00D0235A"/>
    <w:rsid w:val="00D11598"/>
    <w:rsid w:val="00D53A89"/>
    <w:rsid w:val="00D72A43"/>
    <w:rsid w:val="00D74463"/>
    <w:rsid w:val="00D81D5C"/>
    <w:rsid w:val="00D90C92"/>
    <w:rsid w:val="00E15593"/>
    <w:rsid w:val="00E203C8"/>
    <w:rsid w:val="00E22350"/>
    <w:rsid w:val="00E30A33"/>
    <w:rsid w:val="00E354D7"/>
    <w:rsid w:val="00E870FF"/>
    <w:rsid w:val="00EA2FFE"/>
    <w:rsid w:val="00EB3FE0"/>
    <w:rsid w:val="00ED5B86"/>
    <w:rsid w:val="00EF5ADB"/>
    <w:rsid w:val="00F04347"/>
    <w:rsid w:val="00F05D10"/>
    <w:rsid w:val="00F70D71"/>
    <w:rsid w:val="00F8339D"/>
    <w:rsid w:val="00F94C27"/>
    <w:rsid w:val="00FA2052"/>
    <w:rsid w:val="00FE52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767C4"/>
  <w15:chartTrackingRefBased/>
  <w15:docId w15:val="{4E95925A-91E7-45D8-B33B-F04ECB27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3771"/>
    <w:pPr>
      <w:spacing w:after="0" w:line="276" w:lineRule="auto"/>
    </w:pPr>
    <w:rPr>
      <w:rFonts w:ascii="Calibri" w:eastAsia="Arial" w:hAnsi="Calibri" w:cs="Arial"/>
      <w:kern w:val="0"/>
      <w:sz w:val="24"/>
      <w:lang w:val="en" w:eastAsia="nl-NL"/>
      <w14:ligatures w14:val="none"/>
    </w:rPr>
  </w:style>
  <w:style w:type="paragraph" w:styleId="Kop1">
    <w:name w:val="heading 1"/>
    <w:basedOn w:val="Standaard"/>
    <w:next w:val="Standaard"/>
    <w:link w:val="Kop1Char"/>
    <w:uiPriority w:val="9"/>
    <w:qFormat/>
    <w:rsid w:val="00F043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F04347"/>
    <w:pPr>
      <w:keepNext/>
      <w:keepLines/>
      <w:spacing w:before="160" w:after="80"/>
      <w:outlineLvl w:val="1"/>
    </w:pPr>
    <w:rPr>
      <w:rFonts w:eastAsiaTheme="majorEastAsia" w:cstheme="majorBidi"/>
      <w:b/>
      <w:kern w:val="2"/>
      <w:szCs w:val="32"/>
      <w:lang w:val="nl-NL" w:eastAsia="en-US"/>
      <w14:ligatures w14:val="standardContextual"/>
    </w:rPr>
  </w:style>
  <w:style w:type="paragraph" w:styleId="Kop3">
    <w:name w:val="heading 3"/>
    <w:basedOn w:val="Standaard"/>
    <w:next w:val="Standaard"/>
    <w:link w:val="Kop3Char"/>
    <w:uiPriority w:val="9"/>
    <w:unhideWhenUsed/>
    <w:qFormat/>
    <w:rsid w:val="00024694"/>
    <w:pPr>
      <w:keepNext/>
      <w:keepLines/>
      <w:spacing w:before="160" w:after="80"/>
      <w:outlineLvl w:val="2"/>
    </w:pPr>
    <w:rPr>
      <w:rFonts w:eastAsiaTheme="majorEastAsia" w:cstheme="majorBidi"/>
      <w:b/>
      <w:i/>
      <w:kern w:val="2"/>
      <w:szCs w:val="28"/>
      <w:lang w:val="nl-NL" w:eastAsia="en-US"/>
      <w14:ligatures w14:val="standardContextual"/>
    </w:rPr>
  </w:style>
  <w:style w:type="paragraph" w:styleId="Kop4">
    <w:name w:val="heading 4"/>
    <w:basedOn w:val="Standaard"/>
    <w:next w:val="Standaard"/>
    <w:link w:val="Kop4Char"/>
    <w:uiPriority w:val="9"/>
    <w:unhideWhenUsed/>
    <w:qFormat/>
    <w:rsid w:val="00F0434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0434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04347"/>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04347"/>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04347"/>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04347"/>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0434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F04347"/>
    <w:rPr>
      <w:rFonts w:ascii="Calibri" w:eastAsiaTheme="majorEastAsia" w:hAnsi="Calibri" w:cstheme="majorBidi"/>
      <w:b/>
      <w:sz w:val="24"/>
      <w:szCs w:val="32"/>
    </w:rPr>
  </w:style>
  <w:style w:type="character" w:customStyle="1" w:styleId="Kop3Char">
    <w:name w:val="Kop 3 Char"/>
    <w:basedOn w:val="Standaardalinea-lettertype"/>
    <w:link w:val="Kop3"/>
    <w:uiPriority w:val="9"/>
    <w:rsid w:val="00024694"/>
    <w:rPr>
      <w:rFonts w:ascii="Calibri" w:eastAsiaTheme="majorEastAsia" w:hAnsi="Calibri" w:cstheme="majorBidi"/>
      <w:b/>
      <w:i/>
      <w:sz w:val="24"/>
      <w:szCs w:val="28"/>
    </w:rPr>
  </w:style>
  <w:style w:type="character" w:customStyle="1" w:styleId="Kop4Char">
    <w:name w:val="Kop 4 Char"/>
    <w:basedOn w:val="Standaardalinea-lettertype"/>
    <w:link w:val="Kop4"/>
    <w:uiPriority w:val="9"/>
    <w:semiHidden/>
    <w:rsid w:val="00F0434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0434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0434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0434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0434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04347"/>
    <w:rPr>
      <w:rFonts w:eastAsiaTheme="majorEastAsia" w:cstheme="majorBidi"/>
      <w:color w:val="272727" w:themeColor="text1" w:themeTint="D8"/>
    </w:rPr>
  </w:style>
  <w:style w:type="paragraph" w:styleId="Titel">
    <w:name w:val="Title"/>
    <w:basedOn w:val="Standaard"/>
    <w:next w:val="Standaard"/>
    <w:link w:val="TitelChar"/>
    <w:uiPriority w:val="10"/>
    <w:qFormat/>
    <w:rsid w:val="00F04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0434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0434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0434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0434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04347"/>
    <w:rPr>
      <w:i/>
      <w:iCs/>
      <w:color w:val="404040" w:themeColor="text1" w:themeTint="BF"/>
    </w:rPr>
  </w:style>
  <w:style w:type="paragraph" w:styleId="Lijstalinea">
    <w:name w:val="List Paragraph"/>
    <w:basedOn w:val="Standaard"/>
    <w:uiPriority w:val="34"/>
    <w:qFormat/>
    <w:rsid w:val="00F04347"/>
    <w:pPr>
      <w:ind w:left="720"/>
      <w:contextualSpacing/>
    </w:pPr>
  </w:style>
  <w:style w:type="character" w:styleId="Intensievebenadrukking">
    <w:name w:val="Intense Emphasis"/>
    <w:basedOn w:val="Standaardalinea-lettertype"/>
    <w:uiPriority w:val="21"/>
    <w:qFormat/>
    <w:rsid w:val="00F04347"/>
    <w:rPr>
      <w:i/>
      <w:iCs/>
      <w:color w:val="0F4761" w:themeColor="accent1" w:themeShade="BF"/>
    </w:rPr>
  </w:style>
  <w:style w:type="paragraph" w:styleId="Duidelijkcitaat">
    <w:name w:val="Intense Quote"/>
    <w:basedOn w:val="Standaard"/>
    <w:next w:val="Standaard"/>
    <w:link w:val="DuidelijkcitaatChar"/>
    <w:uiPriority w:val="30"/>
    <w:qFormat/>
    <w:rsid w:val="00F043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04347"/>
    <w:rPr>
      <w:i/>
      <w:iCs/>
      <w:color w:val="0F4761" w:themeColor="accent1" w:themeShade="BF"/>
    </w:rPr>
  </w:style>
  <w:style w:type="character" w:styleId="Intensieveverwijzing">
    <w:name w:val="Intense Reference"/>
    <w:basedOn w:val="Standaardalinea-lettertype"/>
    <w:uiPriority w:val="32"/>
    <w:qFormat/>
    <w:rsid w:val="00F04347"/>
    <w:rPr>
      <w:b/>
      <w:bCs/>
      <w:smallCaps/>
      <w:color w:val="0F4761" w:themeColor="accent1" w:themeShade="BF"/>
      <w:spacing w:val="5"/>
    </w:rPr>
  </w:style>
  <w:style w:type="table" w:customStyle="1" w:styleId="2">
    <w:name w:val="2"/>
    <w:basedOn w:val="Standaardtabel"/>
    <w:rsid w:val="00F04347"/>
    <w:pPr>
      <w:spacing w:after="0" w:line="276" w:lineRule="auto"/>
    </w:pPr>
    <w:rPr>
      <w:rFonts w:ascii="Arial" w:eastAsia="Arial" w:hAnsi="Arial" w:cs="Arial"/>
      <w:kern w:val="0"/>
      <w:lang w:val="en" w:eastAsia="nl-NL"/>
      <w14:ligatures w14:val="none"/>
    </w:rPr>
    <w:tblPr>
      <w:tblStyleRowBandSize w:val="1"/>
      <w:tblStyleColBandSize w:val="1"/>
      <w:tblInd w:w="0" w:type="nil"/>
      <w:tblCellMar>
        <w:top w:w="100" w:type="dxa"/>
        <w:left w:w="100" w:type="dxa"/>
        <w:bottom w:w="100" w:type="dxa"/>
        <w:right w:w="100" w:type="dxa"/>
      </w:tblCellMar>
    </w:tblPr>
  </w:style>
  <w:style w:type="table" w:customStyle="1" w:styleId="1">
    <w:name w:val="1"/>
    <w:basedOn w:val="Standaardtabel"/>
    <w:rsid w:val="00F04347"/>
    <w:pPr>
      <w:spacing w:after="0" w:line="276" w:lineRule="auto"/>
    </w:pPr>
    <w:rPr>
      <w:rFonts w:ascii="Arial" w:eastAsia="Arial" w:hAnsi="Arial" w:cs="Arial"/>
      <w:kern w:val="0"/>
      <w:lang w:val="en" w:eastAsia="nl-NL"/>
      <w14:ligatures w14:val="none"/>
    </w:rPr>
    <w:tblPr>
      <w:tblStyleRowBandSize w:val="1"/>
      <w:tblStyleColBandSize w:val="1"/>
      <w:tblInd w:w="0" w:type="nil"/>
      <w:tblCellMar>
        <w:top w:w="100" w:type="dxa"/>
        <w:left w:w="100" w:type="dxa"/>
        <w:bottom w:w="100" w:type="dxa"/>
        <w:right w:w="100" w:type="dxa"/>
      </w:tblCellMar>
    </w:tblPr>
  </w:style>
  <w:style w:type="paragraph" w:styleId="Tekstopmerking">
    <w:name w:val="annotation text"/>
    <w:basedOn w:val="Standaard"/>
    <w:link w:val="TekstopmerkingChar"/>
    <w:uiPriority w:val="99"/>
    <w:unhideWhenUsed/>
    <w:rsid w:val="00F04347"/>
    <w:pPr>
      <w:spacing w:line="240" w:lineRule="auto"/>
    </w:pPr>
    <w:rPr>
      <w:sz w:val="20"/>
      <w:szCs w:val="20"/>
    </w:rPr>
  </w:style>
  <w:style w:type="character" w:customStyle="1" w:styleId="TekstopmerkingChar">
    <w:name w:val="Tekst opmerking Char"/>
    <w:basedOn w:val="Standaardalinea-lettertype"/>
    <w:link w:val="Tekstopmerking"/>
    <w:uiPriority w:val="99"/>
    <w:rsid w:val="00F04347"/>
    <w:rPr>
      <w:rFonts w:ascii="Arial" w:eastAsia="Arial" w:hAnsi="Arial" w:cs="Arial"/>
      <w:kern w:val="0"/>
      <w:sz w:val="20"/>
      <w:szCs w:val="20"/>
      <w:lang w:val="en" w:eastAsia="nl-NL"/>
      <w14:ligatures w14:val="none"/>
    </w:rPr>
  </w:style>
  <w:style w:type="character" w:styleId="Verwijzingopmerking">
    <w:name w:val="annotation reference"/>
    <w:basedOn w:val="Standaardalinea-lettertype"/>
    <w:uiPriority w:val="99"/>
    <w:semiHidden/>
    <w:unhideWhenUsed/>
    <w:rsid w:val="00F04347"/>
    <w:rPr>
      <w:sz w:val="16"/>
      <w:szCs w:val="16"/>
    </w:rPr>
  </w:style>
  <w:style w:type="paragraph" w:styleId="Geenafstand">
    <w:name w:val="No Spacing"/>
    <w:uiPriority w:val="1"/>
    <w:qFormat/>
    <w:rsid w:val="00F04347"/>
    <w:pPr>
      <w:spacing w:after="0" w:line="240" w:lineRule="auto"/>
    </w:pPr>
    <w:rPr>
      <w:rFonts w:ascii="Arial" w:eastAsia="Arial" w:hAnsi="Arial" w:cs="Arial"/>
      <w:kern w:val="0"/>
      <w:lang w:val="en"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F04347"/>
    <w:rPr>
      <w:b/>
      <w:bCs/>
    </w:rPr>
  </w:style>
  <w:style w:type="character" w:customStyle="1" w:styleId="OnderwerpvanopmerkingChar">
    <w:name w:val="Onderwerp van opmerking Char"/>
    <w:basedOn w:val="TekstopmerkingChar"/>
    <w:link w:val="Onderwerpvanopmerking"/>
    <w:uiPriority w:val="99"/>
    <w:semiHidden/>
    <w:rsid w:val="00F04347"/>
    <w:rPr>
      <w:rFonts w:ascii="Arial" w:eastAsia="Arial" w:hAnsi="Arial" w:cs="Arial"/>
      <w:b/>
      <w:bCs/>
      <w:kern w:val="0"/>
      <w:sz w:val="20"/>
      <w:szCs w:val="20"/>
      <w:lang w:val="en" w:eastAsia="nl-NL"/>
      <w14:ligatures w14:val="none"/>
    </w:rPr>
  </w:style>
  <w:style w:type="paragraph" w:styleId="Normaalweb">
    <w:name w:val="Normal (Web)"/>
    <w:basedOn w:val="Standaard"/>
    <w:uiPriority w:val="99"/>
    <w:semiHidden/>
    <w:unhideWhenUsed/>
    <w:rsid w:val="009178AA"/>
    <w:rPr>
      <w:rFonts w:ascii="Times New Roman" w:hAnsi="Times New Roman" w:cs="Times New Roman"/>
      <w:szCs w:val="24"/>
    </w:rPr>
  </w:style>
  <w:style w:type="character" w:styleId="Hyperlink">
    <w:name w:val="Hyperlink"/>
    <w:basedOn w:val="Standaardalinea-lettertype"/>
    <w:uiPriority w:val="99"/>
    <w:unhideWhenUsed/>
    <w:rsid w:val="00D74463"/>
    <w:rPr>
      <w:color w:val="467886" w:themeColor="hyperlink"/>
      <w:u w:val="single"/>
    </w:rPr>
  </w:style>
  <w:style w:type="character" w:styleId="Onopgelostemelding">
    <w:name w:val="Unresolved Mention"/>
    <w:basedOn w:val="Standaardalinea-lettertype"/>
    <w:uiPriority w:val="99"/>
    <w:semiHidden/>
    <w:unhideWhenUsed/>
    <w:rsid w:val="00D74463"/>
    <w:rPr>
      <w:color w:val="605E5C"/>
      <w:shd w:val="clear" w:color="auto" w:fill="E1DFDD"/>
    </w:rPr>
  </w:style>
  <w:style w:type="paragraph" w:styleId="Kopvaninhoudsopgave">
    <w:name w:val="TOC Heading"/>
    <w:basedOn w:val="Kop1"/>
    <w:next w:val="Standaard"/>
    <w:uiPriority w:val="39"/>
    <w:unhideWhenUsed/>
    <w:qFormat/>
    <w:rsid w:val="00E22350"/>
    <w:pPr>
      <w:spacing w:before="240" w:after="0" w:line="259" w:lineRule="auto"/>
      <w:outlineLvl w:val="9"/>
    </w:pPr>
    <w:rPr>
      <w:sz w:val="32"/>
      <w:szCs w:val="32"/>
      <w:lang w:val="nl-NL"/>
    </w:rPr>
  </w:style>
  <w:style w:type="paragraph" w:styleId="Inhopg2">
    <w:name w:val="toc 2"/>
    <w:basedOn w:val="Standaard"/>
    <w:next w:val="Standaard"/>
    <w:autoRedefine/>
    <w:uiPriority w:val="39"/>
    <w:unhideWhenUsed/>
    <w:rsid w:val="00A318DF"/>
    <w:pPr>
      <w:tabs>
        <w:tab w:val="right" w:leader="dot" w:pos="9736"/>
      </w:tabs>
      <w:spacing w:after="100"/>
      <w:ind w:left="240"/>
    </w:pPr>
    <w:rPr>
      <w:rFonts w:eastAsia="Calibri" w:cs="Calibri"/>
      <w:b/>
      <w:bCs/>
      <w:noProof/>
      <w:lang w:val="en-US"/>
    </w:rPr>
  </w:style>
  <w:style w:type="paragraph" w:styleId="Inhopg3">
    <w:name w:val="toc 3"/>
    <w:basedOn w:val="Standaard"/>
    <w:next w:val="Standaard"/>
    <w:autoRedefine/>
    <w:uiPriority w:val="39"/>
    <w:unhideWhenUsed/>
    <w:rsid w:val="00E22350"/>
    <w:pPr>
      <w:spacing w:after="100"/>
      <w:ind w:left="480"/>
    </w:pPr>
  </w:style>
  <w:style w:type="paragraph" w:styleId="Inhopg1">
    <w:name w:val="toc 1"/>
    <w:basedOn w:val="Standaard"/>
    <w:next w:val="Standaard"/>
    <w:autoRedefine/>
    <w:uiPriority w:val="39"/>
    <w:unhideWhenUsed/>
    <w:rsid w:val="00E22350"/>
    <w:pPr>
      <w:spacing w:after="100"/>
    </w:pPr>
  </w:style>
  <w:style w:type="paragraph" w:styleId="Bibliografie">
    <w:name w:val="Bibliography"/>
    <w:basedOn w:val="Standaard"/>
    <w:next w:val="Standaard"/>
    <w:uiPriority w:val="37"/>
    <w:unhideWhenUsed/>
    <w:rsid w:val="0034697F"/>
    <w:pPr>
      <w:tabs>
        <w:tab w:val="left" w:pos="384"/>
      </w:tabs>
      <w:spacing w:line="480" w:lineRule="auto"/>
      <w:ind w:left="384" w:hanging="384"/>
    </w:pPr>
  </w:style>
  <w:style w:type="character" w:styleId="Regelnummer">
    <w:name w:val="line number"/>
    <w:basedOn w:val="Standaardalinea-lettertype"/>
    <w:uiPriority w:val="99"/>
    <w:semiHidden/>
    <w:unhideWhenUsed/>
    <w:rsid w:val="00346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58952">
      <w:bodyDiv w:val="1"/>
      <w:marLeft w:val="0"/>
      <w:marRight w:val="0"/>
      <w:marTop w:val="0"/>
      <w:marBottom w:val="0"/>
      <w:divBdr>
        <w:top w:val="none" w:sz="0" w:space="0" w:color="auto"/>
        <w:left w:val="none" w:sz="0" w:space="0" w:color="auto"/>
        <w:bottom w:val="none" w:sz="0" w:space="0" w:color="auto"/>
        <w:right w:val="none" w:sz="0" w:space="0" w:color="auto"/>
      </w:divBdr>
      <w:divsChild>
        <w:div w:id="1376391760">
          <w:marLeft w:val="0"/>
          <w:marRight w:val="0"/>
          <w:marTop w:val="0"/>
          <w:marBottom w:val="0"/>
          <w:divBdr>
            <w:top w:val="none" w:sz="0" w:space="0" w:color="auto"/>
            <w:left w:val="none" w:sz="0" w:space="0" w:color="auto"/>
            <w:bottom w:val="none" w:sz="0" w:space="0" w:color="auto"/>
            <w:right w:val="none" w:sz="0" w:space="0" w:color="auto"/>
          </w:divBdr>
          <w:divsChild>
            <w:div w:id="1894923734">
              <w:marLeft w:val="0"/>
              <w:marRight w:val="0"/>
              <w:marTop w:val="0"/>
              <w:marBottom w:val="0"/>
              <w:divBdr>
                <w:top w:val="none" w:sz="0" w:space="0" w:color="auto"/>
                <w:left w:val="none" w:sz="0" w:space="0" w:color="auto"/>
                <w:bottom w:val="none" w:sz="0" w:space="0" w:color="auto"/>
                <w:right w:val="none" w:sz="0" w:space="0" w:color="auto"/>
              </w:divBdr>
              <w:divsChild>
                <w:div w:id="1399742590">
                  <w:marLeft w:val="0"/>
                  <w:marRight w:val="0"/>
                  <w:marTop w:val="0"/>
                  <w:marBottom w:val="0"/>
                  <w:divBdr>
                    <w:top w:val="none" w:sz="0" w:space="0" w:color="auto"/>
                    <w:left w:val="none" w:sz="0" w:space="0" w:color="auto"/>
                    <w:bottom w:val="none" w:sz="0" w:space="0" w:color="auto"/>
                    <w:right w:val="none" w:sz="0" w:space="0" w:color="auto"/>
                  </w:divBdr>
                  <w:divsChild>
                    <w:div w:id="307174104">
                      <w:marLeft w:val="0"/>
                      <w:marRight w:val="0"/>
                      <w:marTop w:val="0"/>
                      <w:marBottom w:val="0"/>
                      <w:divBdr>
                        <w:top w:val="none" w:sz="0" w:space="0" w:color="auto"/>
                        <w:left w:val="none" w:sz="0" w:space="0" w:color="auto"/>
                        <w:bottom w:val="none" w:sz="0" w:space="0" w:color="auto"/>
                        <w:right w:val="none" w:sz="0" w:space="0" w:color="auto"/>
                      </w:divBdr>
                      <w:divsChild>
                        <w:div w:id="1376924256">
                          <w:marLeft w:val="0"/>
                          <w:marRight w:val="0"/>
                          <w:marTop w:val="0"/>
                          <w:marBottom w:val="0"/>
                          <w:divBdr>
                            <w:top w:val="none" w:sz="0" w:space="0" w:color="auto"/>
                            <w:left w:val="none" w:sz="0" w:space="0" w:color="auto"/>
                            <w:bottom w:val="none" w:sz="0" w:space="0" w:color="auto"/>
                            <w:right w:val="none" w:sz="0" w:space="0" w:color="auto"/>
                          </w:divBdr>
                          <w:divsChild>
                            <w:div w:id="13228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170462">
      <w:bodyDiv w:val="1"/>
      <w:marLeft w:val="0"/>
      <w:marRight w:val="0"/>
      <w:marTop w:val="0"/>
      <w:marBottom w:val="0"/>
      <w:divBdr>
        <w:top w:val="none" w:sz="0" w:space="0" w:color="auto"/>
        <w:left w:val="none" w:sz="0" w:space="0" w:color="auto"/>
        <w:bottom w:val="none" w:sz="0" w:space="0" w:color="auto"/>
        <w:right w:val="none" w:sz="0" w:space="0" w:color="auto"/>
      </w:divBdr>
      <w:divsChild>
        <w:div w:id="1927836227">
          <w:marLeft w:val="0"/>
          <w:marRight w:val="0"/>
          <w:marTop w:val="0"/>
          <w:marBottom w:val="0"/>
          <w:divBdr>
            <w:top w:val="none" w:sz="0" w:space="0" w:color="auto"/>
            <w:left w:val="none" w:sz="0" w:space="0" w:color="auto"/>
            <w:bottom w:val="none" w:sz="0" w:space="0" w:color="auto"/>
            <w:right w:val="none" w:sz="0" w:space="0" w:color="auto"/>
          </w:divBdr>
          <w:divsChild>
            <w:div w:id="482505168">
              <w:marLeft w:val="0"/>
              <w:marRight w:val="0"/>
              <w:marTop w:val="0"/>
              <w:marBottom w:val="0"/>
              <w:divBdr>
                <w:top w:val="none" w:sz="0" w:space="0" w:color="auto"/>
                <w:left w:val="none" w:sz="0" w:space="0" w:color="auto"/>
                <w:bottom w:val="none" w:sz="0" w:space="0" w:color="auto"/>
                <w:right w:val="none" w:sz="0" w:space="0" w:color="auto"/>
              </w:divBdr>
              <w:divsChild>
                <w:div w:id="738481752">
                  <w:marLeft w:val="0"/>
                  <w:marRight w:val="0"/>
                  <w:marTop w:val="0"/>
                  <w:marBottom w:val="0"/>
                  <w:divBdr>
                    <w:top w:val="none" w:sz="0" w:space="0" w:color="auto"/>
                    <w:left w:val="none" w:sz="0" w:space="0" w:color="auto"/>
                    <w:bottom w:val="none" w:sz="0" w:space="0" w:color="auto"/>
                    <w:right w:val="none" w:sz="0" w:space="0" w:color="auto"/>
                  </w:divBdr>
                  <w:divsChild>
                    <w:div w:id="2054425148">
                      <w:marLeft w:val="0"/>
                      <w:marRight w:val="0"/>
                      <w:marTop w:val="0"/>
                      <w:marBottom w:val="0"/>
                      <w:divBdr>
                        <w:top w:val="none" w:sz="0" w:space="0" w:color="auto"/>
                        <w:left w:val="none" w:sz="0" w:space="0" w:color="auto"/>
                        <w:bottom w:val="none" w:sz="0" w:space="0" w:color="auto"/>
                        <w:right w:val="none" w:sz="0" w:space="0" w:color="auto"/>
                      </w:divBdr>
                      <w:divsChild>
                        <w:div w:id="1809712361">
                          <w:marLeft w:val="0"/>
                          <w:marRight w:val="0"/>
                          <w:marTop w:val="0"/>
                          <w:marBottom w:val="0"/>
                          <w:divBdr>
                            <w:top w:val="none" w:sz="0" w:space="0" w:color="auto"/>
                            <w:left w:val="none" w:sz="0" w:space="0" w:color="auto"/>
                            <w:bottom w:val="none" w:sz="0" w:space="0" w:color="auto"/>
                            <w:right w:val="none" w:sz="0" w:space="0" w:color="auto"/>
                          </w:divBdr>
                          <w:divsChild>
                            <w:div w:id="1167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799956">
      <w:bodyDiv w:val="1"/>
      <w:marLeft w:val="0"/>
      <w:marRight w:val="0"/>
      <w:marTop w:val="0"/>
      <w:marBottom w:val="0"/>
      <w:divBdr>
        <w:top w:val="none" w:sz="0" w:space="0" w:color="auto"/>
        <w:left w:val="none" w:sz="0" w:space="0" w:color="auto"/>
        <w:bottom w:val="none" w:sz="0" w:space="0" w:color="auto"/>
        <w:right w:val="none" w:sz="0" w:space="0" w:color="auto"/>
      </w:divBdr>
    </w:div>
    <w:div w:id="1172837422">
      <w:bodyDiv w:val="1"/>
      <w:marLeft w:val="0"/>
      <w:marRight w:val="0"/>
      <w:marTop w:val="0"/>
      <w:marBottom w:val="0"/>
      <w:divBdr>
        <w:top w:val="none" w:sz="0" w:space="0" w:color="auto"/>
        <w:left w:val="none" w:sz="0" w:space="0" w:color="auto"/>
        <w:bottom w:val="none" w:sz="0" w:space="0" w:color="auto"/>
        <w:right w:val="none" w:sz="0" w:space="0" w:color="auto"/>
      </w:divBdr>
    </w:div>
    <w:div w:id="208070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5C907-7D24-4A45-86F6-B0A3C977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9802</Words>
  <Characters>53914</Characters>
  <Application>Microsoft Office Word</Application>
  <DocSecurity>0</DocSecurity>
  <Lines>449</Lines>
  <Paragraphs>127</Paragraphs>
  <ScaleCrop>false</ScaleCrop>
  <HeadingPairs>
    <vt:vector size="2" baseType="variant">
      <vt:variant>
        <vt:lpstr>Titel</vt:lpstr>
      </vt:variant>
      <vt:variant>
        <vt:i4>1</vt:i4>
      </vt:variant>
    </vt:vector>
  </HeadingPairs>
  <TitlesOfParts>
    <vt:vector size="1" baseType="lpstr">
      <vt:lpstr/>
    </vt:vector>
  </TitlesOfParts>
  <Company>RaboudUMC</Company>
  <LinksUpToDate>false</LinksUpToDate>
  <CharactersWithSpaces>63589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 Danique</dc:creator>
  <cp:keywords/>
  <dc:description/>
  <cp:lastModifiedBy>Mulder, Danique</cp:lastModifiedBy>
  <cp:revision>7</cp:revision>
  <dcterms:created xsi:type="dcterms:W3CDTF">2025-11-10T14:42:00Z</dcterms:created>
  <dcterms:modified xsi:type="dcterms:W3CDTF">2025-11-24T10:52:00Z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id="ypwq0ubp"/&gt;&lt;style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