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2DA5D" w14:textId="77777777" w:rsidR="00A66DC8" w:rsidRPr="00A66DC8" w:rsidRDefault="00A66DC8" w:rsidP="00A66DC8">
      <w:pPr>
        <w:rPr>
          <w:rFonts w:ascii="Times New Roman" w:hAnsi="Times New Roman" w:cs="Times New Roman"/>
          <w:b/>
          <w:sz w:val="24"/>
          <w:szCs w:val="24"/>
          <w:lang w:val="en-US"/>
        </w:rPr>
      </w:pPr>
      <w:r w:rsidRPr="00A66DC8">
        <w:rPr>
          <w:rFonts w:ascii="Times New Roman" w:hAnsi="Times New Roman" w:cs="Times New Roman"/>
          <w:b/>
          <w:sz w:val="24"/>
          <w:szCs w:val="24"/>
          <w:lang w:val="en-US"/>
        </w:rPr>
        <w:t>Supplementary Information</w:t>
      </w:r>
    </w:p>
    <w:p w14:paraId="63901A6B" w14:textId="77777777" w:rsidR="00A66DC8" w:rsidRPr="00A66DC8" w:rsidRDefault="00A66DC8" w:rsidP="00A66DC8">
      <w:pPr>
        <w:rPr>
          <w:rFonts w:ascii="Times New Roman" w:hAnsi="Times New Roman" w:cs="Times New Roman"/>
          <w:b/>
          <w:sz w:val="24"/>
          <w:szCs w:val="24"/>
          <w:lang w:val="en-GB"/>
        </w:rPr>
      </w:pPr>
      <w:r w:rsidRPr="00A66DC8">
        <w:rPr>
          <w:rFonts w:ascii="Times New Roman" w:hAnsi="Times New Roman" w:cs="Times New Roman"/>
          <w:b/>
          <w:bCs/>
          <w:sz w:val="24"/>
          <w:szCs w:val="24"/>
          <w:lang w:val="en-GB"/>
        </w:rPr>
        <w:t>Trading deforestation - Why the legality of forest-risk commodities is insufficient</w:t>
      </w:r>
    </w:p>
    <w:p w14:paraId="2A5265CC" w14:textId="77777777" w:rsidR="00A66DC8" w:rsidRPr="00A66DC8" w:rsidRDefault="00A66DC8" w:rsidP="00A66DC8">
      <w:pPr>
        <w:rPr>
          <w:rFonts w:ascii="Times New Roman" w:hAnsi="Times New Roman" w:cs="Times New Roman"/>
          <w:sz w:val="24"/>
          <w:szCs w:val="24"/>
        </w:rPr>
      </w:pPr>
      <w:r w:rsidRPr="00A66DC8">
        <w:rPr>
          <w:rFonts w:ascii="Times New Roman" w:hAnsi="Times New Roman" w:cs="Times New Roman"/>
          <w:b/>
          <w:sz w:val="24"/>
          <w:szCs w:val="24"/>
        </w:rPr>
        <w:t>Authors:</w:t>
      </w:r>
      <w:r w:rsidRPr="00A66DC8">
        <w:rPr>
          <w:rFonts w:ascii="Times New Roman" w:hAnsi="Times New Roman" w:cs="Times New Roman"/>
          <w:sz w:val="24"/>
          <w:szCs w:val="24"/>
        </w:rPr>
        <w:t xml:space="preserve"> Tiago N. P. dos Reis</w:t>
      </w:r>
      <w:r w:rsidRPr="00A66DC8">
        <w:rPr>
          <w:rFonts w:ascii="Times New Roman" w:hAnsi="Times New Roman" w:cs="Times New Roman"/>
          <w:sz w:val="24"/>
          <w:szCs w:val="24"/>
          <w:vertAlign w:val="superscript"/>
        </w:rPr>
        <w:t>1*</w:t>
      </w:r>
      <w:r w:rsidRPr="00A66DC8">
        <w:rPr>
          <w:rFonts w:ascii="Times New Roman" w:hAnsi="Times New Roman" w:cs="Times New Roman"/>
          <w:sz w:val="24"/>
          <w:szCs w:val="24"/>
        </w:rPr>
        <w:t>, Vinicius Guidotti de Faria</w:t>
      </w:r>
      <w:r w:rsidRPr="00A66DC8">
        <w:rPr>
          <w:rFonts w:ascii="Times New Roman" w:hAnsi="Times New Roman" w:cs="Times New Roman"/>
          <w:sz w:val="24"/>
          <w:szCs w:val="24"/>
          <w:vertAlign w:val="superscript"/>
        </w:rPr>
        <w:t>2</w:t>
      </w:r>
      <w:r w:rsidRPr="00A66DC8">
        <w:rPr>
          <w:rFonts w:ascii="Times New Roman" w:hAnsi="Times New Roman" w:cs="Times New Roman"/>
          <w:sz w:val="24"/>
          <w:szCs w:val="24"/>
        </w:rPr>
        <w:t>, Gabriela Russo Lopes</w:t>
      </w:r>
      <w:r w:rsidRPr="00A66DC8">
        <w:rPr>
          <w:rFonts w:ascii="Times New Roman" w:hAnsi="Times New Roman" w:cs="Times New Roman"/>
          <w:sz w:val="24"/>
          <w:szCs w:val="24"/>
          <w:vertAlign w:val="superscript"/>
        </w:rPr>
        <w:t>3</w:t>
      </w:r>
      <w:r w:rsidRPr="00A66DC8">
        <w:rPr>
          <w:rFonts w:ascii="Times New Roman" w:hAnsi="Times New Roman" w:cs="Times New Roman"/>
          <w:sz w:val="24"/>
          <w:szCs w:val="24"/>
        </w:rPr>
        <w:t>, Gerd Sparovek</w:t>
      </w:r>
      <w:r w:rsidRPr="00A66DC8">
        <w:rPr>
          <w:rFonts w:ascii="Times New Roman" w:hAnsi="Times New Roman" w:cs="Times New Roman"/>
          <w:sz w:val="24"/>
          <w:szCs w:val="24"/>
          <w:vertAlign w:val="superscript"/>
        </w:rPr>
        <w:t>4</w:t>
      </w:r>
      <w:r w:rsidRPr="00A66DC8">
        <w:rPr>
          <w:rFonts w:ascii="Times New Roman" w:hAnsi="Times New Roman" w:cs="Times New Roman"/>
          <w:sz w:val="24"/>
          <w:szCs w:val="24"/>
        </w:rPr>
        <w:t>, Chris West</w:t>
      </w:r>
      <w:r w:rsidRPr="00A66DC8">
        <w:rPr>
          <w:rFonts w:ascii="Times New Roman" w:hAnsi="Times New Roman" w:cs="Times New Roman"/>
          <w:sz w:val="24"/>
          <w:szCs w:val="24"/>
          <w:vertAlign w:val="superscript"/>
        </w:rPr>
        <w:t>5</w:t>
      </w:r>
      <w:r w:rsidRPr="00A66DC8">
        <w:rPr>
          <w:rFonts w:ascii="Times New Roman" w:hAnsi="Times New Roman" w:cs="Times New Roman"/>
          <w:sz w:val="24"/>
          <w:szCs w:val="24"/>
        </w:rPr>
        <w:t>, Raoni G. Rajão</w:t>
      </w:r>
      <w:r w:rsidRPr="00A66DC8">
        <w:rPr>
          <w:rFonts w:ascii="Times New Roman" w:hAnsi="Times New Roman" w:cs="Times New Roman"/>
          <w:sz w:val="24"/>
          <w:szCs w:val="24"/>
          <w:vertAlign w:val="superscript"/>
        </w:rPr>
        <w:t>6</w:t>
      </w:r>
      <w:r w:rsidRPr="00A66DC8">
        <w:rPr>
          <w:rFonts w:ascii="Times New Roman" w:hAnsi="Times New Roman" w:cs="Times New Roman"/>
          <w:sz w:val="24"/>
          <w:szCs w:val="24"/>
        </w:rPr>
        <w:t>, Mariana Napolitano Ferreira</w:t>
      </w:r>
      <w:r w:rsidRPr="00A66DC8">
        <w:rPr>
          <w:rFonts w:ascii="Times New Roman" w:hAnsi="Times New Roman" w:cs="Times New Roman"/>
          <w:sz w:val="24"/>
          <w:szCs w:val="24"/>
          <w:vertAlign w:val="superscript"/>
        </w:rPr>
        <w:t>7</w:t>
      </w:r>
      <w:r w:rsidRPr="00A66DC8">
        <w:rPr>
          <w:rFonts w:ascii="Times New Roman" w:hAnsi="Times New Roman" w:cs="Times New Roman"/>
          <w:sz w:val="24"/>
          <w:szCs w:val="24"/>
        </w:rPr>
        <w:t>, Marcelo M. S. Elvira</w:t>
      </w:r>
      <w:r w:rsidRPr="00A66DC8">
        <w:rPr>
          <w:rFonts w:ascii="Times New Roman" w:hAnsi="Times New Roman" w:cs="Times New Roman"/>
          <w:sz w:val="24"/>
          <w:szCs w:val="24"/>
          <w:vertAlign w:val="superscript"/>
        </w:rPr>
        <w:t>7</w:t>
      </w:r>
      <w:r w:rsidRPr="00A66DC8">
        <w:rPr>
          <w:rFonts w:ascii="Times New Roman" w:hAnsi="Times New Roman" w:cs="Times New Roman"/>
          <w:sz w:val="24"/>
          <w:szCs w:val="24"/>
        </w:rPr>
        <w:t>, Raul S. T. do Valle</w:t>
      </w:r>
      <w:r w:rsidRPr="00A66DC8">
        <w:rPr>
          <w:rFonts w:ascii="Times New Roman" w:hAnsi="Times New Roman" w:cs="Times New Roman"/>
          <w:sz w:val="24"/>
          <w:szCs w:val="24"/>
          <w:vertAlign w:val="superscript"/>
        </w:rPr>
        <w:t>7</w:t>
      </w:r>
      <w:r w:rsidRPr="00A66DC8">
        <w:rPr>
          <w:rFonts w:ascii="Times New Roman" w:hAnsi="Times New Roman" w:cs="Times New Roman"/>
          <w:sz w:val="24"/>
          <w:szCs w:val="24"/>
        </w:rPr>
        <w:t>.</w:t>
      </w:r>
    </w:p>
    <w:p w14:paraId="3617FE4E" w14:textId="77777777" w:rsidR="00A66DC8" w:rsidRPr="00A66DC8" w:rsidRDefault="00A66DC8" w:rsidP="00A66DC8">
      <w:pPr>
        <w:rPr>
          <w:rFonts w:ascii="Times New Roman" w:hAnsi="Times New Roman" w:cs="Times New Roman"/>
          <w:b/>
          <w:bCs/>
          <w:sz w:val="24"/>
          <w:szCs w:val="24"/>
          <w:lang w:val="fr-BE"/>
        </w:rPr>
      </w:pPr>
      <w:r w:rsidRPr="00A66DC8">
        <w:rPr>
          <w:rFonts w:ascii="Times New Roman" w:hAnsi="Times New Roman" w:cs="Times New Roman"/>
          <w:b/>
          <w:bCs/>
          <w:sz w:val="24"/>
          <w:szCs w:val="24"/>
          <w:lang w:val="fr-BE"/>
        </w:rPr>
        <w:t>Affiliations:</w:t>
      </w:r>
    </w:p>
    <w:p w14:paraId="5183BCD8" w14:textId="77777777" w:rsidR="00A66DC8" w:rsidRPr="00A66DC8" w:rsidRDefault="00A66DC8" w:rsidP="00A66DC8">
      <w:pPr>
        <w:rPr>
          <w:rFonts w:ascii="Times New Roman" w:hAnsi="Times New Roman" w:cs="Times New Roman"/>
          <w:sz w:val="24"/>
          <w:szCs w:val="24"/>
          <w:lang w:val="fr-BE"/>
        </w:rPr>
      </w:pPr>
      <w:r w:rsidRPr="00A66DC8">
        <w:rPr>
          <w:rFonts w:ascii="Times New Roman" w:hAnsi="Times New Roman" w:cs="Times New Roman"/>
          <w:sz w:val="24"/>
          <w:szCs w:val="24"/>
          <w:vertAlign w:val="superscript"/>
          <w:lang w:val="fr-BE"/>
        </w:rPr>
        <w:t>1</w:t>
      </w:r>
      <w:r w:rsidRPr="00A66DC8">
        <w:rPr>
          <w:rFonts w:ascii="Times New Roman" w:hAnsi="Times New Roman" w:cs="Times New Roman"/>
          <w:sz w:val="24"/>
          <w:szCs w:val="24"/>
          <w:lang w:val="fr-BE"/>
        </w:rPr>
        <w:t xml:space="preserve">Earth and Life Institute, Université Catholique de Louvain; Louvain-la-Neuve, 1348, </w:t>
      </w:r>
      <w:proofErr w:type="spellStart"/>
      <w:r w:rsidRPr="00A66DC8">
        <w:rPr>
          <w:rFonts w:ascii="Times New Roman" w:hAnsi="Times New Roman" w:cs="Times New Roman"/>
          <w:sz w:val="24"/>
          <w:szCs w:val="24"/>
          <w:lang w:val="fr-BE"/>
        </w:rPr>
        <w:t>Belgium</w:t>
      </w:r>
      <w:proofErr w:type="spellEnd"/>
      <w:r w:rsidRPr="00A66DC8">
        <w:rPr>
          <w:rFonts w:ascii="Times New Roman" w:hAnsi="Times New Roman" w:cs="Times New Roman"/>
          <w:sz w:val="24"/>
          <w:szCs w:val="24"/>
          <w:lang w:val="fr-BE"/>
        </w:rPr>
        <w:t>.</w:t>
      </w:r>
    </w:p>
    <w:p w14:paraId="45F08163" w14:textId="77777777" w:rsidR="00A66DC8" w:rsidRPr="00A66DC8" w:rsidRDefault="00A66DC8" w:rsidP="00A66DC8">
      <w:pPr>
        <w:rPr>
          <w:rFonts w:ascii="Times New Roman" w:hAnsi="Times New Roman" w:cs="Times New Roman"/>
          <w:sz w:val="24"/>
          <w:szCs w:val="24"/>
        </w:rPr>
      </w:pPr>
      <w:r w:rsidRPr="00A66DC8">
        <w:rPr>
          <w:rFonts w:ascii="Times New Roman" w:hAnsi="Times New Roman" w:cs="Times New Roman"/>
          <w:sz w:val="24"/>
          <w:szCs w:val="24"/>
          <w:vertAlign w:val="superscript"/>
        </w:rPr>
        <w:t>2</w:t>
      </w:r>
      <w:r w:rsidRPr="00A66DC8">
        <w:rPr>
          <w:rFonts w:ascii="Times New Roman" w:hAnsi="Times New Roman" w:cs="Times New Roman"/>
          <w:sz w:val="24"/>
          <w:szCs w:val="24"/>
        </w:rPr>
        <w:t>Instituto de Manejo e Certificação Florestal (IMAFLORA); Piracicaba-SP, 13426-420, Brazil.</w:t>
      </w:r>
    </w:p>
    <w:p w14:paraId="36A0816A" w14:textId="77777777" w:rsidR="00A66DC8" w:rsidRPr="00A66DC8" w:rsidRDefault="00A66DC8" w:rsidP="00A66DC8">
      <w:pPr>
        <w:rPr>
          <w:rFonts w:ascii="Times New Roman" w:hAnsi="Times New Roman" w:cs="Times New Roman"/>
          <w:sz w:val="24"/>
          <w:szCs w:val="24"/>
          <w:lang w:val="en-US"/>
        </w:rPr>
      </w:pPr>
      <w:r w:rsidRPr="00A66DC8">
        <w:rPr>
          <w:rFonts w:ascii="Times New Roman" w:hAnsi="Times New Roman" w:cs="Times New Roman"/>
          <w:sz w:val="24"/>
          <w:szCs w:val="24"/>
          <w:vertAlign w:val="superscript"/>
          <w:lang w:val="en-US"/>
        </w:rPr>
        <w:t>3</w:t>
      </w:r>
      <w:r w:rsidRPr="00A66DC8">
        <w:rPr>
          <w:rFonts w:ascii="Times New Roman" w:hAnsi="Times New Roman" w:cs="Times New Roman"/>
          <w:sz w:val="24"/>
          <w:szCs w:val="24"/>
          <w:lang w:val="en-US"/>
        </w:rPr>
        <w:t>Center for Latin America Research and Documentation (CEDLA), University of Amsterdam (</w:t>
      </w:r>
      <w:proofErr w:type="spellStart"/>
      <w:r w:rsidRPr="00A66DC8">
        <w:rPr>
          <w:rFonts w:ascii="Times New Roman" w:hAnsi="Times New Roman" w:cs="Times New Roman"/>
          <w:sz w:val="24"/>
          <w:szCs w:val="24"/>
          <w:lang w:val="en-US"/>
        </w:rPr>
        <w:t>UvA</w:t>
      </w:r>
      <w:proofErr w:type="spellEnd"/>
      <w:r w:rsidRPr="00A66DC8">
        <w:rPr>
          <w:rFonts w:ascii="Times New Roman" w:hAnsi="Times New Roman" w:cs="Times New Roman"/>
          <w:sz w:val="24"/>
          <w:szCs w:val="24"/>
          <w:lang w:val="en-US"/>
        </w:rPr>
        <w:t>); 1018 WB Amsterdam, the Netherlands.</w:t>
      </w:r>
    </w:p>
    <w:p w14:paraId="4691A02A" w14:textId="77777777" w:rsidR="00A66DC8" w:rsidRPr="00A66DC8" w:rsidRDefault="00A66DC8" w:rsidP="00A66DC8">
      <w:pPr>
        <w:rPr>
          <w:rFonts w:ascii="Times New Roman" w:hAnsi="Times New Roman" w:cs="Times New Roman"/>
          <w:sz w:val="24"/>
          <w:szCs w:val="24"/>
        </w:rPr>
      </w:pPr>
      <w:r w:rsidRPr="00A66DC8">
        <w:rPr>
          <w:rFonts w:ascii="Times New Roman" w:hAnsi="Times New Roman" w:cs="Times New Roman"/>
          <w:sz w:val="24"/>
          <w:szCs w:val="24"/>
          <w:vertAlign w:val="superscript"/>
        </w:rPr>
        <w:t>4</w:t>
      </w:r>
      <w:r w:rsidRPr="00A66DC8">
        <w:rPr>
          <w:rFonts w:ascii="Times New Roman" w:hAnsi="Times New Roman" w:cs="Times New Roman"/>
          <w:sz w:val="24"/>
          <w:szCs w:val="24"/>
        </w:rPr>
        <w:t>GeoLab, Universidade de São Paulo (USP); Piracicaba-SP, 13418-900, Brazil.</w:t>
      </w:r>
    </w:p>
    <w:p w14:paraId="5BBA513C" w14:textId="77777777" w:rsidR="00A66DC8" w:rsidRPr="00A66DC8" w:rsidRDefault="00A66DC8" w:rsidP="00A66DC8">
      <w:pPr>
        <w:rPr>
          <w:rFonts w:ascii="Times New Roman" w:hAnsi="Times New Roman" w:cs="Times New Roman"/>
          <w:sz w:val="24"/>
          <w:szCs w:val="24"/>
          <w:lang w:val="en-US"/>
        </w:rPr>
      </w:pPr>
      <w:r w:rsidRPr="00A66DC8">
        <w:rPr>
          <w:rFonts w:ascii="Times New Roman" w:hAnsi="Times New Roman" w:cs="Times New Roman"/>
          <w:sz w:val="24"/>
          <w:szCs w:val="24"/>
          <w:vertAlign w:val="superscript"/>
          <w:lang w:val="en-US"/>
        </w:rPr>
        <w:t>5</w:t>
      </w:r>
      <w:r w:rsidRPr="00A66DC8">
        <w:rPr>
          <w:rFonts w:ascii="Times New Roman" w:hAnsi="Times New Roman" w:cs="Times New Roman"/>
          <w:sz w:val="24"/>
          <w:szCs w:val="24"/>
          <w:lang w:val="en-US"/>
        </w:rPr>
        <w:t>Stockholm Environment Institute York, Department of Environment and Geography, University of York; York YO10 5NG, United Kingdom.</w:t>
      </w:r>
    </w:p>
    <w:p w14:paraId="15CB4CCE" w14:textId="77777777" w:rsidR="00A66DC8" w:rsidRPr="00A66DC8" w:rsidRDefault="00A66DC8" w:rsidP="00A66DC8">
      <w:pPr>
        <w:rPr>
          <w:rFonts w:ascii="Times New Roman" w:hAnsi="Times New Roman" w:cs="Times New Roman"/>
          <w:sz w:val="24"/>
          <w:szCs w:val="24"/>
        </w:rPr>
      </w:pPr>
      <w:r w:rsidRPr="00A66DC8">
        <w:rPr>
          <w:rFonts w:ascii="Times New Roman" w:hAnsi="Times New Roman" w:cs="Times New Roman"/>
          <w:sz w:val="24"/>
          <w:szCs w:val="24"/>
          <w:vertAlign w:val="superscript"/>
        </w:rPr>
        <w:t>6</w:t>
      </w:r>
      <w:r w:rsidRPr="00A66DC8">
        <w:rPr>
          <w:rFonts w:ascii="Times New Roman" w:hAnsi="Times New Roman" w:cs="Times New Roman"/>
          <w:sz w:val="24"/>
          <w:szCs w:val="24"/>
        </w:rPr>
        <w:t>Universidade Federal de Minas Gerais (UFMG); Belo Horizonte 31270-901, Brazil.</w:t>
      </w:r>
    </w:p>
    <w:p w14:paraId="334E44CB" w14:textId="77777777" w:rsidR="00A66DC8" w:rsidRPr="00A66DC8" w:rsidRDefault="00A66DC8" w:rsidP="00A66DC8">
      <w:pPr>
        <w:rPr>
          <w:rFonts w:ascii="Times New Roman" w:hAnsi="Times New Roman" w:cs="Times New Roman"/>
          <w:sz w:val="24"/>
          <w:szCs w:val="24"/>
        </w:rPr>
      </w:pPr>
      <w:r w:rsidRPr="00A66DC8">
        <w:rPr>
          <w:rFonts w:ascii="Times New Roman" w:hAnsi="Times New Roman" w:cs="Times New Roman"/>
          <w:sz w:val="24"/>
          <w:szCs w:val="24"/>
          <w:vertAlign w:val="superscript"/>
        </w:rPr>
        <w:t>7</w:t>
      </w:r>
      <w:r w:rsidRPr="00A66DC8">
        <w:rPr>
          <w:rFonts w:ascii="Times New Roman" w:hAnsi="Times New Roman" w:cs="Times New Roman"/>
          <w:sz w:val="24"/>
          <w:szCs w:val="24"/>
        </w:rPr>
        <w:t>WWF-Brazil; Brasília-DF, Brazil.</w:t>
      </w:r>
    </w:p>
    <w:p w14:paraId="5CB1DDEF" w14:textId="77777777" w:rsidR="00A66DC8" w:rsidRPr="00A66DC8" w:rsidRDefault="00A66DC8" w:rsidP="00A66DC8">
      <w:pPr>
        <w:rPr>
          <w:rFonts w:ascii="Times New Roman" w:hAnsi="Times New Roman" w:cs="Times New Roman"/>
          <w:sz w:val="24"/>
          <w:szCs w:val="24"/>
          <w:lang w:val="en-GB"/>
        </w:rPr>
      </w:pPr>
      <w:r w:rsidRPr="00A66DC8">
        <w:rPr>
          <w:rFonts w:ascii="Times New Roman" w:hAnsi="Times New Roman" w:cs="Times New Roman"/>
          <w:sz w:val="24"/>
          <w:szCs w:val="24"/>
          <w:lang w:val="en-GB"/>
        </w:rPr>
        <w:t>* Corresponding author. Email: tiago.reis@uclouvain.be</w:t>
      </w:r>
    </w:p>
    <w:p w14:paraId="2E9C10E3" w14:textId="77777777" w:rsidR="00E61A66" w:rsidRDefault="00E61A6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4409FFE" w14:textId="77777777" w:rsidR="00E61A66" w:rsidRPr="00B355ED" w:rsidRDefault="00E61A66" w:rsidP="00E61A66">
      <w:pPr>
        <w:pStyle w:val="Heading1"/>
        <w:rPr>
          <w:rFonts w:ascii="Times New Roman" w:eastAsia="Times New Roman" w:hAnsi="Times New Roman" w:cs="Times New Roman"/>
          <w:b w:val="0"/>
          <w:bCs/>
          <w:kern w:val="32"/>
          <w:sz w:val="24"/>
          <w:szCs w:val="24"/>
          <w:lang w:val="en-US" w:eastAsia="en-US"/>
        </w:rPr>
      </w:pPr>
      <w:r w:rsidRPr="00B355ED">
        <w:rPr>
          <w:rFonts w:ascii="Times New Roman" w:eastAsia="Times New Roman" w:hAnsi="Times New Roman" w:cs="Times New Roman"/>
          <w:bCs/>
          <w:kern w:val="32"/>
          <w:sz w:val="24"/>
          <w:szCs w:val="24"/>
          <w:lang w:val="en-US" w:eastAsia="en-US"/>
        </w:rPr>
        <w:lastRenderedPageBreak/>
        <w:t>Supplementary Text</w:t>
      </w:r>
    </w:p>
    <w:p w14:paraId="2E46B0B6" w14:textId="77777777" w:rsidR="00E61A66" w:rsidRDefault="00E61A66" w:rsidP="00E61A66">
      <w:pPr>
        <w:keepNext/>
        <w:spacing w:before="240" w:after="60" w:line="480" w:lineRule="auto"/>
        <w:ind w:firstLine="708"/>
        <w:rPr>
          <w:rFonts w:ascii="Times New Roman" w:eastAsia="Times New Roman" w:hAnsi="Times New Roman" w:cs="Times New Roman"/>
          <w:bCs/>
          <w:kern w:val="32"/>
          <w:sz w:val="24"/>
          <w:szCs w:val="24"/>
          <w:lang w:val="en-US"/>
        </w:rPr>
      </w:pPr>
      <w:r w:rsidRPr="00B355ED">
        <w:rPr>
          <w:rFonts w:ascii="Times New Roman" w:eastAsia="Times New Roman" w:hAnsi="Times New Roman" w:cs="Times New Roman"/>
          <w:bCs/>
          <w:kern w:val="32"/>
          <w:sz w:val="24"/>
          <w:szCs w:val="24"/>
          <w:lang w:val="en-US"/>
        </w:rPr>
        <w:t>We found that unprotected native vegetation equals 69,254,298 hectares in the analyzed rural properties, from which 3.25 million hectares and 26.8 million hectares are under high and medium deforestation risk</w:t>
      </w:r>
      <w:r w:rsidR="00FA663F">
        <w:rPr>
          <w:rFonts w:ascii="Times New Roman" w:eastAsia="Times New Roman" w:hAnsi="Times New Roman" w:cs="Times New Roman"/>
          <w:bCs/>
          <w:kern w:val="32"/>
          <w:sz w:val="24"/>
          <w:szCs w:val="24"/>
          <w:lang w:val="en-US"/>
        </w:rPr>
        <w:t>,</w:t>
      </w:r>
      <w:r w:rsidRPr="00B355ED">
        <w:rPr>
          <w:rFonts w:ascii="Times New Roman" w:eastAsia="Times New Roman" w:hAnsi="Times New Roman" w:cs="Times New Roman"/>
          <w:bCs/>
          <w:kern w:val="32"/>
          <w:sz w:val="24"/>
          <w:szCs w:val="24"/>
          <w:lang w:val="en-US"/>
        </w:rPr>
        <w:t xml:space="preserve"> respectively. The amount of carbon stock in unprotected native vegetation equals 1.6 Gt</w:t>
      </w:r>
      <w:r w:rsidR="00FA663F">
        <w:rPr>
          <w:rFonts w:ascii="Times New Roman" w:eastAsia="Times New Roman" w:hAnsi="Times New Roman" w:cs="Times New Roman"/>
          <w:bCs/>
          <w:kern w:val="32"/>
          <w:sz w:val="24"/>
          <w:szCs w:val="24"/>
          <w:lang w:val="en-US"/>
        </w:rPr>
        <w:t>,</w:t>
      </w:r>
      <w:r w:rsidRPr="00B355ED">
        <w:rPr>
          <w:rFonts w:ascii="Times New Roman" w:eastAsia="Times New Roman" w:hAnsi="Times New Roman" w:cs="Times New Roman"/>
          <w:bCs/>
          <w:kern w:val="32"/>
          <w:sz w:val="24"/>
          <w:szCs w:val="24"/>
          <w:lang w:val="en-US"/>
        </w:rPr>
        <w:t xml:space="preserve"> from which 2.6% and 18.9% are under high and medium deforestation risk</w:t>
      </w:r>
      <w:r w:rsidR="00FA663F">
        <w:rPr>
          <w:rFonts w:ascii="Times New Roman" w:eastAsia="Times New Roman" w:hAnsi="Times New Roman" w:cs="Times New Roman"/>
          <w:bCs/>
          <w:kern w:val="32"/>
          <w:sz w:val="24"/>
          <w:szCs w:val="24"/>
          <w:lang w:val="en-US"/>
        </w:rPr>
        <w:t>,</w:t>
      </w:r>
      <w:r w:rsidRPr="00B355ED">
        <w:rPr>
          <w:rFonts w:ascii="Times New Roman" w:eastAsia="Times New Roman" w:hAnsi="Times New Roman" w:cs="Times New Roman"/>
          <w:bCs/>
          <w:kern w:val="32"/>
          <w:sz w:val="24"/>
          <w:szCs w:val="24"/>
          <w:lang w:val="en-US"/>
        </w:rPr>
        <w:t xml:space="preserve"> respectively. Fig. S2 presents the percentage of carbon stocks in each class of the deforestation risk per biome.</w:t>
      </w:r>
    </w:p>
    <w:p w14:paraId="68F5FCFF" w14:textId="77777777" w:rsidR="00E61A66" w:rsidRPr="00B355ED" w:rsidRDefault="00FA663F" w:rsidP="00E61A66">
      <w:pPr>
        <w:keepNext/>
        <w:spacing w:before="240" w:after="60" w:line="480" w:lineRule="auto"/>
        <w:ind w:firstLine="708"/>
        <w:rPr>
          <w:rFonts w:ascii="Times New Roman" w:eastAsia="Times New Roman" w:hAnsi="Times New Roman" w:cs="Times New Roman"/>
          <w:bCs/>
          <w:kern w:val="32"/>
          <w:sz w:val="24"/>
          <w:szCs w:val="24"/>
          <w:lang w:val="en-US"/>
        </w:rPr>
      </w:pPr>
      <w:r>
        <w:rPr>
          <w:rFonts w:ascii="Times New Roman" w:eastAsia="Times New Roman" w:hAnsi="Times New Roman" w:cs="Times New Roman"/>
          <w:bCs/>
          <w:kern w:val="32"/>
          <w:sz w:val="24"/>
          <w:szCs w:val="24"/>
          <w:lang w:val="en-US"/>
        </w:rPr>
        <w:t>Considering the distribution of the carbon stocks in Brazilian municipalities, o</w:t>
      </w:r>
      <w:r w:rsidR="00E61A66" w:rsidRPr="00B355ED">
        <w:rPr>
          <w:rFonts w:ascii="Times New Roman" w:eastAsia="Times New Roman" w:hAnsi="Times New Roman" w:cs="Times New Roman"/>
          <w:bCs/>
          <w:kern w:val="32"/>
          <w:sz w:val="24"/>
          <w:szCs w:val="24"/>
          <w:lang w:val="en-US"/>
        </w:rPr>
        <w:t>ur results indicate that 42 municipalities hold 50% of the total carbon stock under high or medium risk of deforestation</w:t>
      </w:r>
      <w:r>
        <w:rPr>
          <w:rFonts w:ascii="Times New Roman" w:eastAsia="Times New Roman" w:hAnsi="Times New Roman" w:cs="Times New Roman"/>
          <w:bCs/>
          <w:kern w:val="32"/>
          <w:sz w:val="24"/>
          <w:szCs w:val="24"/>
          <w:lang w:val="en-US"/>
        </w:rPr>
        <w:t>,</w:t>
      </w:r>
      <w:r w:rsidR="00E61A66" w:rsidRPr="00B355ED">
        <w:rPr>
          <w:rFonts w:ascii="Times New Roman" w:eastAsia="Times New Roman" w:hAnsi="Times New Roman" w:cs="Times New Roman"/>
          <w:bCs/>
          <w:kern w:val="32"/>
          <w:sz w:val="24"/>
          <w:szCs w:val="24"/>
          <w:lang w:val="en-US"/>
        </w:rPr>
        <w:t xml:space="preserve"> and 235 municipalities hold 80% of it, as shown in Fig</w:t>
      </w:r>
      <w:r>
        <w:rPr>
          <w:rFonts w:ascii="Times New Roman" w:eastAsia="Times New Roman" w:hAnsi="Times New Roman" w:cs="Times New Roman"/>
          <w:bCs/>
          <w:kern w:val="32"/>
          <w:sz w:val="24"/>
          <w:szCs w:val="24"/>
          <w:lang w:val="en-US"/>
        </w:rPr>
        <w:t>ure</w:t>
      </w:r>
      <w:r w:rsidR="00E61A66" w:rsidRPr="00B355ED">
        <w:rPr>
          <w:rFonts w:ascii="Times New Roman" w:eastAsia="Times New Roman" w:hAnsi="Times New Roman" w:cs="Times New Roman"/>
          <w:bCs/>
          <w:kern w:val="32"/>
          <w:sz w:val="24"/>
          <w:szCs w:val="24"/>
          <w:lang w:val="en-US"/>
        </w:rPr>
        <w:t xml:space="preserve"> S</w:t>
      </w:r>
      <w:r>
        <w:rPr>
          <w:rFonts w:ascii="Times New Roman" w:eastAsia="Times New Roman" w:hAnsi="Times New Roman" w:cs="Times New Roman"/>
          <w:bCs/>
          <w:kern w:val="32"/>
          <w:sz w:val="24"/>
          <w:szCs w:val="24"/>
          <w:lang w:val="en-US"/>
        </w:rPr>
        <w:t>2</w:t>
      </w:r>
      <w:r w:rsidR="00E61A66" w:rsidRPr="00B355ED">
        <w:rPr>
          <w:rFonts w:ascii="Times New Roman" w:eastAsia="Times New Roman" w:hAnsi="Times New Roman" w:cs="Times New Roman"/>
          <w:bCs/>
          <w:kern w:val="32"/>
          <w:sz w:val="24"/>
          <w:szCs w:val="24"/>
          <w:lang w:val="en-US"/>
        </w:rPr>
        <w:t>.</w:t>
      </w:r>
    </w:p>
    <w:p w14:paraId="3FF7BC65" w14:textId="77777777" w:rsidR="00E61A66" w:rsidRPr="00B355ED" w:rsidRDefault="00E61A66" w:rsidP="00E61A66">
      <w:pPr>
        <w:spacing w:after="0" w:line="480" w:lineRule="auto"/>
        <w:rPr>
          <w:rFonts w:ascii="Times New Roman" w:eastAsia="Times New Roman" w:hAnsi="Times New Roman" w:cs="Times New Roman"/>
          <w:bCs/>
          <w:kern w:val="32"/>
          <w:sz w:val="24"/>
          <w:szCs w:val="24"/>
          <w:lang w:val="en-US"/>
        </w:rPr>
      </w:pPr>
      <w:r w:rsidRPr="00B355ED">
        <w:rPr>
          <w:rFonts w:ascii="Times New Roman" w:eastAsia="Times New Roman" w:hAnsi="Times New Roman" w:cs="Times New Roman"/>
          <w:sz w:val="24"/>
          <w:szCs w:val="20"/>
          <w:lang w:val="en-US"/>
        </w:rPr>
        <w:t>We use a factor of 3.67 to convert the amount of carbon stock to CO</w:t>
      </w:r>
      <w:r w:rsidRPr="00B355ED">
        <w:rPr>
          <w:rFonts w:ascii="Times New Roman" w:eastAsia="Times New Roman" w:hAnsi="Times New Roman" w:cs="Times New Roman"/>
          <w:sz w:val="24"/>
          <w:szCs w:val="20"/>
          <w:vertAlign w:val="subscript"/>
          <w:lang w:val="en-US"/>
        </w:rPr>
        <w:t>2</w:t>
      </w:r>
      <w:r w:rsidRPr="00B355ED">
        <w:rPr>
          <w:rFonts w:ascii="Times New Roman" w:eastAsia="Times New Roman" w:hAnsi="Times New Roman" w:cs="Times New Roman"/>
          <w:sz w:val="24"/>
          <w:szCs w:val="20"/>
          <w:lang w:val="en-US"/>
        </w:rPr>
        <w:t xml:space="preserve">. Our results indicate that the </w:t>
      </w:r>
      <w:r w:rsidR="00FA663F">
        <w:rPr>
          <w:rFonts w:ascii="Times New Roman" w:eastAsia="Times New Roman" w:hAnsi="Times New Roman" w:cs="Times New Roman"/>
          <w:sz w:val="24"/>
          <w:szCs w:val="20"/>
          <w:lang w:val="en-US"/>
        </w:rPr>
        <w:t>areas under high risk of deforestation</w:t>
      </w:r>
      <w:r w:rsidRPr="00B355ED">
        <w:rPr>
          <w:rFonts w:ascii="Times New Roman" w:eastAsia="Times New Roman" w:hAnsi="Times New Roman" w:cs="Times New Roman"/>
          <w:sz w:val="24"/>
          <w:szCs w:val="20"/>
          <w:lang w:val="en-US"/>
        </w:rPr>
        <w:t xml:space="preserve"> until 2025 could release 152,816,881 </w:t>
      </w:r>
      <w:proofErr w:type="spellStart"/>
      <w:r w:rsidRPr="00B355ED">
        <w:rPr>
          <w:rFonts w:ascii="Times New Roman" w:eastAsia="Times New Roman" w:hAnsi="Times New Roman" w:cs="Times New Roman"/>
          <w:sz w:val="24"/>
          <w:szCs w:val="20"/>
          <w:lang w:val="en-US"/>
        </w:rPr>
        <w:t>tonnes</w:t>
      </w:r>
      <w:proofErr w:type="spellEnd"/>
      <w:r w:rsidRPr="00B355ED">
        <w:rPr>
          <w:rFonts w:ascii="Times New Roman" w:eastAsia="Times New Roman" w:hAnsi="Times New Roman" w:cs="Times New Roman"/>
          <w:sz w:val="24"/>
          <w:szCs w:val="20"/>
          <w:lang w:val="en-US"/>
        </w:rPr>
        <w:t xml:space="preserve"> of CO</w:t>
      </w:r>
      <w:r w:rsidRPr="00B355ED">
        <w:rPr>
          <w:rFonts w:ascii="Times New Roman" w:eastAsia="Times New Roman" w:hAnsi="Times New Roman" w:cs="Times New Roman"/>
          <w:sz w:val="24"/>
          <w:szCs w:val="20"/>
          <w:vertAlign w:val="subscript"/>
          <w:lang w:val="en-US"/>
        </w:rPr>
        <w:t>2</w:t>
      </w:r>
      <w:r w:rsidRPr="00B355ED">
        <w:rPr>
          <w:rFonts w:ascii="Times New Roman" w:eastAsia="Times New Roman" w:hAnsi="Times New Roman" w:cs="Times New Roman"/>
          <w:sz w:val="24"/>
          <w:szCs w:val="20"/>
          <w:lang w:val="en-US"/>
        </w:rPr>
        <w:t xml:space="preserve"> (0</w:t>
      </w:r>
      <w:proofErr w:type="gramStart"/>
      <w:r w:rsidRPr="00B355ED">
        <w:rPr>
          <w:rFonts w:ascii="Times New Roman" w:eastAsia="Times New Roman" w:hAnsi="Times New Roman" w:cs="Times New Roman"/>
          <w:sz w:val="24"/>
          <w:szCs w:val="20"/>
          <w:lang w:val="en-US"/>
        </w:rPr>
        <w:t>,15</w:t>
      </w:r>
      <w:proofErr w:type="gramEnd"/>
      <w:r w:rsidRPr="00B355ED">
        <w:rPr>
          <w:rFonts w:ascii="Times New Roman" w:eastAsia="Times New Roman" w:hAnsi="Times New Roman" w:cs="Times New Roman"/>
          <w:sz w:val="24"/>
          <w:szCs w:val="20"/>
          <w:lang w:val="en-US"/>
        </w:rPr>
        <w:t xml:space="preserve"> Gt) to the atmosphere. Considering the areas under medium risk, we found another 1,107,194,477 </w:t>
      </w:r>
      <w:proofErr w:type="spellStart"/>
      <w:r w:rsidRPr="00B355ED">
        <w:rPr>
          <w:rFonts w:ascii="Times New Roman" w:eastAsia="Times New Roman" w:hAnsi="Times New Roman" w:cs="Times New Roman"/>
          <w:sz w:val="24"/>
          <w:szCs w:val="20"/>
          <w:lang w:val="en-US"/>
        </w:rPr>
        <w:t>tonnes</w:t>
      </w:r>
      <w:proofErr w:type="spellEnd"/>
      <w:r w:rsidRPr="00B355ED">
        <w:rPr>
          <w:rFonts w:ascii="Times New Roman" w:eastAsia="Times New Roman" w:hAnsi="Times New Roman" w:cs="Times New Roman"/>
          <w:sz w:val="24"/>
          <w:szCs w:val="20"/>
          <w:lang w:val="en-US"/>
        </w:rPr>
        <w:t xml:space="preserve"> of CO</w:t>
      </w:r>
      <w:r w:rsidRPr="00B355ED">
        <w:rPr>
          <w:rFonts w:ascii="Times New Roman" w:eastAsia="Times New Roman" w:hAnsi="Times New Roman" w:cs="Times New Roman"/>
          <w:sz w:val="24"/>
          <w:szCs w:val="20"/>
          <w:vertAlign w:val="subscript"/>
          <w:lang w:val="en-US"/>
        </w:rPr>
        <w:t>2</w:t>
      </w:r>
      <w:r w:rsidRPr="00B355ED">
        <w:rPr>
          <w:rFonts w:ascii="Times New Roman" w:eastAsia="Times New Roman" w:hAnsi="Times New Roman" w:cs="Times New Roman"/>
          <w:sz w:val="24"/>
          <w:szCs w:val="20"/>
          <w:lang w:val="en-US"/>
        </w:rPr>
        <w:t xml:space="preserve"> (1</w:t>
      </w:r>
      <w:proofErr w:type="gramStart"/>
      <w:r w:rsidRPr="00B355ED">
        <w:rPr>
          <w:rFonts w:ascii="Times New Roman" w:eastAsia="Times New Roman" w:hAnsi="Times New Roman" w:cs="Times New Roman"/>
          <w:sz w:val="24"/>
          <w:szCs w:val="20"/>
          <w:lang w:val="en-US"/>
        </w:rPr>
        <w:t>,11</w:t>
      </w:r>
      <w:proofErr w:type="gramEnd"/>
      <w:r w:rsidRPr="00B355ED">
        <w:rPr>
          <w:rFonts w:ascii="Times New Roman" w:eastAsia="Times New Roman" w:hAnsi="Times New Roman" w:cs="Times New Roman"/>
          <w:sz w:val="24"/>
          <w:szCs w:val="20"/>
          <w:lang w:val="en-US"/>
        </w:rPr>
        <w:t xml:space="preserve"> G</w:t>
      </w:r>
      <w:r>
        <w:rPr>
          <w:rFonts w:ascii="Times New Roman" w:eastAsia="Times New Roman" w:hAnsi="Times New Roman" w:cs="Times New Roman"/>
          <w:sz w:val="24"/>
          <w:szCs w:val="20"/>
          <w:lang w:val="en-US"/>
        </w:rPr>
        <w:t>t). Figure S1</w:t>
      </w:r>
      <w:r w:rsidRPr="00B355ED">
        <w:rPr>
          <w:rFonts w:ascii="Times New Roman" w:eastAsia="Times New Roman" w:hAnsi="Times New Roman" w:cs="Times New Roman"/>
          <w:sz w:val="24"/>
          <w:szCs w:val="20"/>
          <w:lang w:val="en-US"/>
        </w:rPr>
        <w:t xml:space="preserve"> and Table S1 summarize the results of the study.</w:t>
      </w:r>
    </w:p>
    <w:p w14:paraId="1E034EE7" w14:textId="77777777" w:rsidR="00E61A66" w:rsidRPr="00B355ED" w:rsidRDefault="00E61A66" w:rsidP="00E61A66">
      <w:pPr>
        <w:keepNext/>
        <w:spacing w:before="240" w:after="60" w:line="480" w:lineRule="auto"/>
        <w:rPr>
          <w:rFonts w:ascii="Times New Roman" w:eastAsia="Times New Roman" w:hAnsi="Times New Roman" w:cs="Times New Roman"/>
          <w:bCs/>
          <w:kern w:val="32"/>
          <w:sz w:val="24"/>
          <w:szCs w:val="24"/>
          <w:lang w:val="en-US"/>
        </w:rPr>
      </w:pPr>
    </w:p>
    <w:p w14:paraId="7FF6B015" w14:textId="77777777" w:rsidR="00E61A66" w:rsidRPr="00B355ED" w:rsidRDefault="00E61A66" w:rsidP="00E61A66">
      <w:pPr>
        <w:spacing w:after="0" w:line="480" w:lineRule="auto"/>
        <w:rPr>
          <w:rFonts w:ascii="Times New Roman" w:eastAsia="Times New Roman" w:hAnsi="Times New Roman" w:cs="Times New Roman"/>
          <w:bCs/>
          <w:kern w:val="32"/>
          <w:sz w:val="24"/>
          <w:szCs w:val="24"/>
          <w:lang w:val="en-US"/>
        </w:rPr>
      </w:pPr>
      <w:r w:rsidRPr="00B355ED">
        <w:rPr>
          <w:rFonts w:ascii="Times New Roman" w:eastAsia="Times New Roman" w:hAnsi="Times New Roman" w:cs="Times New Roman"/>
          <w:b/>
          <w:sz w:val="24"/>
          <w:szCs w:val="20"/>
          <w:lang w:val="en-US"/>
        </w:rPr>
        <w:br w:type="page"/>
      </w:r>
    </w:p>
    <w:p w14:paraId="35CE105D" w14:textId="77777777" w:rsidR="00E61A66" w:rsidRPr="00B355ED" w:rsidRDefault="00E61A66" w:rsidP="00E61A66">
      <w:pPr>
        <w:keepNext/>
        <w:spacing w:before="240" w:after="60" w:line="480" w:lineRule="auto"/>
        <w:rPr>
          <w:rFonts w:ascii="Times New Roman" w:eastAsia="Times New Roman" w:hAnsi="Times New Roman" w:cs="Times New Roman"/>
          <w:bCs/>
          <w:kern w:val="32"/>
          <w:sz w:val="24"/>
          <w:szCs w:val="24"/>
          <w:lang w:val="en-US"/>
        </w:rPr>
      </w:pPr>
      <w:r w:rsidRPr="00B355ED">
        <w:rPr>
          <w:rFonts w:ascii="Times New Roman" w:eastAsia="Times New Roman" w:hAnsi="Times New Roman" w:cs="Times New Roman"/>
          <w:bCs/>
          <w:noProof/>
          <w:kern w:val="32"/>
          <w:sz w:val="24"/>
          <w:szCs w:val="24"/>
        </w:rPr>
        <w:lastRenderedPageBreak/>
        <w:drawing>
          <wp:inline distT="0" distB="0" distL="0" distR="0" wp14:anchorId="3FB3263A" wp14:editId="56CE4F18">
            <wp:extent cx="4378363" cy="3039291"/>
            <wp:effectExtent l="0" t="0" r="3175" b="8890"/>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78363" cy="3039291"/>
                    </a:xfrm>
                    <a:prstGeom prst="rect">
                      <a:avLst/>
                    </a:prstGeom>
                  </pic:spPr>
                </pic:pic>
              </a:graphicData>
            </a:graphic>
          </wp:inline>
        </w:drawing>
      </w:r>
    </w:p>
    <w:p w14:paraId="3D5687A4" w14:textId="77777777" w:rsidR="00E61A66" w:rsidRPr="00E61A66" w:rsidRDefault="00E61A66" w:rsidP="00E61A66">
      <w:pPr>
        <w:keepNext/>
        <w:spacing w:before="240" w:after="60" w:line="360" w:lineRule="auto"/>
        <w:outlineLvl w:val="0"/>
        <w:rPr>
          <w:rFonts w:ascii="Times New Roman" w:eastAsia="Times New Roman" w:hAnsi="Times New Roman" w:cs="Times New Roman"/>
          <w:b/>
          <w:bCs/>
          <w:kern w:val="32"/>
          <w:lang w:val="en-US"/>
        </w:rPr>
      </w:pPr>
      <w:r w:rsidRPr="00E61A66">
        <w:rPr>
          <w:rFonts w:ascii="Times New Roman" w:eastAsia="Times New Roman" w:hAnsi="Times New Roman" w:cs="Times New Roman"/>
          <w:b/>
          <w:bCs/>
          <w:kern w:val="32"/>
          <w:lang w:val="en-US"/>
        </w:rPr>
        <w:t xml:space="preserve">Fig. S1 - </w:t>
      </w:r>
      <w:r w:rsidRPr="00E61A66">
        <w:rPr>
          <w:rFonts w:ascii="Times New Roman" w:eastAsia="Times New Roman" w:hAnsi="Times New Roman" w:cs="Times New Roman"/>
          <w:b/>
          <w:lang w:val="en-US"/>
        </w:rPr>
        <w:t>Percentage of the Brazilian biomes’ carbon stocks in terms of the deforestation risk.</w:t>
      </w:r>
    </w:p>
    <w:p w14:paraId="3B9E7FD6" w14:textId="77777777" w:rsidR="00E61A66" w:rsidRPr="00B355ED" w:rsidRDefault="00E61A66" w:rsidP="00E61A66">
      <w:pPr>
        <w:rPr>
          <w:rFonts w:ascii="Times New Roman" w:eastAsia="Times New Roman" w:hAnsi="Times New Roman" w:cs="Times New Roman"/>
          <w:bCs/>
          <w:kern w:val="32"/>
          <w:sz w:val="24"/>
          <w:szCs w:val="24"/>
          <w:lang w:val="en-US"/>
        </w:rPr>
      </w:pPr>
      <w:r w:rsidRPr="00B355ED">
        <w:rPr>
          <w:rFonts w:ascii="Times New Roman" w:eastAsia="Times New Roman" w:hAnsi="Times New Roman" w:cs="Times New Roman"/>
          <w:bCs/>
          <w:noProof/>
          <w:kern w:val="32"/>
          <w:sz w:val="24"/>
          <w:szCs w:val="24"/>
        </w:rPr>
        <w:drawing>
          <wp:inline distT="0" distB="0" distL="0" distR="0" wp14:anchorId="41A8F597" wp14:editId="09E26E96">
            <wp:extent cx="3535942" cy="3108960"/>
            <wp:effectExtent l="0" t="0" r="7620" b="0"/>
            <wp:docPr id="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42780" cy="3114972"/>
                    </a:xfrm>
                    <a:prstGeom prst="rect">
                      <a:avLst/>
                    </a:prstGeom>
                  </pic:spPr>
                </pic:pic>
              </a:graphicData>
            </a:graphic>
          </wp:inline>
        </w:drawing>
      </w:r>
    </w:p>
    <w:p w14:paraId="4A9B05BD" w14:textId="77777777" w:rsidR="00E61A66" w:rsidRPr="00E61A66" w:rsidRDefault="00E61A66" w:rsidP="00E61A66">
      <w:pPr>
        <w:keepNext/>
        <w:spacing w:before="240" w:after="60" w:line="360" w:lineRule="auto"/>
        <w:outlineLvl w:val="0"/>
        <w:rPr>
          <w:rFonts w:ascii="Times New Roman" w:eastAsia="Times New Roman" w:hAnsi="Times New Roman" w:cs="Times New Roman"/>
          <w:b/>
          <w:bCs/>
          <w:kern w:val="32"/>
          <w:lang w:val="en-US"/>
        </w:rPr>
      </w:pPr>
      <w:r w:rsidRPr="00E61A66">
        <w:rPr>
          <w:rFonts w:ascii="Times New Roman" w:eastAsia="Times New Roman" w:hAnsi="Times New Roman" w:cs="Times New Roman"/>
          <w:b/>
          <w:bCs/>
          <w:kern w:val="32"/>
          <w:lang w:val="en-US"/>
        </w:rPr>
        <w:t xml:space="preserve">Fig. S2 - </w:t>
      </w:r>
      <w:r w:rsidRPr="00E61A66">
        <w:rPr>
          <w:rFonts w:ascii="Times New Roman" w:eastAsia="Times New Roman" w:hAnsi="Times New Roman" w:cs="Times New Roman"/>
          <w:b/>
          <w:kern w:val="32"/>
          <w:lang w:val="en-US"/>
        </w:rPr>
        <w:t>Distribution of total carbon stock under high or medium risk of deforestation in Brazilian municipalities</w:t>
      </w:r>
      <w:r w:rsidRPr="00E61A66">
        <w:rPr>
          <w:rFonts w:ascii="Times New Roman" w:eastAsia="Times New Roman" w:hAnsi="Times New Roman" w:cs="Times New Roman"/>
          <w:b/>
          <w:bCs/>
          <w:kern w:val="32"/>
          <w:lang w:val="en-US"/>
        </w:rPr>
        <w:t>.</w:t>
      </w:r>
      <w:r w:rsidRPr="00E61A66">
        <w:rPr>
          <w:rFonts w:ascii="Times New Roman" w:eastAsia="Times New Roman" w:hAnsi="Times New Roman" w:cs="Times New Roman"/>
          <w:b/>
          <w:bCs/>
          <w:kern w:val="32"/>
          <w:lang w:val="en-US"/>
        </w:rPr>
        <w:br w:type="page"/>
      </w:r>
    </w:p>
    <w:p w14:paraId="38380B10" w14:textId="77777777" w:rsidR="00E61A66" w:rsidRPr="00B355ED" w:rsidRDefault="00E61A66" w:rsidP="00E61A66">
      <w:pPr>
        <w:pStyle w:val="Heading1"/>
        <w:rPr>
          <w:rFonts w:ascii="Times New Roman" w:eastAsia="Times New Roman" w:hAnsi="Times New Roman" w:cs="Times New Roman"/>
          <w:b w:val="0"/>
          <w:bCs/>
          <w:kern w:val="32"/>
          <w:sz w:val="24"/>
          <w:szCs w:val="24"/>
          <w:lang w:val="en-US" w:eastAsia="en-US"/>
        </w:rPr>
      </w:pPr>
      <w:r>
        <w:rPr>
          <w:rFonts w:ascii="Times New Roman" w:eastAsia="Times New Roman" w:hAnsi="Times New Roman" w:cs="Times New Roman"/>
          <w:bCs/>
          <w:kern w:val="32"/>
          <w:sz w:val="24"/>
          <w:szCs w:val="24"/>
          <w:lang w:val="en-US" w:eastAsia="en-US"/>
        </w:rPr>
        <w:lastRenderedPageBreak/>
        <w:t xml:space="preserve">Table S1 - </w:t>
      </w:r>
      <w:r w:rsidRPr="00B355ED">
        <w:rPr>
          <w:rFonts w:ascii="Times New Roman" w:eastAsia="Times New Roman" w:hAnsi="Times New Roman" w:cs="Times New Roman"/>
          <w:bCs/>
          <w:kern w:val="32"/>
          <w:sz w:val="24"/>
          <w:szCs w:val="24"/>
          <w:lang w:val="en-US" w:eastAsia="en-US"/>
        </w:rPr>
        <w:t xml:space="preserve">Unprotected native vegetation and unprotected carbon in terms of deforestation risk. The Atlantic Forest biome is not listed because </w:t>
      </w:r>
      <w:proofErr w:type="gramStart"/>
      <w:r w:rsidRPr="00B355ED">
        <w:rPr>
          <w:rFonts w:ascii="Times New Roman" w:eastAsia="Times New Roman" w:hAnsi="Times New Roman" w:cs="Times New Roman"/>
          <w:bCs/>
          <w:kern w:val="32"/>
          <w:sz w:val="24"/>
          <w:szCs w:val="24"/>
          <w:lang w:val="en-US" w:eastAsia="en-US"/>
        </w:rPr>
        <w:t xml:space="preserve">all remaining vegetation is protected by the </w:t>
      </w:r>
      <w:r w:rsidRPr="00B355ED">
        <w:rPr>
          <w:rFonts w:ascii="Times New Roman" w:eastAsia="Times New Roman" w:hAnsi="Times New Roman" w:cs="Times New Roman"/>
          <w:bCs/>
          <w:i/>
          <w:kern w:val="32"/>
          <w:sz w:val="24"/>
          <w:szCs w:val="24"/>
          <w:lang w:val="en-US" w:eastAsia="en-US"/>
        </w:rPr>
        <w:t xml:space="preserve">Mata </w:t>
      </w:r>
      <w:proofErr w:type="spellStart"/>
      <w:r w:rsidRPr="00B355ED">
        <w:rPr>
          <w:rFonts w:ascii="Times New Roman" w:eastAsia="Times New Roman" w:hAnsi="Times New Roman" w:cs="Times New Roman"/>
          <w:bCs/>
          <w:i/>
          <w:kern w:val="32"/>
          <w:sz w:val="24"/>
          <w:szCs w:val="24"/>
          <w:lang w:val="en-US" w:eastAsia="en-US"/>
        </w:rPr>
        <w:t>Atlântica</w:t>
      </w:r>
      <w:proofErr w:type="spellEnd"/>
      <w:r w:rsidRPr="00B355ED">
        <w:rPr>
          <w:rFonts w:ascii="Times New Roman" w:eastAsia="Times New Roman" w:hAnsi="Times New Roman" w:cs="Times New Roman"/>
          <w:bCs/>
          <w:kern w:val="32"/>
          <w:sz w:val="24"/>
          <w:szCs w:val="24"/>
          <w:lang w:val="en-US" w:eastAsia="en-US"/>
        </w:rPr>
        <w:t xml:space="preserve"> law</w:t>
      </w:r>
      <w:proofErr w:type="gramEnd"/>
      <w:r w:rsidRPr="00B355ED">
        <w:rPr>
          <w:rFonts w:ascii="Times New Roman" w:eastAsia="Times New Roman" w:hAnsi="Times New Roman" w:cs="Times New Roman"/>
          <w:bCs/>
          <w:kern w:val="32"/>
          <w:sz w:val="24"/>
          <w:szCs w:val="24"/>
          <w:lang w:val="en-US" w:eastAsia="en-US"/>
        </w:rPr>
        <w:t>.</w:t>
      </w:r>
    </w:p>
    <w:tbl>
      <w:tblPr>
        <w:tblW w:w="9284" w:type="dxa"/>
        <w:tblCellMar>
          <w:left w:w="70" w:type="dxa"/>
          <w:right w:w="70" w:type="dxa"/>
        </w:tblCellMar>
        <w:tblLook w:val="04A0" w:firstRow="1" w:lastRow="0" w:firstColumn="1" w:lastColumn="0" w:noHBand="0" w:noVBand="1"/>
      </w:tblPr>
      <w:tblGrid>
        <w:gridCol w:w="1630"/>
        <w:gridCol w:w="1275"/>
        <w:gridCol w:w="1843"/>
        <w:gridCol w:w="2268"/>
        <w:gridCol w:w="2268"/>
      </w:tblGrid>
      <w:tr w:rsidR="00E61A66" w:rsidRPr="00E61A66" w14:paraId="606EA5B3" w14:textId="77777777" w:rsidTr="00E972C9">
        <w:trPr>
          <w:trHeight w:val="931"/>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31C3"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Risk of loss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3AF495"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Biome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C5E3CC"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Number of rural properties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CC109FD"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Unprotected Native Vegetation (ha)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A8F293"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lang w:val="en-US"/>
              </w:rPr>
            </w:pPr>
            <w:r w:rsidRPr="00B355ED">
              <w:rPr>
                <w:rFonts w:ascii="Times New Roman" w:eastAsia="Times New Roman" w:hAnsi="Times New Roman" w:cs="Times New Roman"/>
                <w:b/>
                <w:bCs/>
                <w:kern w:val="32"/>
                <w:sz w:val="24"/>
                <w:szCs w:val="24"/>
                <w:lang w:val="en-US"/>
              </w:rPr>
              <w:t xml:space="preserve">Unprotected Carbon </w:t>
            </w:r>
            <w:r w:rsidRPr="00B355ED">
              <w:rPr>
                <w:rFonts w:ascii="Times New Roman" w:eastAsia="Times New Roman" w:hAnsi="Times New Roman" w:cs="Times New Roman"/>
                <w:b/>
                <w:bCs/>
                <w:kern w:val="32"/>
                <w:sz w:val="24"/>
                <w:szCs w:val="24"/>
                <w:lang w:val="en-US"/>
              </w:rPr>
              <w:br/>
              <w:t>(</w:t>
            </w:r>
            <w:proofErr w:type="spellStart"/>
            <w:r w:rsidRPr="00B355ED">
              <w:rPr>
                <w:rFonts w:ascii="Times New Roman" w:eastAsia="Times New Roman" w:hAnsi="Times New Roman" w:cs="Times New Roman"/>
                <w:b/>
                <w:bCs/>
                <w:kern w:val="32"/>
                <w:sz w:val="24"/>
                <w:szCs w:val="24"/>
                <w:lang w:val="en-US"/>
              </w:rPr>
              <w:t>tonnes</w:t>
            </w:r>
            <w:proofErr w:type="spellEnd"/>
            <w:r w:rsidRPr="00B355ED">
              <w:rPr>
                <w:rFonts w:ascii="Times New Roman" w:eastAsia="Times New Roman" w:hAnsi="Times New Roman" w:cs="Times New Roman"/>
                <w:b/>
                <w:bCs/>
                <w:kern w:val="32"/>
                <w:sz w:val="24"/>
                <w:szCs w:val="24"/>
                <w:lang w:val="en-US"/>
              </w:rPr>
              <w:t xml:space="preserve"> of CO</w:t>
            </w:r>
            <w:r w:rsidRPr="00B355ED">
              <w:rPr>
                <w:rFonts w:ascii="Times New Roman" w:eastAsia="Times New Roman" w:hAnsi="Times New Roman" w:cs="Times New Roman"/>
                <w:b/>
                <w:bCs/>
                <w:kern w:val="32"/>
                <w:sz w:val="24"/>
                <w:szCs w:val="24"/>
                <w:vertAlign w:val="subscript"/>
                <w:lang w:val="en-US"/>
              </w:rPr>
              <w:t>2</w:t>
            </w:r>
            <w:r w:rsidRPr="00B355ED">
              <w:rPr>
                <w:rFonts w:ascii="Times New Roman" w:eastAsia="Times New Roman" w:hAnsi="Times New Roman" w:cs="Times New Roman"/>
                <w:b/>
                <w:bCs/>
                <w:kern w:val="32"/>
                <w:sz w:val="24"/>
                <w:szCs w:val="24"/>
                <w:lang w:val="en-US"/>
              </w:rPr>
              <w:t>)</w:t>
            </w:r>
          </w:p>
        </w:tc>
      </w:tr>
      <w:tr w:rsidR="00E61A66" w:rsidRPr="00B355ED" w14:paraId="3B6133EB" w14:textId="77777777" w:rsidTr="00E972C9">
        <w:trPr>
          <w:trHeight w:val="300"/>
        </w:trPr>
        <w:tc>
          <w:tcPr>
            <w:tcW w:w="1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D7BBFE"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1 High risk</w:t>
            </w:r>
          </w:p>
        </w:tc>
        <w:tc>
          <w:tcPr>
            <w:tcW w:w="1275" w:type="dxa"/>
            <w:tcBorders>
              <w:top w:val="nil"/>
              <w:left w:val="nil"/>
              <w:bottom w:val="single" w:sz="4" w:space="0" w:color="auto"/>
              <w:right w:val="single" w:sz="4" w:space="0" w:color="auto"/>
            </w:tcBorders>
            <w:shd w:val="clear" w:color="auto" w:fill="auto"/>
            <w:noWrap/>
            <w:vAlign w:val="center"/>
            <w:hideMark/>
          </w:tcPr>
          <w:p w14:paraId="6253AB54"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Amazon</w:t>
            </w:r>
          </w:p>
        </w:tc>
        <w:tc>
          <w:tcPr>
            <w:tcW w:w="1843" w:type="dxa"/>
            <w:tcBorders>
              <w:top w:val="nil"/>
              <w:left w:val="nil"/>
              <w:bottom w:val="single" w:sz="4" w:space="0" w:color="auto"/>
              <w:right w:val="single" w:sz="4" w:space="0" w:color="auto"/>
            </w:tcBorders>
            <w:shd w:val="clear" w:color="auto" w:fill="auto"/>
            <w:noWrap/>
            <w:vAlign w:val="center"/>
            <w:hideMark/>
          </w:tcPr>
          <w:p w14:paraId="3EE0AE3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w:t>
            </w:r>
            <w:r w:rsidRPr="00B355ED">
              <w:rPr>
                <w:rFonts w:ascii="Times New Roman" w:eastAsia="Times New Roman" w:hAnsi="Times New Roman" w:cs="Times New Roman"/>
                <w:bCs/>
                <w:kern w:val="32"/>
                <w:sz w:val="24"/>
                <w:szCs w:val="24"/>
              </w:rPr>
              <w:t>701</w:t>
            </w:r>
          </w:p>
        </w:tc>
        <w:tc>
          <w:tcPr>
            <w:tcW w:w="2268" w:type="dxa"/>
            <w:tcBorders>
              <w:top w:val="nil"/>
              <w:left w:val="nil"/>
              <w:bottom w:val="single" w:sz="4" w:space="0" w:color="auto"/>
              <w:right w:val="single" w:sz="4" w:space="0" w:color="auto"/>
            </w:tcBorders>
            <w:shd w:val="clear" w:color="auto" w:fill="auto"/>
            <w:noWrap/>
            <w:vAlign w:val="center"/>
            <w:hideMark/>
          </w:tcPr>
          <w:p w14:paraId="4C88B273"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140.</w:t>
            </w:r>
            <w:r w:rsidRPr="00B355ED">
              <w:rPr>
                <w:rFonts w:ascii="Times New Roman" w:eastAsia="Times New Roman" w:hAnsi="Times New Roman" w:cs="Times New Roman"/>
                <w:bCs/>
                <w:kern w:val="32"/>
                <w:sz w:val="24"/>
                <w:szCs w:val="24"/>
              </w:rPr>
              <w:t>868</w:t>
            </w:r>
          </w:p>
        </w:tc>
        <w:tc>
          <w:tcPr>
            <w:tcW w:w="2268" w:type="dxa"/>
            <w:tcBorders>
              <w:top w:val="nil"/>
              <w:left w:val="nil"/>
              <w:bottom w:val="single" w:sz="4" w:space="0" w:color="auto"/>
              <w:right w:val="single" w:sz="4" w:space="0" w:color="auto"/>
            </w:tcBorders>
            <w:shd w:val="clear" w:color="auto" w:fill="auto"/>
            <w:noWrap/>
            <w:vAlign w:val="center"/>
            <w:hideMark/>
          </w:tcPr>
          <w:p w14:paraId="3332B547"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14.179.</w:t>
            </w:r>
            <w:r w:rsidRPr="00B355ED">
              <w:rPr>
                <w:rFonts w:ascii="Times New Roman" w:eastAsia="Times New Roman" w:hAnsi="Times New Roman" w:cs="Times New Roman"/>
                <w:bCs/>
                <w:kern w:val="32"/>
                <w:sz w:val="24"/>
                <w:szCs w:val="24"/>
              </w:rPr>
              <w:t>028</w:t>
            </w:r>
          </w:p>
        </w:tc>
      </w:tr>
      <w:tr w:rsidR="00E61A66" w:rsidRPr="00B355ED" w14:paraId="5CC86FFA"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1B119105"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BF52DB5"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Caatinga</w:t>
            </w:r>
          </w:p>
        </w:tc>
        <w:tc>
          <w:tcPr>
            <w:tcW w:w="1843" w:type="dxa"/>
            <w:tcBorders>
              <w:top w:val="nil"/>
              <w:left w:val="nil"/>
              <w:bottom w:val="single" w:sz="4" w:space="0" w:color="auto"/>
              <w:right w:val="single" w:sz="4" w:space="0" w:color="auto"/>
            </w:tcBorders>
            <w:shd w:val="clear" w:color="auto" w:fill="auto"/>
            <w:noWrap/>
            <w:vAlign w:val="center"/>
            <w:hideMark/>
          </w:tcPr>
          <w:p w14:paraId="57E737C4"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43.</w:t>
            </w:r>
            <w:r w:rsidRPr="00B355ED">
              <w:rPr>
                <w:rFonts w:ascii="Times New Roman" w:eastAsia="Times New Roman" w:hAnsi="Times New Roman" w:cs="Times New Roman"/>
                <w:bCs/>
                <w:kern w:val="32"/>
                <w:sz w:val="24"/>
                <w:szCs w:val="24"/>
              </w:rPr>
              <w:t>900</w:t>
            </w:r>
          </w:p>
        </w:tc>
        <w:tc>
          <w:tcPr>
            <w:tcW w:w="2268" w:type="dxa"/>
            <w:tcBorders>
              <w:top w:val="nil"/>
              <w:left w:val="nil"/>
              <w:bottom w:val="single" w:sz="4" w:space="0" w:color="auto"/>
              <w:right w:val="single" w:sz="4" w:space="0" w:color="auto"/>
            </w:tcBorders>
            <w:shd w:val="clear" w:color="auto" w:fill="auto"/>
            <w:noWrap/>
            <w:vAlign w:val="center"/>
            <w:hideMark/>
          </w:tcPr>
          <w:p w14:paraId="5C535130"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1.053.</w:t>
            </w:r>
            <w:r w:rsidRPr="00B355ED">
              <w:rPr>
                <w:rFonts w:ascii="Times New Roman" w:eastAsia="Times New Roman" w:hAnsi="Times New Roman" w:cs="Times New Roman"/>
                <w:bCs/>
                <w:kern w:val="32"/>
                <w:sz w:val="24"/>
                <w:szCs w:val="24"/>
              </w:rPr>
              <w:t>479</w:t>
            </w:r>
          </w:p>
        </w:tc>
        <w:tc>
          <w:tcPr>
            <w:tcW w:w="2268" w:type="dxa"/>
            <w:tcBorders>
              <w:top w:val="nil"/>
              <w:left w:val="nil"/>
              <w:bottom w:val="single" w:sz="4" w:space="0" w:color="auto"/>
              <w:right w:val="single" w:sz="4" w:space="0" w:color="auto"/>
            </w:tcBorders>
            <w:shd w:val="clear" w:color="auto" w:fill="auto"/>
            <w:noWrap/>
            <w:vAlign w:val="center"/>
            <w:hideMark/>
          </w:tcPr>
          <w:p w14:paraId="035E895D"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18.797.</w:t>
            </w:r>
            <w:r w:rsidRPr="00B355ED">
              <w:rPr>
                <w:rFonts w:ascii="Times New Roman" w:eastAsia="Times New Roman" w:hAnsi="Times New Roman" w:cs="Times New Roman"/>
                <w:bCs/>
                <w:kern w:val="32"/>
                <w:sz w:val="24"/>
                <w:szCs w:val="24"/>
              </w:rPr>
              <w:t>515</w:t>
            </w:r>
          </w:p>
        </w:tc>
      </w:tr>
      <w:tr w:rsidR="00E61A66" w:rsidRPr="00B355ED" w14:paraId="2443F6B3"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107CB6B2"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1B797B38"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Cerrado</w:t>
            </w:r>
          </w:p>
        </w:tc>
        <w:tc>
          <w:tcPr>
            <w:tcW w:w="1843" w:type="dxa"/>
            <w:tcBorders>
              <w:top w:val="nil"/>
              <w:left w:val="nil"/>
              <w:bottom w:val="single" w:sz="4" w:space="0" w:color="auto"/>
              <w:right w:val="single" w:sz="4" w:space="0" w:color="auto"/>
            </w:tcBorders>
            <w:shd w:val="clear" w:color="auto" w:fill="auto"/>
            <w:noWrap/>
            <w:vAlign w:val="center"/>
            <w:hideMark/>
          </w:tcPr>
          <w:p w14:paraId="1E78E1C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w:t>
            </w:r>
            <w:r w:rsidRPr="00B355ED">
              <w:rPr>
                <w:rFonts w:ascii="Times New Roman" w:eastAsia="Times New Roman" w:hAnsi="Times New Roman" w:cs="Times New Roman"/>
                <w:bCs/>
                <w:kern w:val="32"/>
                <w:sz w:val="24"/>
                <w:szCs w:val="24"/>
              </w:rPr>
              <w:t>240</w:t>
            </w:r>
          </w:p>
        </w:tc>
        <w:tc>
          <w:tcPr>
            <w:tcW w:w="2268" w:type="dxa"/>
            <w:tcBorders>
              <w:top w:val="nil"/>
              <w:left w:val="nil"/>
              <w:bottom w:val="single" w:sz="4" w:space="0" w:color="auto"/>
              <w:right w:val="single" w:sz="4" w:space="0" w:color="auto"/>
            </w:tcBorders>
            <w:shd w:val="clear" w:color="auto" w:fill="auto"/>
            <w:noWrap/>
            <w:vAlign w:val="center"/>
            <w:hideMark/>
          </w:tcPr>
          <w:p w14:paraId="1E7B0968"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409.</w:t>
            </w:r>
            <w:r w:rsidRPr="00B355ED">
              <w:rPr>
                <w:rFonts w:ascii="Times New Roman" w:eastAsia="Times New Roman" w:hAnsi="Times New Roman" w:cs="Times New Roman"/>
                <w:bCs/>
                <w:kern w:val="32"/>
                <w:sz w:val="24"/>
                <w:szCs w:val="24"/>
              </w:rPr>
              <w:t>717</w:t>
            </w:r>
          </w:p>
        </w:tc>
        <w:tc>
          <w:tcPr>
            <w:tcW w:w="2268" w:type="dxa"/>
            <w:tcBorders>
              <w:top w:val="nil"/>
              <w:left w:val="nil"/>
              <w:bottom w:val="single" w:sz="4" w:space="0" w:color="auto"/>
              <w:right w:val="single" w:sz="4" w:space="0" w:color="auto"/>
            </w:tcBorders>
            <w:shd w:val="clear" w:color="auto" w:fill="auto"/>
            <w:noWrap/>
            <w:vAlign w:val="center"/>
            <w:hideMark/>
          </w:tcPr>
          <w:p w14:paraId="71249A65"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43.722.</w:t>
            </w:r>
            <w:r w:rsidRPr="00B355ED">
              <w:rPr>
                <w:rFonts w:ascii="Times New Roman" w:eastAsia="Times New Roman" w:hAnsi="Times New Roman" w:cs="Times New Roman"/>
                <w:bCs/>
                <w:kern w:val="32"/>
                <w:sz w:val="24"/>
                <w:szCs w:val="24"/>
              </w:rPr>
              <w:t>038</w:t>
            </w:r>
          </w:p>
        </w:tc>
      </w:tr>
      <w:tr w:rsidR="00E61A66" w:rsidRPr="00B355ED" w14:paraId="1CC1A45D"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5E5BFAFB"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9B853B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Pampa</w:t>
            </w:r>
          </w:p>
        </w:tc>
        <w:tc>
          <w:tcPr>
            <w:tcW w:w="1843" w:type="dxa"/>
            <w:tcBorders>
              <w:top w:val="nil"/>
              <w:left w:val="nil"/>
              <w:bottom w:val="single" w:sz="4" w:space="0" w:color="auto"/>
              <w:right w:val="single" w:sz="4" w:space="0" w:color="auto"/>
            </w:tcBorders>
            <w:shd w:val="clear" w:color="auto" w:fill="auto"/>
            <w:noWrap/>
            <w:vAlign w:val="center"/>
            <w:hideMark/>
          </w:tcPr>
          <w:p w14:paraId="7F714A5B" w14:textId="77777777" w:rsidR="00E61A66" w:rsidRPr="00B355ED" w:rsidRDefault="00E61A66" w:rsidP="00E972C9">
            <w:pPr>
              <w:keepNext/>
              <w:spacing w:before="40" w:after="40"/>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48.</w:t>
            </w:r>
            <w:r w:rsidRPr="00B355ED">
              <w:rPr>
                <w:rFonts w:ascii="Times New Roman" w:eastAsia="Times New Roman" w:hAnsi="Times New Roman" w:cs="Times New Roman"/>
                <w:bCs/>
                <w:kern w:val="32"/>
                <w:sz w:val="24"/>
                <w:szCs w:val="24"/>
              </w:rPr>
              <w:t>523</w:t>
            </w:r>
          </w:p>
        </w:tc>
        <w:tc>
          <w:tcPr>
            <w:tcW w:w="2268" w:type="dxa"/>
            <w:tcBorders>
              <w:top w:val="nil"/>
              <w:left w:val="nil"/>
              <w:bottom w:val="single" w:sz="4" w:space="0" w:color="auto"/>
              <w:right w:val="single" w:sz="4" w:space="0" w:color="auto"/>
            </w:tcBorders>
            <w:shd w:val="clear" w:color="auto" w:fill="auto"/>
            <w:noWrap/>
            <w:vAlign w:val="center"/>
            <w:hideMark/>
          </w:tcPr>
          <w:p w14:paraId="383E76F3"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1.280.</w:t>
            </w:r>
            <w:r w:rsidRPr="00B355ED">
              <w:rPr>
                <w:rFonts w:ascii="Times New Roman" w:eastAsia="Times New Roman" w:hAnsi="Times New Roman" w:cs="Times New Roman"/>
                <w:bCs/>
                <w:kern w:val="32"/>
                <w:sz w:val="24"/>
                <w:szCs w:val="24"/>
              </w:rPr>
              <w:t>936</w:t>
            </w:r>
          </w:p>
        </w:tc>
        <w:tc>
          <w:tcPr>
            <w:tcW w:w="2268" w:type="dxa"/>
            <w:tcBorders>
              <w:top w:val="nil"/>
              <w:left w:val="nil"/>
              <w:bottom w:val="single" w:sz="4" w:space="0" w:color="auto"/>
              <w:right w:val="single" w:sz="4" w:space="0" w:color="auto"/>
            </w:tcBorders>
            <w:shd w:val="clear" w:color="auto" w:fill="auto"/>
            <w:noWrap/>
            <w:vAlign w:val="center"/>
            <w:hideMark/>
          </w:tcPr>
          <w:p w14:paraId="4F6625B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61.931.</w:t>
            </w:r>
            <w:r w:rsidRPr="00B355ED">
              <w:rPr>
                <w:rFonts w:ascii="Times New Roman" w:eastAsia="Times New Roman" w:hAnsi="Times New Roman" w:cs="Times New Roman"/>
                <w:bCs/>
                <w:kern w:val="32"/>
                <w:sz w:val="24"/>
                <w:szCs w:val="24"/>
              </w:rPr>
              <w:t>155</w:t>
            </w:r>
          </w:p>
        </w:tc>
      </w:tr>
      <w:tr w:rsidR="00E61A66" w:rsidRPr="00B355ED" w14:paraId="51CE67EB"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4BCB572E"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2DC5FEB"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Pantanal</w:t>
            </w:r>
          </w:p>
        </w:tc>
        <w:tc>
          <w:tcPr>
            <w:tcW w:w="1843" w:type="dxa"/>
            <w:tcBorders>
              <w:top w:val="nil"/>
              <w:left w:val="nil"/>
              <w:bottom w:val="single" w:sz="4" w:space="0" w:color="auto"/>
              <w:right w:val="single" w:sz="4" w:space="0" w:color="auto"/>
            </w:tcBorders>
            <w:shd w:val="clear" w:color="auto" w:fill="auto"/>
            <w:noWrap/>
            <w:vAlign w:val="center"/>
            <w:hideMark/>
          </w:tcPr>
          <w:p w14:paraId="6B589CE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781</w:t>
            </w:r>
          </w:p>
        </w:tc>
        <w:tc>
          <w:tcPr>
            <w:tcW w:w="2268" w:type="dxa"/>
            <w:tcBorders>
              <w:top w:val="nil"/>
              <w:left w:val="nil"/>
              <w:bottom w:val="single" w:sz="4" w:space="0" w:color="auto"/>
              <w:right w:val="single" w:sz="4" w:space="0" w:color="auto"/>
            </w:tcBorders>
            <w:shd w:val="clear" w:color="auto" w:fill="auto"/>
            <w:noWrap/>
            <w:vAlign w:val="center"/>
            <w:hideMark/>
          </w:tcPr>
          <w:p w14:paraId="41881E4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366.</w:t>
            </w:r>
            <w:r w:rsidRPr="00B355ED">
              <w:rPr>
                <w:rFonts w:ascii="Times New Roman" w:eastAsia="Times New Roman" w:hAnsi="Times New Roman" w:cs="Times New Roman"/>
                <w:bCs/>
                <w:kern w:val="32"/>
                <w:sz w:val="24"/>
                <w:szCs w:val="24"/>
              </w:rPr>
              <w:t>961</w:t>
            </w:r>
          </w:p>
        </w:tc>
        <w:tc>
          <w:tcPr>
            <w:tcW w:w="2268" w:type="dxa"/>
            <w:tcBorders>
              <w:top w:val="nil"/>
              <w:left w:val="nil"/>
              <w:bottom w:val="single" w:sz="4" w:space="0" w:color="auto"/>
              <w:right w:val="single" w:sz="4" w:space="0" w:color="auto"/>
            </w:tcBorders>
            <w:shd w:val="clear" w:color="auto" w:fill="auto"/>
            <w:noWrap/>
            <w:vAlign w:val="center"/>
            <w:hideMark/>
          </w:tcPr>
          <w:p w14:paraId="1DFEC4B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14.187.</w:t>
            </w:r>
            <w:r w:rsidRPr="00B355ED">
              <w:rPr>
                <w:rFonts w:ascii="Times New Roman" w:eastAsia="Times New Roman" w:hAnsi="Times New Roman" w:cs="Times New Roman"/>
                <w:bCs/>
                <w:kern w:val="32"/>
                <w:sz w:val="24"/>
                <w:szCs w:val="24"/>
              </w:rPr>
              <w:t>145</w:t>
            </w:r>
          </w:p>
        </w:tc>
      </w:tr>
      <w:tr w:rsidR="00E61A66" w:rsidRPr="00B355ED" w14:paraId="12EE83C8" w14:textId="77777777" w:rsidTr="00E972C9">
        <w:trPr>
          <w:trHeight w:val="300"/>
        </w:trPr>
        <w:tc>
          <w:tcPr>
            <w:tcW w:w="1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75735E"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2 Medium risk</w:t>
            </w:r>
          </w:p>
        </w:tc>
        <w:tc>
          <w:tcPr>
            <w:tcW w:w="1275" w:type="dxa"/>
            <w:tcBorders>
              <w:top w:val="nil"/>
              <w:left w:val="nil"/>
              <w:bottom w:val="single" w:sz="4" w:space="0" w:color="auto"/>
              <w:right w:val="single" w:sz="4" w:space="0" w:color="auto"/>
            </w:tcBorders>
            <w:shd w:val="clear" w:color="auto" w:fill="auto"/>
            <w:noWrap/>
            <w:vAlign w:val="center"/>
            <w:hideMark/>
          </w:tcPr>
          <w:p w14:paraId="12D7C48D"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Amazon</w:t>
            </w:r>
          </w:p>
        </w:tc>
        <w:tc>
          <w:tcPr>
            <w:tcW w:w="1843" w:type="dxa"/>
            <w:tcBorders>
              <w:top w:val="nil"/>
              <w:left w:val="nil"/>
              <w:bottom w:val="single" w:sz="4" w:space="0" w:color="auto"/>
              <w:right w:val="single" w:sz="4" w:space="0" w:color="auto"/>
            </w:tcBorders>
            <w:shd w:val="clear" w:color="auto" w:fill="auto"/>
            <w:noWrap/>
            <w:vAlign w:val="center"/>
            <w:hideMark/>
          </w:tcPr>
          <w:p w14:paraId="7A9C222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17.</w:t>
            </w:r>
            <w:r w:rsidRPr="00B355ED">
              <w:rPr>
                <w:rFonts w:ascii="Times New Roman" w:eastAsia="Times New Roman" w:hAnsi="Times New Roman" w:cs="Times New Roman"/>
                <w:bCs/>
                <w:kern w:val="32"/>
                <w:sz w:val="24"/>
                <w:szCs w:val="24"/>
              </w:rPr>
              <w:t>251</w:t>
            </w:r>
          </w:p>
        </w:tc>
        <w:tc>
          <w:tcPr>
            <w:tcW w:w="2268" w:type="dxa"/>
            <w:tcBorders>
              <w:top w:val="nil"/>
              <w:left w:val="nil"/>
              <w:bottom w:val="single" w:sz="4" w:space="0" w:color="auto"/>
              <w:right w:val="single" w:sz="4" w:space="0" w:color="auto"/>
            </w:tcBorders>
            <w:shd w:val="clear" w:color="auto" w:fill="auto"/>
            <w:noWrap/>
            <w:vAlign w:val="center"/>
            <w:hideMark/>
          </w:tcPr>
          <w:p w14:paraId="52D7E0B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993.</w:t>
            </w:r>
            <w:r w:rsidRPr="00B355ED">
              <w:rPr>
                <w:rFonts w:ascii="Times New Roman" w:eastAsia="Times New Roman" w:hAnsi="Times New Roman" w:cs="Times New Roman"/>
                <w:bCs/>
                <w:kern w:val="32"/>
                <w:sz w:val="24"/>
                <w:szCs w:val="24"/>
              </w:rPr>
              <w:t>356</w:t>
            </w:r>
          </w:p>
        </w:tc>
        <w:tc>
          <w:tcPr>
            <w:tcW w:w="2268" w:type="dxa"/>
            <w:tcBorders>
              <w:top w:val="nil"/>
              <w:left w:val="nil"/>
              <w:bottom w:val="single" w:sz="4" w:space="0" w:color="auto"/>
              <w:right w:val="single" w:sz="4" w:space="0" w:color="auto"/>
            </w:tcBorders>
            <w:shd w:val="clear" w:color="auto" w:fill="auto"/>
            <w:noWrap/>
            <w:vAlign w:val="center"/>
            <w:hideMark/>
          </w:tcPr>
          <w:p w14:paraId="3ED52B64"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255.198.</w:t>
            </w:r>
            <w:r w:rsidRPr="00B355ED">
              <w:rPr>
                <w:rFonts w:ascii="Times New Roman" w:eastAsia="Times New Roman" w:hAnsi="Times New Roman" w:cs="Times New Roman"/>
                <w:bCs/>
                <w:kern w:val="32"/>
                <w:sz w:val="24"/>
                <w:szCs w:val="24"/>
              </w:rPr>
              <w:t>691</w:t>
            </w:r>
          </w:p>
        </w:tc>
      </w:tr>
      <w:tr w:rsidR="00E61A66" w:rsidRPr="00B355ED" w14:paraId="2A2E03C0"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63424B13"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0146F35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Caatinga</w:t>
            </w:r>
          </w:p>
        </w:tc>
        <w:tc>
          <w:tcPr>
            <w:tcW w:w="1843" w:type="dxa"/>
            <w:tcBorders>
              <w:top w:val="nil"/>
              <w:left w:val="nil"/>
              <w:bottom w:val="single" w:sz="4" w:space="0" w:color="auto"/>
              <w:right w:val="single" w:sz="4" w:space="0" w:color="auto"/>
            </w:tcBorders>
            <w:shd w:val="clear" w:color="auto" w:fill="auto"/>
            <w:noWrap/>
            <w:vAlign w:val="center"/>
            <w:hideMark/>
          </w:tcPr>
          <w:p w14:paraId="19F134FB"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274.</w:t>
            </w:r>
            <w:r w:rsidRPr="00B355ED">
              <w:rPr>
                <w:rFonts w:ascii="Times New Roman" w:eastAsia="Times New Roman" w:hAnsi="Times New Roman" w:cs="Times New Roman"/>
                <w:bCs/>
                <w:kern w:val="32"/>
                <w:sz w:val="24"/>
                <w:szCs w:val="24"/>
              </w:rPr>
              <w:t>369</w:t>
            </w:r>
          </w:p>
        </w:tc>
        <w:tc>
          <w:tcPr>
            <w:tcW w:w="2268" w:type="dxa"/>
            <w:tcBorders>
              <w:top w:val="nil"/>
              <w:left w:val="nil"/>
              <w:bottom w:val="single" w:sz="4" w:space="0" w:color="auto"/>
              <w:right w:val="single" w:sz="4" w:space="0" w:color="auto"/>
            </w:tcBorders>
            <w:shd w:val="clear" w:color="auto" w:fill="auto"/>
            <w:noWrap/>
            <w:vAlign w:val="center"/>
            <w:hideMark/>
          </w:tcPr>
          <w:p w14:paraId="558A50C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9.221.</w:t>
            </w:r>
            <w:r w:rsidRPr="00B355ED">
              <w:rPr>
                <w:rFonts w:ascii="Times New Roman" w:eastAsia="Times New Roman" w:hAnsi="Times New Roman" w:cs="Times New Roman"/>
                <w:bCs/>
                <w:kern w:val="32"/>
                <w:sz w:val="24"/>
                <w:szCs w:val="24"/>
              </w:rPr>
              <w:t>526</w:t>
            </w:r>
          </w:p>
        </w:tc>
        <w:tc>
          <w:tcPr>
            <w:tcW w:w="2268" w:type="dxa"/>
            <w:tcBorders>
              <w:top w:val="nil"/>
              <w:left w:val="nil"/>
              <w:bottom w:val="single" w:sz="4" w:space="0" w:color="auto"/>
              <w:right w:val="single" w:sz="4" w:space="0" w:color="auto"/>
            </w:tcBorders>
            <w:shd w:val="clear" w:color="auto" w:fill="auto"/>
            <w:noWrap/>
            <w:vAlign w:val="center"/>
            <w:hideMark/>
          </w:tcPr>
          <w:p w14:paraId="3649041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192.951.</w:t>
            </w:r>
            <w:r w:rsidRPr="00B355ED">
              <w:rPr>
                <w:rFonts w:ascii="Times New Roman" w:eastAsia="Times New Roman" w:hAnsi="Times New Roman" w:cs="Times New Roman"/>
                <w:bCs/>
                <w:kern w:val="32"/>
                <w:sz w:val="24"/>
                <w:szCs w:val="24"/>
              </w:rPr>
              <w:t>775</w:t>
            </w:r>
          </w:p>
        </w:tc>
      </w:tr>
      <w:tr w:rsidR="00E61A66" w:rsidRPr="00B355ED" w14:paraId="39F1128F"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4252B517"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9FA131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Cerrado</w:t>
            </w:r>
          </w:p>
        </w:tc>
        <w:tc>
          <w:tcPr>
            <w:tcW w:w="1843" w:type="dxa"/>
            <w:tcBorders>
              <w:top w:val="nil"/>
              <w:left w:val="nil"/>
              <w:bottom w:val="single" w:sz="4" w:space="0" w:color="auto"/>
              <w:right w:val="single" w:sz="4" w:space="0" w:color="auto"/>
            </w:tcBorders>
            <w:shd w:val="clear" w:color="auto" w:fill="auto"/>
            <w:noWrap/>
            <w:vAlign w:val="center"/>
            <w:hideMark/>
          </w:tcPr>
          <w:p w14:paraId="09BC1E9F"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110.</w:t>
            </w:r>
            <w:r w:rsidRPr="00B355ED">
              <w:rPr>
                <w:rFonts w:ascii="Times New Roman" w:eastAsia="Times New Roman" w:hAnsi="Times New Roman" w:cs="Times New Roman"/>
                <w:bCs/>
                <w:kern w:val="32"/>
                <w:sz w:val="24"/>
                <w:szCs w:val="24"/>
              </w:rPr>
              <w:t>832</w:t>
            </w:r>
          </w:p>
        </w:tc>
        <w:tc>
          <w:tcPr>
            <w:tcW w:w="2268" w:type="dxa"/>
            <w:tcBorders>
              <w:top w:val="nil"/>
              <w:left w:val="nil"/>
              <w:bottom w:val="single" w:sz="4" w:space="0" w:color="auto"/>
              <w:right w:val="single" w:sz="4" w:space="0" w:color="auto"/>
            </w:tcBorders>
            <w:shd w:val="clear" w:color="auto" w:fill="auto"/>
            <w:noWrap/>
            <w:vAlign w:val="center"/>
            <w:hideMark/>
          </w:tcPr>
          <w:p w14:paraId="10EF809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9.980.</w:t>
            </w:r>
            <w:r w:rsidRPr="00B355ED">
              <w:rPr>
                <w:rFonts w:ascii="Times New Roman" w:eastAsia="Times New Roman" w:hAnsi="Times New Roman" w:cs="Times New Roman"/>
                <w:bCs/>
                <w:kern w:val="32"/>
                <w:sz w:val="24"/>
                <w:szCs w:val="24"/>
              </w:rPr>
              <w:t>063</w:t>
            </w:r>
          </w:p>
        </w:tc>
        <w:tc>
          <w:tcPr>
            <w:tcW w:w="2268" w:type="dxa"/>
            <w:tcBorders>
              <w:top w:val="nil"/>
              <w:left w:val="nil"/>
              <w:bottom w:val="single" w:sz="4" w:space="0" w:color="auto"/>
              <w:right w:val="single" w:sz="4" w:space="0" w:color="auto"/>
            </w:tcBorders>
            <w:shd w:val="clear" w:color="auto" w:fill="auto"/>
            <w:noWrap/>
            <w:vAlign w:val="center"/>
            <w:hideMark/>
          </w:tcPr>
          <w:p w14:paraId="4F242D77"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453.045.</w:t>
            </w:r>
            <w:r w:rsidRPr="00B355ED">
              <w:rPr>
                <w:rFonts w:ascii="Times New Roman" w:eastAsia="Times New Roman" w:hAnsi="Times New Roman" w:cs="Times New Roman"/>
                <w:bCs/>
                <w:kern w:val="32"/>
                <w:sz w:val="24"/>
                <w:szCs w:val="24"/>
              </w:rPr>
              <w:t>662</w:t>
            </w:r>
          </w:p>
        </w:tc>
      </w:tr>
      <w:tr w:rsidR="00E61A66" w:rsidRPr="00B355ED" w14:paraId="753141B8"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7061DA1A"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4F915B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Pampa</w:t>
            </w:r>
          </w:p>
        </w:tc>
        <w:tc>
          <w:tcPr>
            <w:tcW w:w="1843" w:type="dxa"/>
            <w:tcBorders>
              <w:top w:val="nil"/>
              <w:left w:val="nil"/>
              <w:bottom w:val="single" w:sz="4" w:space="0" w:color="auto"/>
              <w:right w:val="single" w:sz="4" w:space="0" w:color="auto"/>
            </w:tcBorders>
            <w:shd w:val="clear" w:color="auto" w:fill="auto"/>
            <w:noWrap/>
            <w:vAlign w:val="center"/>
            <w:hideMark/>
          </w:tcPr>
          <w:p w14:paraId="12C2506B"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59.</w:t>
            </w:r>
            <w:r w:rsidRPr="00B355ED">
              <w:rPr>
                <w:rFonts w:ascii="Times New Roman" w:eastAsia="Times New Roman" w:hAnsi="Times New Roman" w:cs="Times New Roman"/>
                <w:bCs/>
                <w:kern w:val="32"/>
                <w:sz w:val="24"/>
                <w:szCs w:val="24"/>
              </w:rPr>
              <w:t>010</w:t>
            </w:r>
          </w:p>
        </w:tc>
        <w:tc>
          <w:tcPr>
            <w:tcW w:w="2268" w:type="dxa"/>
            <w:tcBorders>
              <w:top w:val="nil"/>
              <w:left w:val="nil"/>
              <w:bottom w:val="single" w:sz="4" w:space="0" w:color="auto"/>
              <w:right w:val="single" w:sz="4" w:space="0" w:color="auto"/>
            </w:tcBorders>
            <w:shd w:val="clear" w:color="auto" w:fill="auto"/>
            <w:noWrap/>
            <w:vAlign w:val="center"/>
            <w:hideMark/>
          </w:tcPr>
          <w:p w14:paraId="4393CB00"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3.029.</w:t>
            </w:r>
            <w:r w:rsidRPr="00B355ED">
              <w:rPr>
                <w:rFonts w:ascii="Times New Roman" w:eastAsia="Times New Roman" w:hAnsi="Times New Roman" w:cs="Times New Roman"/>
                <w:bCs/>
                <w:kern w:val="32"/>
                <w:sz w:val="24"/>
                <w:szCs w:val="24"/>
              </w:rPr>
              <w:t>375</w:t>
            </w:r>
          </w:p>
        </w:tc>
        <w:tc>
          <w:tcPr>
            <w:tcW w:w="2268" w:type="dxa"/>
            <w:tcBorders>
              <w:top w:val="nil"/>
              <w:left w:val="nil"/>
              <w:bottom w:val="single" w:sz="4" w:space="0" w:color="auto"/>
              <w:right w:val="single" w:sz="4" w:space="0" w:color="auto"/>
            </w:tcBorders>
            <w:shd w:val="clear" w:color="auto" w:fill="auto"/>
            <w:noWrap/>
            <w:vAlign w:val="center"/>
            <w:hideMark/>
          </w:tcPr>
          <w:p w14:paraId="17DF865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108.965.</w:t>
            </w:r>
            <w:r w:rsidRPr="00B355ED">
              <w:rPr>
                <w:rFonts w:ascii="Times New Roman" w:eastAsia="Times New Roman" w:hAnsi="Times New Roman" w:cs="Times New Roman"/>
                <w:bCs/>
                <w:kern w:val="32"/>
                <w:sz w:val="24"/>
                <w:szCs w:val="24"/>
              </w:rPr>
              <w:t>362</w:t>
            </w:r>
          </w:p>
        </w:tc>
      </w:tr>
      <w:tr w:rsidR="00E61A66" w:rsidRPr="00B355ED" w14:paraId="4E6036FA"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7DB31DAF"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B86CDDD"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Pantanal</w:t>
            </w:r>
          </w:p>
        </w:tc>
        <w:tc>
          <w:tcPr>
            <w:tcW w:w="1843" w:type="dxa"/>
            <w:tcBorders>
              <w:top w:val="nil"/>
              <w:left w:val="nil"/>
              <w:bottom w:val="single" w:sz="4" w:space="0" w:color="auto"/>
              <w:right w:val="single" w:sz="4" w:space="0" w:color="auto"/>
            </w:tcBorders>
            <w:shd w:val="clear" w:color="auto" w:fill="auto"/>
            <w:noWrap/>
            <w:vAlign w:val="center"/>
            <w:hideMark/>
          </w:tcPr>
          <w:p w14:paraId="5D948AE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w:t>
            </w:r>
            <w:r w:rsidRPr="00B355ED">
              <w:rPr>
                <w:rFonts w:ascii="Times New Roman" w:eastAsia="Times New Roman" w:hAnsi="Times New Roman" w:cs="Times New Roman"/>
                <w:bCs/>
                <w:kern w:val="32"/>
                <w:sz w:val="24"/>
                <w:szCs w:val="24"/>
              </w:rPr>
              <w:t>700</w:t>
            </w:r>
          </w:p>
        </w:tc>
        <w:tc>
          <w:tcPr>
            <w:tcW w:w="2268" w:type="dxa"/>
            <w:tcBorders>
              <w:top w:val="nil"/>
              <w:left w:val="nil"/>
              <w:bottom w:val="single" w:sz="4" w:space="0" w:color="auto"/>
              <w:right w:val="single" w:sz="4" w:space="0" w:color="auto"/>
            </w:tcBorders>
            <w:shd w:val="clear" w:color="auto" w:fill="auto"/>
            <w:noWrap/>
            <w:vAlign w:val="center"/>
            <w:hideMark/>
          </w:tcPr>
          <w:p w14:paraId="26A17DD0"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3.553.</w:t>
            </w:r>
            <w:r w:rsidRPr="00B355ED">
              <w:rPr>
                <w:rFonts w:ascii="Times New Roman" w:eastAsia="Times New Roman" w:hAnsi="Times New Roman" w:cs="Times New Roman"/>
                <w:bCs/>
                <w:kern w:val="32"/>
                <w:sz w:val="24"/>
                <w:szCs w:val="24"/>
              </w:rPr>
              <w:t>590</w:t>
            </w:r>
          </w:p>
        </w:tc>
        <w:tc>
          <w:tcPr>
            <w:tcW w:w="2268" w:type="dxa"/>
            <w:tcBorders>
              <w:top w:val="nil"/>
              <w:left w:val="nil"/>
              <w:bottom w:val="single" w:sz="4" w:space="0" w:color="auto"/>
              <w:right w:val="single" w:sz="4" w:space="0" w:color="auto"/>
            </w:tcBorders>
            <w:shd w:val="clear" w:color="auto" w:fill="auto"/>
            <w:noWrap/>
            <w:vAlign w:val="center"/>
            <w:hideMark/>
          </w:tcPr>
          <w:p w14:paraId="1C644964"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97.032.</w:t>
            </w:r>
            <w:r w:rsidRPr="00B355ED">
              <w:rPr>
                <w:rFonts w:ascii="Times New Roman" w:eastAsia="Times New Roman" w:hAnsi="Times New Roman" w:cs="Times New Roman"/>
                <w:bCs/>
                <w:kern w:val="32"/>
                <w:sz w:val="24"/>
                <w:szCs w:val="24"/>
              </w:rPr>
              <w:t>987</w:t>
            </w:r>
          </w:p>
        </w:tc>
      </w:tr>
      <w:tr w:rsidR="00E61A66" w:rsidRPr="00B355ED" w14:paraId="067F54D9" w14:textId="77777777" w:rsidTr="00E972C9">
        <w:trPr>
          <w:trHeight w:val="300"/>
        </w:trPr>
        <w:tc>
          <w:tcPr>
            <w:tcW w:w="1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9F0C2"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3 Low risk</w:t>
            </w:r>
          </w:p>
        </w:tc>
        <w:tc>
          <w:tcPr>
            <w:tcW w:w="1275" w:type="dxa"/>
            <w:tcBorders>
              <w:top w:val="nil"/>
              <w:left w:val="nil"/>
              <w:bottom w:val="single" w:sz="4" w:space="0" w:color="auto"/>
              <w:right w:val="single" w:sz="4" w:space="0" w:color="auto"/>
            </w:tcBorders>
            <w:shd w:val="clear" w:color="auto" w:fill="auto"/>
            <w:noWrap/>
            <w:vAlign w:val="center"/>
            <w:hideMark/>
          </w:tcPr>
          <w:p w14:paraId="5006177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Amazon</w:t>
            </w:r>
          </w:p>
        </w:tc>
        <w:tc>
          <w:tcPr>
            <w:tcW w:w="1843" w:type="dxa"/>
            <w:tcBorders>
              <w:top w:val="nil"/>
              <w:left w:val="nil"/>
              <w:bottom w:val="single" w:sz="4" w:space="0" w:color="auto"/>
              <w:right w:val="single" w:sz="4" w:space="0" w:color="auto"/>
            </w:tcBorders>
            <w:shd w:val="clear" w:color="auto" w:fill="auto"/>
            <w:noWrap/>
            <w:vAlign w:val="center"/>
            <w:hideMark/>
          </w:tcPr>
          <w:p w14:paraId="14BE498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78.</w:t>
            </w:r>
            <w:r w:rsidRPr="00B355ED">
              <w:rPr>
                <w:rFonts w:ascii="Times New Roman" w:eastAsia="Times New Roman" w:hAnsi="Times New Roman" w:cs="Times New Roman"/>
                <w:bCs/>
                <w:kern w:val="32"/>
                <w:sz w:val="24"/>
                <w:szCs w:val="24"/>
              </w:rPr>
              <w:t>480</w:t>
            </w:r>
          </w:p>
        </w:tc>
        <w:tc>
          <w:tcPr>
            <w:tcW w:w="2268" w:type="dxa"/>
            <w:tcBorders>
              <w:top w:val="nil"/>
              <w:left w:val="nil"/>
              <w:bottom w:val="single" w:sz="4" w:space="0" w:color="auto"/>
              <w:right w:val="single" w:sz="4" w:space="0" w:color="auto"/>
            </w:tcBorders>
            <w:shd w:val="clear" w:color="auto" w:fill="auto"/>
            <w:noWrap/>
            <w:vAlign w:val="center"/>
            <w:hideMark/>
          </w:tcPr>
          <w:p w14:paraId="6316B294"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6.726.</w:t>
            </w:r>
            <w:r w:rsidRPr="00B355ED">
              <w:rPr>
                <w:rFonts w:ascii="Times New Roman" w:eastAsia="Times New Roman" w:hAnsi="Times New Roman" w:cs="Times New Roman"/>
                <w:bCs/>
                <w:kern w:val="32"/>
                <w:sz w:val="24"/>
                <w:szCs w:val="24"/>
              </w:rPr>
              <w:t>239</w:t>
            </w:r>
          </w:p>
        </w:tc>
        <w:tc>
          <w:tcPr>
            <w:tcW w:w="2268" w:type="dxa"/>
            <w:tcBorders>
              <w:top w:val="nil"/>
              <w:left w:val="nil"/>
              <w:bottom w:val="single" w:sz="4" w:space="0" w:color="auto"/>
              <w:right w:val="single" w:sz="4" w:space="0" w:color="auto"/>
            </w:tcBorders>
            <w:shd w:val="clear" w:color="auto" w:fill="auto"/>
            <w:noWrap/>
            <w:vAlign w:val="center"/>
            <w:hideMark/>
          </w:tcPr>
          <w:p w14:paraId="78CDB400"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2.822.903.</w:t>
            </w:r>
            <w:r w:rsidRPr="00B355ED">
              <w:rPr>
                <w:rFonts w:ascii="Times New Roman" w:eastAsia="Times New Roman" w:hAnsi="Times New Roman" w:cs="Times New Roman"/>
                <w:bCs/>
                <w:kern w:val="32"/>
                <w:sz w:val="24"/>
                <w:szCs w:val="24"/>
              </w:rPr>
              <w:t>583</w:t>
            </w:r>
          </w:p>
        </w:tc>
      </w:tr>
      <w:tr w:rsidR="00E61A66" w:rsidRPr="00B355ED" w14:paraId="3E27215D"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5DE6AB39"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754391DB"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Caatinga</w:t>
            </w:r>
          </w:p>
        </w:tc>
        <w:tc>
          <w:tcPr>
            <w:tcW w:w="1843" w:type="dxa"/>
            <w:tcBorders>
              <w:top w:val="nil"/>
              <w:left w:val="nil"/>
              <w:bottom w:val="single" w:sz="4" w:space="0" w:color="auto"/>
              <w:right w:val="single" w:sz="4" w:space="0" w:color="auto"/>
            </w:tcBorders>
            <w:shd w:val="clear" w:color="auto" w:fill="auto"/>
            <w:noWrap/>
            <w:vAlign w:val="center"/>
            <w:hideMark/>
          </w:tcPr>
          <w:p w14:paraId="3C3F6AD5"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91.</w:t>
            </w:r>
            <w:r w:rsidRPr="00B355ED">
              <w:rPr>
                <w:rFonts w:ascii="Times New Roman" w:eastAsia="Times New Roman" w:hAnsi="Times New Roman" w:cs="Times New Roman"/>
                <w:bCs/>
                <w:kern w:val="32"/>
                <w:sz w:val="24"/>
                <w:szCs w:val="24"/>
              </w:rPr>
              <w:t>735</w:t>
            </w:r>
          </w:p>
        </w:tc>
        <w:tc>
          <w:tcPr>
            <w:tcW w:w="2268" w:type="dxa"/>
            <w:tcBorders>
              <w:top w:val="nil"/>
              <w:left w:val="nil"/>
              <w:bottom w:val="single" w:sz="4" w:space="0" w:color="auto"/>
              <w:right w:val="single" w:sz="4" w:space="0" w:color="auto"/>
            </w:tcBorders>
            <w:shd w:val="clear" w:color="auto" w:fill="auto"/>
            <w:noWrap/>
            <w:vAlign w:val="center"/>
            <w:hideMark/>
          </w:tcPr>
          <w:p w14:paraId="67F232F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3.659.</w:t>
            </w:r>
            <w:r w:rsidRPr="00B355ED">
              <w:rPr>
                <w:rFonts w:ascii="Times New Roman" w:eastAsia="Times New Roman" w:hAnsi="Times New Roman" w:cs="Times New Roman"/>
                <w:bCs/>
                <w:kern w:val="32"/>
                <w:sz w:val="24"/>
                <w:szCs w:val="24"/>
              </w:rPr>
              <w:t>583</w:t>
            </w:r>
          </w:p>
        </w:tc>
        <w:tc>
          <w:tcPr>
            <w:tcW w:w="2268" w:type="dxa"/>
            <w:tcBorders>
              <w:top w:val="nil"/>
              <w:left w:val="nil"/>
              <w:bottom w:val="single" w:sz="4" w:space="0" w:color="auto"/>
              <w:right w:val="single" w:sz="4" w:space="0" w:color="auto"/>
            </w:tcBorders>
            <w:shd w:val="clear" w:color="auto" w:fill="auto"/>
            <w:noWrap/>
            <w:vAlign w:val="center"/>
            <w:hideMark/>
          </w:tcPr>
          <w:p w14:paraId="519AE3EF"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124.307.</w:t>
            </w:r>
            <w:r w:rsidRPr="00B355ED">
              <w:rPr>
                <w:rFonts w:ascii="Times New Roman" w:eastAsia="Times New Roman" w:hAnsi="Times New Roman" w:cs="Times New Roman"/>
                <w:bCs/>
                <w:kern w:val="32"/>
                <w:sz w:val="24"/>
                <w:szCs w:val="24"/>
              </w:rPr>
              <w:t>373</w:t>
            </w:r>
          </w:p>
        </w:tc>
      </w:tr>
      <w:tr w:rsidR="00E61A66" w:rsidRPr="00B355ED" w14:paraId="154AC183"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7E37C8F2"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3D24D5C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Cerrado</w:t>
            </w:r>
          </w:p>
        </w:tc>
        <w:tc>
          <w:tcPr>
            <w:tcW w:w="1843" w:type="dxa"/>
            <w:tcBorders>
              <w:top w:val="nil"/>
              <w:left w:val="nil"/>
              <w:bottom w:val="single" w:sz="4" w:space="0" w:color="auto"/>
              <w:right w:val="single" w:sz="4" w:space="0" w:color="auto"/>
            </w:tcBorders>
            <w:shd w:val="clear" w:color="auto" w:fill="auto"/>
            <w:noWrap/>
            <w:vAlign w:val="center"/>
            <w:hideMark/>
          </w:tcPr>
          <w:p w14:paraId="492A732F"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146.</w:t>
            </w:r>
            <w:r w:rsidRPr="00B355ED">
              <w:rPr>
                <w:rFonts w:ascii="Times New Roman" w:eastAsia="Times New Roman" w:hAnsi="Times New Roman" w:cs="Times New Roman"/>
                <w:bCs/>
                <w:kern w:val="32"/>
                <w:sz w:val="24"/>
                <w:szCs w:val="24"/>
              </w:rPr>
              <w:t>508</w:t>
            </w:r>
          </w:p>
        </w:tc>
        <w:tc>
          <w:tcPr>
            <w:tcW w:w="2268" w:type="dxa"/>
            <w:tcBorders>
              <w:top w:val="nil"/>
              <w:left w:val="nil"/>
              <w:bottom w:val="single" w:sz="4" w:space="0" w:color="auto"/>
              <w:right w:val="single" w:sz="4" w:space="0" w:color="auto"/>
            </w:tcBorders>
            <w:shd w:val="clear" w:color="auto" w:fill="auto"/>
            <w:noWrap/>
            <w:vAlign w:val="center"/>
            <w:hideMark/>
          </w:tcPr>
          <w:p w14:paraId="7C91B2E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15.757.</w:t>
            </w:r>
            <w:r w:rsidRPr="00B355ED">
              <w:rPr>
                <w:rFonts w:ascii="Times New Roman" w:eastAsia="Times New Roman" w:hAnsi="Times New Roman" w:cs="Times New Roman"/>
                <w:bCs/>
                <w:kern w:val="32"/>
                <w:sz w:val="24"/>
                <w:szCs w:val="24"/>
              </w:rPr>
              <w:t>564</w:t>
            </w:r>
          </w:p>
        </w:tc>
        <w:tc>
          <w:tcPr>
            <w:tcW w:w="2268" w:type="dxa"/>
            <w:tcBorders>
              <w:top w:val="nil"/>
              <w:left w:val="nil"/>
              <w:bottom w:val="single" w:sz="4" w:space="0" w:color="auto"/>
              <w:right w:val="single" w:sz="4" w:space="0" w:color="auto"/>
            </w:tcBorders>
            <w:shd w:val="clear" w:color="auto" w:fill="auto"/>
            <w:noWrap/>
            <w:vAlign w:val="center"/>
            <w:hideMark/>
          </w:tcPr>
          <w:p w14:paraId="7C8855A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741.290.</w:t>
            </w:r>
            <w:r w:rsidRPr="00B355ED">
              <w:rPr>
                <w:rFonts w:ascii="Times New Roman" w:eastAsia="Times New Roman" w:hAnsi="Times New Roman" w:cs="Times New Roman"/>
                <w:bCs/>
                <w:kern w:val="32"/>
                <w:sz w:val="24"/>
                <w:szCs w:val="24"/>
              </w:rPr>
              <w:t>921</w:t>
            </w:r>
          </w:p>
        </w:tc>
      </w:tr>
      <w:tr w:rsidR="00E61A66" w:rsidRPr="00B355ED" w14:paraId="6CE27140"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6FEE69F9"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86455D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Pampa</w:t>
            </w:r>
          </w:p>
        </w:tc>
        <w:tc>
          <w:tcPr>
            <w:tcW w:w="1843" w:type="dxa"/>
            <w:tcBorders>
              <w:top w:val="nil"/>
              <w:left w:val="nil"/>
              <w:bottom w:val="single" w:sz="4" w:space="0" w:color="auto"/>
              <w:right w:val="single" w:sz="4" w:space="0" w:color="auto"/>
            </w:tcBorders>
            <w:shd w:val="clear" w:color="auto" w:fill="auto"/>
            <w:noWrap/>
            <w:vAlign w:val="center"/>
            <w:hideMark/>
          </w:tcPr>
          <w:p w14:paraId="2C3CFD2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w:t>
            </w:r>
            <w:r w:rsidRPr="00B355ED">
              <w:rPr>
                <w:rFonts w:ascii="Times New Roman" w:eastAsia="Times New Roman" w:hAnsi="Times New Roman" w:cs="Times New Roman"/>
                <w:bCs/>
                <w:kern w:val="32"/>
                <w:sz w:val="24"/>
                <w:szCs w:val="24"/>
              </w:rPr>
              <w:t>214</w:t>
            </w:r>
          </w:p>
        </w:tc>
        <w:tc>
          <w:tcPr>
            <w:tcW w:w="2268" w:type="dxa"/>
            <w:tcBorders>
              <w:top w:val="nil"/>
              <w:left w:val="nil"/>
              <w:bottom w:val="single" w:sz="4" w:space="0" w:color="auto"/>
              <w:right w:val="single" w:sz="4" w:space="0" w:color="auto"/>
            </w:tcBorders>
            <w:shd w:val="clear" w:color="auto" w:fill="auto"/>
            <w:noWrap/>
            <w:vAlign w:val="center"/>
            <w:hideMark/>
          </w:tcPr>
          <w:p w14:paraId="3AC9A7C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94.</w:t>
            </w:r>
            <w:r w:rsidRPr="00B355ED">
              <w:rPr>
                <w:rFonts w:ascii="Times New Roman" w:eastAsia="Times New Roman" w:hAnsi="Times New Roman" w:cs="Times New Roman"/>
                <w:bCs/>
                <w:kern w:val="32"/>
                <w:sz w:val="24"/>
                <w:szCs w:val="24"/>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65363D8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5.089.</w:t>
            </w:r>
            <w:r w:rsidRPr="00B355ED">
              <w:rPr>
                <w:rFonts w:ascii="Times New Roman" w:eastAsia="Times New Roman" w:hAnsi="Times New Roman" w:cs="Times New Roman"/>
                <w:bCs/>
                <w:kern w:val="32"/>
                <w:sz w:val="24"/>
                <w:szCs w:val="24"/>
              </w:rPr>
              <w:t>178</w:t>
            </w:r>
          </w:p>
        </w:tc>
      </w:tr>
      <w:tr w:rsidR="00E61A66" w:rsidRPr="00B355ED" w14:paraId="2EF8A4DD"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461F99F6"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456259F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Pantanal</w:t>
            </w:r>
          </w:p>
        </w:tc>
        <w:tc>
          <w:tcPr>
            <w:tcW w:w="1843" w:type="dxa"/>
            <w:tcBorders>
              <w:top w:val="nil"/>
              <w:left w:val="nil"/>
              <w:bottom w:val="single" w:sz="4" w:space="0" w:color="auto"/>
              <w:right w:val="single" w:sz="4" w:space="0" w:color="auto"/>
            </w:tcBorders>
            <w:shd w:val="clear" w:color="auto" w:fill="auto"/>
            <w:noWrap/>
            <w:vAlign w:val="center"/>
            <w:hideMark/>
          </w:tcPr>
          <w:p w14:paraId="6923472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871</w:t>
            </w:r>
          </w:p>
        </w:tc>
        <w:tc>
          <w:tcPr>
            <w:tcW w:w="2268" w:type="dxa"/>
            <w:tcBorders>
              <w:top w:val="nil"/>
              <w:left w:val="nil"/>
              <w:bottom w:val="single" w:sz="4" w:space="0" w:color="auto"/>
              <w:right w:val="single" w:sz="4" w:space="0" w:color="auto"/>
            </w:tcBorders>
            <w:shd w:val="clear" w:color="auto" w:fill="auto"/>
            <w:noWrap/>
            <w:vAlign w:val="center"/>
            <w:hideMark/>
          </w:tcPr>
          <w:p w14:paraId="096C9F5F"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2.800.</w:t>
            </w:r>
            <w:r w:rsidRPr="00B355ED">
              <w:rPr>
                <w:rFonts w:ascii="Times New Roman" w:eastAsia="Times New Roman" w:hAnsi="Times New Roman" w:cs="Times New Roman"/>
                <w:bCs/>
                <w:kern w:val="32"/>
                <w:sz w:val="24"/>
                <w:szCs w:val="24"/>
              </w:rPr>
              <w:t>096</w:t>
            </w:r>
          </w:p>
        </w:tc>
        <w:tc>
          <w:tcPr>
            <w:tcW w:w="2268" w:type="dxa"/>
            <w:tcBorders>
              <w:top w:val="nil"/>
              <w:left w:val="nil"/>
              <w:bottom w:val="single" w:sz="4" w:space="0" w:color="auto"/>
              <w:right w:val="single" w:sz="4" w:space="0" w:color="auto"/>
            </w:tcBorders>
            <w:shd w:val="clear" w:color="auto" w:fill="auto"/>
            <w:noWrap/>
            <w:vAlign w:val="center"/>
            <w:hideMark/>
          </w:tcPr>
          <w:p w14:paraId="272AC5F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102.655.</w:t>
            </w:r>
            <w:r w:rsidRPr="00B355ED">
              <w:rPr>
                <w:rFonts w:ascii="Times New Roman" w:eastAsia="Times New Roman" w:hAnsi="Times New Roman" w:cs="Times New Roman"/>
                <w:bCs/>
                <w:kern w:val="32"/>
                <w:sz w:val="24"/>
                <w:szCs w:val="24"/>
              </w:rPr>
              <w:t>643</w:t>
            </w:r>
          </w:p>
        </w:tc>
      </w:tr>
      <w:tr w:rsidR="00E61A66" w:rsidRPr="00B355ED" w14:paraId="6FADB4A6" w14:textId="77777777" w:rsidTr="00E972C9">
        <w:trPr>
          <w:trHeight w:val="300"/>
        </w:trPr>
        <w:tc>
          <w:tcPr>
            <w:tcW w:w="1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D984DC"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4 No risk</w:t>
            </w:r>
          </w:p>
        </w:tc>
        <w:tc>
          <w:tcPr>
            <w:tcW w:w="1275" w:type="dxa"/>
            <w:tcBorders>
              <w:top w:val="nil"/>
              <w:left w:val="nil"/>
              <w:bottom w:val="single" w:sz="4" w:space="0" w:color="auto"/>
              <w:right w:val="single" w:sz="4" w:space="0" w:color="auto"/>
            </w:tcBorders>
            <w:shd w:val="clear" w:color="auto" w:fill="auto"/>
            <w:noWrap/>
            <w:vAlign w:val="center"/>
            <w:hideMark/>
          </w:tcPr>
          <w:p w14:paraId="1ACAA5D8"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Amazon</w:t>
            </w:r>
          </w:p>
        </w:tc>
        <w:tc>
          <w:tcPr>
            <w:tcW w:w="1843" w:type="dxa"/>
            <w:tcBorders>
              <w:top w:val="nil"/>
              <w:left w:val="nil"/>
              <w:bottom w:val="single" w:sz="4" w:space="0" w:color="auto"/>
              <w:right w:val="single" w:sz="4" w:space="0" w:color="auto"/>
            </w:tcBorders>
            <w:shd w:val="clear" w:color="auto" w:fill="auto"/>
            <w:noWrap/>
            <w:vAlign w:val="center"/>
            <w:hideMark/>
          </w:tcPr>
          <w:p w14:paraId="6B49129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13.</w:t>
            </w:r>
            <w:r w:rsidRPr="00B355ED">
              <w:rPr>
                <w:rFonts w:ascii="Times New Roman" w:eastAsia="Times New Roman" w:hAnsi="Times New Roman" w:cs="Times New Roman"/>
                <w:bCs/>
                <w:kern w:val="32"/>
                <w:sz w:val="24"/>
                <w:szCs w:val="24"/>
              </w:rPr>
              <w:t>389</w:t>
            </w:r>
          </w:p>
        </w:tc>
        <w:tc>
          <w:tcPr>
            <w:tcW w:w="2268" w:type="dxa"/>
            <w:tcBorders>
              <w:top w:val="nil"/>
              <w:left w:val="nil"/>
              <w:bottom w:val="single" w:sz="4" w:space="0" w:color="auto"/>
              <w:right w:val="single" w:sz="4" w:space="0" w:color="auto"/>
            </w:tcBorders>
            <w:shd w:val="clear" w:color="auto" w:fill="auto"/>
            <w:noWrap/>
            <w:vAlign w:val="center"/>
            <w:hideMark/>
          </w:tcPr>
          <w:p w14:paraId="6D5B948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1.176.</w:t>
            </w:r>
            <w:r w:rsidRPr="00B355ED">
              <w:rPr>
                <w:rFonts w:ascii="Times New Roman" w:eastAsia="Times New Roman" w:hAnsi="Times New Roman" w:cs="Times New Roman"/>
                <w:bCs/>
                <w:kern w:val="32"/>
                <w:sz w:val="24"/>
                <w:szCs w:val="24"/>
              </w:rPr>
              <w:t>339</w:t>
            </w:r>
          </w:p>
        </w:tc>
        <w:tc>
          <w:tcPr>
            <w:tcW w:w="2268" w:type="dxa"/>
            <w:tcBorders>
              <w:top w:val="nil"/>
              <w:left w:val="nil"/>
              <w:bottom w:val="single" w:sz="4" w:space="0" w:color="auto"/>
              <w:right w:val="single" w:sz="4" w:space="0" w:color="auto"/>
            </w:tcBorders>
            <w:shd w:val="clear" w:color="auto" w:fill="auto"/>
            <w:noWrap/>
            <w:vAlign w:val="center"/>
            <w:hideMark/>
          </w:tcPr>
          <w:p w14:paraId="6D5EFA1A"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331.168.</w:t>
            </w:r>
            <w:r w:rsidRPr="00B355ED">
              <w:rPr>
                <w:rFonts w:ascii="Times New Roman" w:eastAsia="Times New Roman" w:hAnsi="Times New Roman" w:cs="Times New Roman"/>
                <w:bCs/>
                <w:kern w:val="32"/>
                <w:sz w:val="24"/>
                <w:szCs w:val="24"/>
              </w:rPr>
              <w:t>100</w:t>
            </w:r>
          </w:p>
        </w:tc>
      </w:tr>
      <w:tr w:rsidR="00E61A66" w:rsidRPr="00B355ED" w14:paraId="01543BD6"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75F83239"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4DABA087"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Caatinga</w:t>
            </w:r>
          </w:p>
        </w:tc>
        <w:tc>
          <w:tcPr>
            <w:tcW w:w="1843" w:type="dxa"/>
            <w:tcBorders>
              <w:top w:val="nil"/>
              <w:left w:val="nil"/>
              <w:bottom w:val="single" w:sz="4" w:space="0" w:color="auto"/>
              <w:right w:val="single" w:sz="4" w:space="0" w:color="auto"/>
            </w:tcBorders>
            <w:shd w:val="clear" w:color="auto" w:fill="auto"/>
            <w:noWrap/>
            <w:vAlign w:val="center"/>
            <w:hideMark/>
          </w:tcPr>
          <w:p w14:paraId="4C3A439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86.</w:t>
            </w:r>
            <w:r w:rsidRPr="00B355ED">
              <w:rPr>
                <w:rFonts w:ascii="Times New Roman" w:eastAsia="Times New Roman" w:hAnsi="Times New Roman" w:cs="Times New Roman"/>
                <w:bCs/>
                <w:kern w:val="32"/>
                <w:sz w:val="24"/>
                <w:szCs w:val="24"/>
              </w:rPr>
              <w:t>336</w:t>
            </w:r>
          </w:p>
        </w:tc>
        <w:tc>
          <w:tcPr>
            <w:tcW w:w="2268" w:type="dxa"/>
            <w:tcBorders>
              <w:top w:val="nil"/>
              <w:left w:val="nil"/>
              <w:bottom w:val="single" w:sz="4" w:space="0" w:color="auto"/>
              <w:right w:val="single" w:sz="4" w:space="0" w:color="auto"/>
            </w:tcBorders>
            <w:shd w:val="clear" w:color="auto" w:fill="auto"/>
            <w:noWrap/>
            <w:vAlign w:val="center"/>
            <w:hideMark/>
          </w:tcPr>
          <w:p w14:paraId="723EFA6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1.403.</w:t>
            </w:r>
            <w:r w:rsidRPr="00B355ED">
              <w:rPr>
                <w:rFonts w:ascii="Times New Roman" w:eastAsia="Times New Roman" w:hAnsi="Times New Roman" w:cs="Times New Roman"/>
                <w:bCs/>
                <w:kern w:val="32"/>
                <w:sz w:val="24"/>
                <w:szCs w:val="24"/>
              </w:rPr>
              <w:t>248</w:t>
            </w:r>
          </w:p>
        </w:tc>
        <w:tc>
          <w:tcPr>
            <w:tcW w:w="2268" w:type="dxa"/>
            <w:tcBorders>
              <w:top w:val="nil"/>
              <w:left w:val="nil"/>
              <w:bottom w:val="single" w:sz="4" w:space="0" w:color="auto"/>
              <w:right w:val="single" w:sz="4" w:space="0" w:color="auto"/>
            </w:tcBorders>
            <w:shd w:val="clear" w:color="auto" w:fill="auto"/>
            <w:noWrap/>
            <w:vAlign w:val="center"/>
            <w:hideMark/>
          </w:tcPr>
          <w:p w14:paraId="7519FEE3"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45.395.</w:t>
            </w:r>
            <w:r w:rsidRPr="00B355ED">
              <w:rPr>
                <w:rFonts w:ascii="Times New Roman" w:eastAsia="Times New Roman" w:hAnsi="Times New Roman" w:cs="Times New Roman"/>
                <w:bCs/>
                <w:kern w:val="32"/>
                <w:sz w:val="24"/>
                <w:szCs w:val="24"/>
              </w:rPr>
              <w:t>963</w:t>
            </w:r>
          </w:p>
        </w:tc>
      </w:tr>
      <w:tr w:rsidR="00E61A66" w:rsidRPr="00B355ED" w14:paraId="604F3356"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17882D7A"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5E4565A8"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Cerrado</w:t>
            </w:r>
          </w:p>
        </w:tc>
        <w:tc>
          <w:tcPr>
            <w:tcW w:w="1843" w:type="dxa"/>
            <w:tcBorders>
              <w:top w:val="nil"/>
              <w:left w:val="nil"/>
              <w:bottom w:val="single" w:sz="4" w:space="0" w:color="auto"/>
              <w:right w:val="single" w:sz="4" w:space="0" w:color="auto"/>
            </w:tcBorders>
            <w:shd w:val="clear" w:color="auto" w:fill="auto"/>
            <w:noWrap/>
            <w:vAlign w:val="center"/>
            <w:hideMark/>
          </w:tcPr>
          <w:p w14:paraId="2759B630"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125.</w:t>
            </w:r>
            <w:r w:rsidRPr="00B355ED">
              <w:rPr>
                <w:rFonts w:ascii="Times New Roman" w:eastAsia="Times New Roman" w:hAnsi="Times New Roman" w:cs="Times New Roman"/>
                <w:bCs/>
                <w:kern w:val="32"/>
                <w:sz w:val="24"/>
                <w:szCs w:val="24"/>
              </w:rPr>
              <w:t>620</w:t>
            </w:r>
          </w:p>
        </w:tc>
        <w:tc>
          <w:tcPr>
            <w:tcW w:w="2268" w:type="dxa"/>
            <w:tcBorders>
              <w:top w:val="nil"/>
              <w:left w:val="nil"/>
              <w:bottom w:val="single" w:sz="4" w:space="0" w:color="auto"/>
              <w:right w:val="single" w:sz="4" w:space="0" w:color="auto"/>
            </w:tcBorders>
            <w:shd w:val="clear" w:color="auto" w:fill="auto"/>
            <w:noWrap/>
            <w:vAlign w:val="center"/>
            <w:hideMark/>
          </w:tcPr>
          <w:p w14:paraId="37AF0AA2"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7.484.</w:t>
            </w:r>
            <w:r w:rsidRPr="00B355ED">
              <w:rPr>
                <w:rFonts w:ascii="Times New Roman" w:eastAsia="Times New Roman" w:hAnsi="Times New Roman" w:cs="Times New Roman"/>
                <w:bCs/>
                <w:kern w:val="32"/>
                <w:sz w:val="24"/>
                <w:szCs w:val="24"/>
              </w:rPr>
              <w:t>540</w:t>
            </w:r>
          </w:p>
        </w:tc>
        <w:tc>
          <w:tcPr>
            <w:tcW w:w="2268" w:type="dxa"/>
            <w:tcBorders>
              <w:top w:val="nil"/>
              <w:left w:val="nil"/>
              <w:bottom w:val="single" w:sz="4" w:space="0" w:color="auto"/>
              <w:right w:val="single" w:sz="4" w:space="0" w:color="auto"/>
            </w:tcBorders>
            <w:shd w:val="clear" w:color="auto" w:fill="auto"/>
            <w:noWrap/>
            <w:vAlign w:val="center"/>
            <w:hideMark/>
          </w:tcPr>
          <w:p w14:paraId="5137AF5C"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398.664.</w:t>
            </w:r>
            <w:r w:rsidRPr="00B355ED">
              <w:rPr>
                <w:rFonts w:ascii="Times New Roman" w:eastAsia="Times New Roman" w:hAnsi="Times New Roman" w:cs="Times New Roman"/>
                <w:bCs/>
                <w:kern w:val="32"/>
                <w:sz w:val="24"/>
                <w:szCs w:val="24"/>
              </w:rPr>
              <w:t>324</w:t>
            </w:r>
          </w:p>
        </w:tc>
      </w:tr>
      <w:tr w:rsidR="00E61A66" w:rsidRPr="00B355ED" w14:paraId="3294C887"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59715F0E"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6D587CBE"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Pampa</w:t>
            </w:r>
          </w:p>
        </w:tc>
        <w:tc>
          <w:tcPr>
            <w:tcW w:w="1843" w:type="dxa"/>
            <w:tcBorders>
              <w:top w:val="nil"/>
              <w:left w:val="nil"/>
              <w:bottom w:val="single" w:sz="4" w:space="0" w:color="auto"/>
              <w:right w:val="single" w:sz="4" w:space="0" w:color="auto"/>
            </w:tcBorders>
            <w:shd w:val="clear" w:color="auto" w:fill="auto"/>
            <w:noWrap/>
            <w:vAlign w:val="center"/>
            <w:hideMark/>
          </w:tcPr>
          <w:p w14:paraId="76B66AFF"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w:t>
            </w:r>
            <w:r w:rsidRPr="00B355ED">
              <w:rPr>
                <w:rFonts w:ascii="Times New Roman" w:eastAsia="Times New Roman" w:hAnsi="Times New Roman" w:cs="Times New Roman"/>
                <w:bCs/>
                <w:kern w:val="32"/>
                <w:sz w:val="24"/>
                <w:szCs w:val="24"/>
              </w:rPr>
              <w:t>130</w:t>
            </w:r>
          </w:p>
        </w:tc>
        <w:tc>
          <w:tcPr>
            <w:tcW w:w="2268" w:type="dxa"/>
            <w:tcBorders>
              <w:top w:val="nil"/>
              <w:left w:val="nil"/>
              <w:bottom w:val="single" w:sz="4" w:space="0" w:color="auto"/>
              <w:right w:val="single" w:sz="4" w:space="0" w:color="auto"/>
            </w:tcBorders>
            <w:shd w:val="clear" w:color="auto" w:fill="auto"/>
            <w:noWrap/>
            <w:vAlign w:val="center"/>
            <w:hideMark/>
          </w:tcPr>
          <w:p w14:paraId="4F33C115"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47.</w:t>
            </w:r>
            <w:r w:rsidRPr="00B355ED">
              <w:rPr>
                <w:rFonts w:ascii="Times New Roman" w:eastAsia="Times New Roman" w:hAnsi="Times New Roman" w:cs="Times New Roman"/>
                <w:bCs/>
                <w:kern w:val="32"/>
                <w:sz w:val="24"/>
                <w:szCs w:val="24"/>
              </w:rPr>
              <w:t>307</w:t>
            </w:r>
          </w:p>
        </w:tc>
        <w:tc>
          <w:tcPr>
            <w:tcW w:w="2268" w:type="dxa"/>
            <w:tcBorders>
              <w:top w:val="nil"/>
              <w:left w:val="nil"/>
              <w:bottom w:val="single" w:sz="4" w:space="0" w:color="auto"/>
              <w:right w:val="single" w:sz="4" w:space="0" w:color="auto"/>
            </w:tcBorders>
            <w:shd w:val="clear" w:color="auto" w:fill="auto"/>
            <w:noWrap/>
            <w:vAlign w:val="center"/>
            <w:hideMark/>
          </w:tcPr>
          <w:p w14:paraId="0F8313A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1.893.</w:t>
            </w:r>
            <w:r w:rsidRPr="00B355ED">
              <w:rPr>
                <w:rFonts w:ascii="Times New Roman" w:eastAsia="Times New Roman" w:hAnsi="Times New Roman" w:cs="Times New Roman"/>
                <w:bCs/>
                <w:kern w:val="32"/>
                <w:sz w:val="24"/>
                <w:szCs w:val="24"/>
              </w:rPr>
              <w:t>000</w:t>
            </w:r>
          </w:p>
        </w:tc>
      </w:tr>
      <w:tr w:rsidR="00E61A66" w:rsidRPr="00B355ED" w14:paraId="7040D665" w14:textId="77777777" w:rsidTr="00E972C9">
        <w:trPr>
          <w:trHeight w:val="300"/>
        </w:trPr>
        <w:tc>
          <w:tcPr>
            <w:tcW w:w="1630" w:type="dxa"/>
            <w:vMerge/>
            <w:tcBorders>
              <w:top w:val="nil"/>
              <w:left w:val="single" w:sz="4" w:space="0" w:color="auto"/>
              <w:bottom w:val="single" w:sz="4" w:space="0" w:color="000000"/>
              <w:right w:val="single" w:sz="4" w:space="0" w:color="auto"/>
            </w:tcBorders>
            <w:vAlign w:val="center"/>
            <w:hideMark/>
          </w:tcPr>
          <w:p w14:paraId="10DDAFFF"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23B59205"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Pantanal</w:t>
            </w:r>
          </w:p>
        </w:tc>
        <w:tc>
          <w:tcPr>
            <w:tcW w:w="1843" w:type="dxa"/>
            <w:tcBorders>
              <w:top w:val="nil"/>
              <w:left w:val="nil"/>
              <w:bottom w:val="single" w:sz="4" w:space="0" w:color="auto"/>
              <w:right w:val="single" w:sz="4" w:space="0" w:color="auto"/>
            </w:tcBorders>
            <w:shd w:val="clear" w:color="auto" w:fill="auto"/>
            <w:noWrap/>
            <w:vAlign w:val="center"/>
            <w:hideMark/>
          </w:tcPr>
          <w:p w14:paraId="07AF8F21"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sidRPr="00B355ED">
              <w:rPr>
                <w:rFonts w:ascii="Times New Roman" w:eastAsia="Times New Roman" w:hAnsi="Times New Roman" w:cs="Times New Roman"/>
                <w:bCs/>
                <w:kern w:val="32"/>
                <w:sz w:val="24"/>
                <w:szCs w:val="24"/>
              </w:rPr>
              <w:t>103</w:t>
            </w:r>
          </w:p>
        </w:tc>
        <w:tc>
          <w:tcPr>
            <w:tcW w:w="2268" w:type="dxa"/>
            <w:tcBorders>
              <w:top w:val="nil"/>
              <w:left w:val="nil"/>
              <w:bottom w:val="single" w:sz="4" w:space="0" w:color="auto"/>
              <w:right w:val="single" w:sz="4" w:space="0" w:color="auto"/>
            </w:tcBorders>
            <w:shd w:val="clear" w:color="auto" w:fill="auto"/>
            <w:noWrap/>
            <w:vAlign w:val="center"/>
            <w:hideMark/>
          </w:tcPr>
          <w:p w14:paraId="75129923"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75.</w:t>
            </w:r>
            <w:r w:rsidRPr="00B355ED">
              <w:rPr>
                <w:rFonts w:ascii="Times New Roman" w:eastAsia="Times New Roman" w:hAnsi="Times New Roman" w:cs="Times New Roman"/>
                <w:bCs/>
                <w:kern w:val="32"/>
                <w:sz w:val="24"/>
                <w:szCs w:val="24"/>
              </w:rPr>
              <w:t>508</w:t>
            </w:r>
          </w:p>
        </w:tc>
        <w:tc>
          <w:tcPr>
            <w:tcW w:w="2268" w:type="dxa"/>
            <w:tcBorders>
              <w:top w:val="nil"/>
              <w:left w:val="nil"/>
              <w:bottom w:val="single" w:sz="4" w:space="0" w:color="auto"/>
              <w:right w:val="single" w:sz="4" w:space="0" w:color="auto"/>
            </w:tcBorders>
            <w:shd w:val="clear" w:color="auto" w:fill="auto"/>
            <w:noWrap/>
            <w:vAlign w:val="center"/>
            <w:hideMark/>
          </w:tcPr>
          <w:p w14:paraId="6589BDBD"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5.073.</w:t>
            </w:r>
            <w:r w:rsidRPr="00B355ED">
              <w:rPr>
                <w:rFonts w:ascii="Times New Roman" w:eastAsia="Times New Roman" w:hAnsi="Times New Roman" w:cs="Times New Roman"/>
                <w:bCs/>
                <w:kern w:val="32"/>
                <w:sz w:val="24"/>
                <w:szCs w:val="24"/>
              </w:rPr>
              <w:t>272</w:t>
            </w:r>
          </w:p>
        </w:tc>
      </w:tr>
      <w:tr w:rsidR="00E61A66" w:rsidRPr="00B355ED" w14:paraId="7201D815" w14:textId="77777777" w:rsidTr="00E972C9">
        <w:trPr>
          <w:trHeight w:val="300"/>
        </w:trPr>
        <w:tc>
          <w:tcPr>
            <w:tcW w:w="29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DDFA0" w14:textId="77777777" w:rsidR="00E61A66" w:rsidRPr="00B355ED" w:rsidRDefault="00E61A66" w:rsidP="00E972C9">
            <w:pPr>
              <w:keepNext/>
              <w:spacing w:before="40" w:after="40"/>
              <w:outlineLvl w:val="0"/>
              <w:rPr>
                <w:rFonts w:ascii="Times New Roman" w:eastAsia="Times New Roman" w:hAnsi="Times New Roman" w:cs="Times New Roman"/>
                <w:b/>
                <w:bCs/>
                <w:kern w:val="32"/>
                <w:sz w:val="24"/>
                <w:szCs w:val="24"/>
              </w:rPr>
            </w:pPr>
            <w:r w:rsidRPr="00B355ED">
              <w:rPr>
                <w:rFonts w:ascii="Times New Roman" w:eastAsia="Times New Roman" w:hAnsi="Times New Roman" w:cs="Times New Roman"/>
                <w:b/>
                <w:bCs/>
                <w:kern w:val="32"/>
                <w:sz w:val="24"/>
                <w:szCs w:val="24"/>
              </w:rPr>
              <w:t>Total</w:t>
            </w:r>
          </w:p>
        </w:tc>
        <w:tc>
          <w:tcPr>
            <w:tcW w:w="1843" w:type="dxa"/>
            <w:tcBorders>
              <w:top w:val="nil"/>
              <w:left w:val="nil"/>
              <w:bottom w:val="single" w:sz="4" w:space="0" w:color="auto"/>
              <w:right w:val="single" w:sz="4" w:space="0" w:color="auto"/>
            </w:tcBorders>
            <w:shd w:val="clear" w:color="auto" w:fill="auto"/>
            <w:noWrap/>
            <w:vAlign w:val="center"/>
            <w:hideMark/>
          </w:tcPr>
          <w:p w14:paraId="4C28A536"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1.114.</w:t>
            </w:r>
            <w:r w:rsidRPr="00B355ED">
              <w:rPr>
                <w:rFonts w:ascii="Times New Roman" w:eastAsia="Times New Roman" w:hAnsi="Times New Roman" w:cs="Times New Roman"/>
                <w:bCs/>
                <w:kern w:val="32"/>
                <w:sz w:val="24"/>
                <w:szCs w:val="24"/>
              </w:rPr>
              <w:t>693</w:t>
            </w:r>
          </w:p>
        </w:tc>
        <w:tc>
          <w:tcPr>
            <w:tcW w:w="2268" w:type="dxa"/>
            <w:tcBorders>
              <w:top w:val="nil"/>
              <w:left w:val="nil"/>
              <w:bottom w:val="single" w:sz="4" w:space="0" w:color="auto"/>
              <w:right w:val="single" w:sz="4" w:space="0" w:color="auto"/>
            </w:tcBorders>
            <w:shd w:val="clear" w:color="auto" w:fill="auto"/>
            <w:noWrap/>
            <w:vAlign w:val="center"/>
            <w:hideMark/>
          </w:tcPr>
          <w:p w14:paraId="4E56E947"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69.254.</w:t>
            </w:r>
            <w:r w:rsidRPr="00B355ED">
              <w:rPr>
                <w:rFonts w:ascii="Times New Roman" w:eastAsia="Times New Roman" w:hAnsi="Times New Roman" w:cs="Times New Roman"/>
                <w:bCs/>
                <w:kern w:val="32"/>
                <w:sz w:val="24"/>
                <w:szCs w:val="24"/>
              </w:rPr>
              <w:t>298</w:t>
            </w:r>
          </w:p>
        </w:tc>
        <w:tc>
          <w:tcPr>
            <w:tcW w:w="2268" w:type="dxa"/>
            <w:tcBorders>
              <w:top w:val="nil"/>
              <w:left w:val="nil"/>
              <w:bottom w:val="single" w:sz="4" w:space="0" w:color="auto"/>
              <w:right w:val="single" w:sz="4" w:space="0" w:color="auto"/>
            </w:tcBorders>
            <w:shd w:val="clear" w:color="auto" w:fill="auto"/>
            <w:noWrap/>
            <w:vAlign w:val="center"/>
            <w:hideMark/>
          </w:tcPr>
          <w:p w14:paraId="77401F68" w14:textId="77777777" w:rsidR="00E61A66" w:rsidRPr="00B355ED" w:rsidRDefault="00E61A66" w:rsidP="00E972C9">
            <w:pPr>
              <w:keepNext/>
              <w:spacing w:before="40" w:after="40"/>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5.838.452.</w:t>
            </w:r>
            <w:r w:rsidRPr="00B355ED">
              <w:rPr>
                <w:rFonts w:ascii="Times New Roman" w:eastAsia="Times New Roman" w:hAnsi="Times New Roman" w:cs="Times New Roman"/>
                <w:bCs/>
                <w:kern w:val="32"/>
                <w:sz w:val="24"/>
                <w:szCs w:val="24"/>
              </w:rPr>
              <w:t>715</w:t>
            </w:r>
          </w:p>
        </w:tc>
      </w:tr>
    </w:tbl>
    <w:p w14:paraId="4BCB8ED8" w14:textId="77777777" w:rsidR="00E61A66" w:rsidRPr="00B355ED" w:rsidRDefault="00E61A66" w:rsidP="00E61A66">
      <w:pPr>
        <w:spacing w:after="0" w:line="480" w:lineRule="auto"/>
        <w:rPr>
          <w:rFonts w:ascii="Times New Roman" w:eastAsia="Times New Roman" w:hAnsi="Times New Roman" w:cs="Times New Roman"/>
          <w:b/>
          <w:sz w:val="24"/>
          <w:szCs w:val="24"/>
          <w:lang w:val="en-US"/>
        </w:rPr>
      </w:pPr>
    </w:p>
    <w:p w14:paraId="5B33DFFD" w14:textId="77777777" w:rsidR="00E61A66" w:rsidRDefault="00E61A6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024DFD9" w14:textId="77777777" w:rsidR="00E61A66" w:rsidRPr="00685EC5" w:rsidRDefault="00E61A66" w:rsidP="00E61A66">
      <w:pPr>
        <w:pStyle w:val="Heading1"/>
        <w:rPr>
          <w:rFonts w:ascii="Times New Roman" w:eastAsia="Times New Roman" w:hAnsi="Times New Roman" w:cs="Times New Roman"/>
          <w:sz w:val="24"/>
          <w:szCs w:val="24"/>
          <w:lang w:val="en-US" w:eastAsia="en-US"/>
        </w:rPr>
      </w:pPr>
      <w:r w:rsidRPr="00B355ED">
        <w:rPr>
          <w:rFonts w:ascii="Times New Roman" w:eastAsia="Times New Roman" w:hAnsi="Times New Roman" w:cs="Times New Roman"/>
          <w:sz w:val="24"/>
          <w:szCs w:val="24"/>
          <w:lang w:val="en-US" w:eastAsia="en-US"/>
        </w:rPr>
        <w:lastRenderedPageBreak/>
        <w:t>List of Brazilian Congress Bills threatening the social-environmental framework</w:t>
      </w:r>
    </w:p>
    <w:p w14:paraId="51AC7A19" w14:textId="77777777" w:rsidR="00E61A66" w:rsidRPr="00B355ED" w:rsidRDefault="00E61A66" w:rsidP="00FA663F">
      <w:pPr>
        <w:spacing w:after="240" w:line="480" w:lineRule="auto"/>
        <w:ind w:firstLine="142"/>
        <w:rPr>
          <w:rFonts w:ascii="Times New Roman" w:eastAsia="Times New Roman" w:hAnsi="Times New Roman" w:cs="Times New Roman"/>
          <w:sz w:val="24"/>
          <w:szCs w:val="24"/>
          <w:lang w:val="en-US"/>
        </w:rPr>
      </w:pPr>
      <w:r w:rsidRPr="00B355ED">
        <w:rPr>
          <w:rFonts w:ascii="Times New Roman" w:eastAsia="Times New Roman" w:hAnsi="Times New Roman" w:cs="Times New Roman"/>
          <w:sz w:val="24"/>
          <w:szCs w:val="24"/>
          <w:lang w:val="en-US"/>
        </w:rPr>
        <w:t xml:space="preserve">These bills are part of an overarching movement by the </w:t>
      </w:r>
      <w:proofErr w:type="spellStart"/>
      <w:r w:rsidRPr="00B355ED">
        <w:rPr>
          <w:rFonts w:ascii="Times New Roman" w:eastAsia="Times New Roman" w:hAnsi="Times New Roman" w:cs="Times New Roman"/>
          <w:sz w:val="24"/>
          <w:szCs w:val="24"/>
          <w:lang w:val="en-US"/>
        </w:rPr>
        <w:t>Bolsonaro</w:t>
      </w:r>
      <w:proofErr w:type="spellEnd"/>
      <w:r w:rsidRPr="00B355ED">
        <w:rPr>
          <w:rFonts w:ascii="Times New Roman" w:eastAsia="Times New Roman" w:hAnsi="Times New Roman" w:cs="Times New Roman"/>
          <w:sz w:val="24"/>
          <w:szCs w:val="24"/>
          <w:lang w:val="en-US"/>
        </w:rPr>
        <w:t xml:space="preserve"> administration in tandem with the agribusiness sector to re-shape the entire socio-environmental legal framework in Brazil, implying further destruction of natural habitats and carbon emissions. </w:t>
      </w:r>
      <w:sdt>
        <w:sdtPr>
          <w:rPr>
            <w:rFonts w:ascii="Times New Roman" w:eastAsia="Times New Roman" w:hAnsi="Times New Roman" w:cs="Times New Roman"/>
            <w:sz w:val="24"/>
            <w:szCs w:val="20"/>
            <w:lang w:val="en-US"/>
          </w:rPr>
          <w:tag w:val="goog_rdk_16"/>
          <w:id w:val="1005481889"/>
        </w:sdtPr>
        <w:sdtContent/>
      </w:sdt>
      <w:r w:rsidRPr="00B355ED">
        <w:rPr>
          <w:rFonts w:ascii="Times New Roman" w:eastAsia="Times New Roman" w:hAnsi="Times New Roman" w:cs="Times New Roman"/>
          <w:sz w:val="24"/>
          <w:szCs w:val="24"/>
          <w:lang w:val="en-US"/>
        </w:rPr>
        <w:t xml:space="preserve">Here </w:t>
      </w:r>
      <w:r w:rsidR="00FA663F">
        <w:rPr>
          <w:rFonts w:ascii="Times New Roman" w:eastAsia="Times New Roman" w:hAnsi="Times New Roman" w:cs="Times New Roman"/>
          <w:sz w:val="24"/>
          <w:szCs w:val="24"/>
          <w:lang w:val="en-US"/>
        </w:rPr>
        <w:t>we show</w:t>
      </w:r>
      <w:r w:rsidRPr="00B355ED">
        <w:rPr>
          <w:rFonts w:ascii="Times New Roman" w:eastAsia="Times New Roman" w:hAnsi="Times New Roman" w:cs="Times New Roman"/>
          <w:sz w:val="24"/>
          <w:szCs w:val="24"/>
          <w:lang w:val="en-US"/>
        </w:rPr>
        <w:t xml:space="preserve"> some examples of individual bills belonging to this overarching movement:</w:t>
      </w:r>
    </w:p>
    <w:p w14:paraId="60D4EB12" w14:textId="77777777" w:rsidR="00E61A66" w:rsidRPr="00B355ED" w:rsidRDefault="00E61A66" w:rsidP="00E61A66">
      <w:pPr>
        <w:numPr>
          <w:ilvl w:val="0"/>
          <w:numId w:val="1"/>
        </w:numPr>
        <w:pBdr>
          <w:top w:val="nil"/>
          <w:left w:val="nil"/>
          <w:bottom w:val="nil"/>
          <w:right w:val="nil"/>
          <w:between w:val="nil"/>
        </w:pBdr>
        <w:spacing w:after="0" w:line="480" w:lineRule="auto"/>
        <w:ind w:left="426" w:hanging="284"/>
        <w:rPr>
          <w:rFonts w:ascii="Times New Roman" w:eastAsia="Times New Roman" w:hAnsi="Times New Roman" w:cs="Times New Roman"/>
          <w:b/>
          <w:sz w:val="24"/>
          <w:szCs w:val="24"/>
          <w:lang w:val="en-US"/>
        </w:rPr>
      </w:pPr>
      <w:r w:rsidRPr="00B355ED">
        <w:rPr>
          <w:rFonts w:ascii="Times New Roman" w:eastAsia="Times New Roman" w:hAnsi="Times New Roman" w:cs="Times New Roman"/>
          <w:b/>
          <w:sz w:val="24"/>
          <w:szCs w:val="24"/>
          <w:u w:val="single"/>
          <w:lang w:val="en-US"/>
        </w:rPr>
        <w:t xml:space="preserve">PL 510/2021 and PLC 2633/2020: legalizing </w:t>
      </w:r>
      <w:proofErr w:type="gramStart"/>
      <w:r w:rsidRPr="00B355ED">
        <w:rPr>
          <w:rFonts w:ascii="Times New Roman" w:eastAsia="Times New Roman" w:hAnsi="Times New Roman" w:cs="Times New Roman"/>
          <w:b/>
          <w:sz w:val="24"/>
          <w:szCs w:val="24"/>
          <w:u w:val="single"/>
          <w:lang w:val="en-US"/>
        </w:rPr>
        <w:t>land-grabbing</w:t>
      </w:r>
      <w:proofErr w:type="gramEnd"/>
      <w:r w:rsidRPr="00B355ED">
        <w:rPr>
          <w:rFonts w:ascii="Times New Roman" w:eastAsia="Times New Roman" w:hAnsi="Times New Roman" w:cs="Times New Roman"/>
          <w:b/>
          <w:sz w:val="24"/>
          <w:szCs w:val="24"/>
          <w:u w:val="single"/>
          <w:lang w:val="en-US"/>
        </w:rPr>
        <w:t>:</w:t>
      </w:r>
      <w:r w:rsidRPr="00B355ED">
        <w:rPr>
          <w:rFonts w:ascii="Times New Roman" w:eastAsia="Times New Roman" w:hAnsi="Times New Roman" w:cs="Times New Roman"/>
          <w:sz w:val="24"/>
          <w:szCs w:val="24"/>
          <w:lang w:val="en-US"/>
        </w:rPr>
        <w:t xml:space="preserve"> These legal changes, if passed, would privatize 19.6 million hectares of public non-designated land in the Amazon, granting land and amnesty for illegal land-grabbers. It is a reward for crime and fraud. According to this study</w:t>
      </w:r>
      <w:r w:rsidR="00FA663F">
        <w:rPr>
          <w:rFonts w:ascii="Times New Roman" w:eastAsia="Times New Roman" w:hAnsi="Times New Roman" w:cs="Times New Roman"/>
          <w:sz w:val="24"/>
          <w:szCs w:val="24"/>
          <w:lang w:val="en-US"/>
        </w:rPr>
        <w:t xml:space="preserve"> Brito et al. (2019) </w:t>
      </w:r>
      <w:r w:rsidR="00FA663F">
        <w:rPr>
          <w:rFonts w:ascii="Times New Roman" w:eastAsia="Times New Roman" w:hAnsi="Times New Roman" w:cs="Times New Roman"/>
          <w:sz w:val="24"/>
          <w:szCs w:val="24"/>
          <w:lang w:val="en-US"/>
        </w:rPr>
        <w:fldChar w:fldCharType="begin" w:fldLock="1"/>
      </w:r>
      <w:r w:rsidR="00FA663F">
        <w:rPr>
          <w:rFonts w:ascii="Times New Roman" w:eastAsia="Times New Roman" w:hAnsi="Times New Roman" w:cs="Times New Roman"/>
          <w:sz w:val="24"/>
          <w:szCs w:val="24"/>
          <w:lang w:val="en-US"/>
        </w:rPr>
        <w:instrText>ADDIN CSL_CITATION {"citationItems":[{"id":"ITEM-1","itemData":{"DOI":"10.1088/1748-9326/ab1e24","ISSN":"1748-9326","abstract":"Weassessed the impact on the Brazilian Amazon ofa 2017 land law that reinforces a mechanism for acquiring land rights historically linked to deforestation, since land grabbers clear the forest to signal land occupation and claim land rights. In particular, we assessed two significant potential impacts: (i) the loss ofgovernment revenue due to the sale ofpublic land below market prices and (ii) the risk of future deforestation and associated CO2 emissions in 19.6 million hectares allocated to expand land privatization. The short-term revenue loss ranges from U$5 to 8 billion for 8.6 million hectares; the future revenue loss ranges fromU$ 16.7 to 23.8 billion for 19.6 million hectares; and between 1.1 and 1.6 million hectares would risk being deforested until 2027, which could emit 4.5–6.5 megatonnes of CO2. The Brazilian government should review the decision about this area allocation; prioritize land allocation for conservation and, ifselling part ofthis area, charge market prices. Introduction","author":[{"dropping-particle":"","family":"Brito","given":"Brenda","non-dropping-particle":"","parse-names":false,"suffix":""},{"dropping-particle":"","family":"Barreto","given":"Paulo","non-dropping-particle":"","parse-names":false,"suffix":""},{"dropping-particle":"","family":"Brandão","given":"Amintas","non-dropping-particle":"","parse-names":false,"suffix":""},{"dropping-particle":"","family":"Baima","given":"Sara","non-dropping-particle":"","parse-names":false,"suffix":""},{"dropping-particle":"","family":"Gomes","given":"Pedro Henrique","non-dropping-particle":"","parse-names":false,"suffix":""}],"container-title":"Environmental Research Letters","id":"ITEM-1","issue":"6","issued":{"date-parts":[["2019"]]},"page":"064018","publisher":"IOP Publishing","title":"Stimulus for land grabbing and deforestation in the Brazilian Amazon","type":"article-journal","volume":"14"},"uris":["http://www.mendeley.com/documents/?uuid=03da6793-b622-431a-be90-87400bd6bd8e"]}],"mendeley":{"formattedCitation":"&lt;sup&gt;1&lt;/sup&gt;","plainTextFormattedCitation":"1","previouslyFormattedCitation":"&lt;sup&gt;1&lt;/sup&gt;"},"properties":{"noteIndex":0},"schema":"https://github.com/citation-style-language/schema/raw/master/csl-citation.json"}</w:instrText>
      </w:r>
      <w:r w:rsidR="00FA663F">
        <w:rPr>
          <w:rFonts w:ascii="Times New Roman" w:eastAsia="Times New Roman" w:hAnsi="Times New Roman" w:cs="Times New Roman"/>
          <w:sz w:val="24"/>
          <w:szCs w:val="24"/>
          <w:lang w:val="en-US"/>
        </w:rPr>
        <w:fldChar w:fldCharType="separate"/>
      </w:r>
      <w:r w:rsidR="00FA663F" w:rsidRPr="00FA663F">
        <w:rPr>
          <w:rFonts w:ascii="Times New Roman" w:eastAsia="Times New Roman" w:hAnsi="Times New Roman" w:cs="Times New Roman"/>
          <w:noProof/>
          <w:sz w:val="24"/>
          <w:szCs w:val="24"/>
          <w:vertAlign w:val="superscript"/>
          <w:lang w:val="en-US"/>
        </w:rPr>
        <w:t>1</w:t>
      </w:r>
      <w:r w:rsidR="00FA663F">
        <w:rPr>
          <w:rFonts w:ascii="Times New Roman" w:eastAsia="Times New Roman" w:hAnsi="Times New Roman" w:cs="Times New Roman"/>
          <w:sz w:val="24"/>
          <w:szCs w:val="24"/>
          <w:lang w:val="en-US"/>
        </w:rPr>
        <w:fldChar w:fldCharType="end"/>
      </w:r>
      <w:r w:rsidRPr="00B355ED">
        <w:rPr>
          <w:rFonts w:ascii="Times New Roman" w:eastAsia="Times New Roman" w:hAnsi="Times New Roman" w:cs="Times New Roman"/>
          <w:sz w:val="24"/>
          <w:szCs w:val="24"/>
          <w:lang w:val="en-US"/>
        </w:rPr>
        <w:t xml:space="preserve">, </w:t>
      </w:r>
      <w:r w:rsidRPr="00B355ED">
        <w:rPr>
          <w:rFonts w:ascii="Times New Roman" w:eastAsia="Times New Roman" w:hAnsi="Times New Roman" w:cs="Times New Roman"/>
          <w:color w:val="333333"/>
          <w:sz w:val="24"/>
          <w:szCs w:val="24"/>
          <w:lang w:val="en-US"/>
        </w:rPr>
        <w:t xml:space="preserve">between 1.1. and 1.6 million hectares would be likely to be deforested under this new legislation. This forest loss could emit 4.5–6.5 </w:t>
      </w:r>
      <w:proofErr w:type="spellStart"/>
      <w:r w:rsidRPr="00B355ED">
        <w:rPr>
          <w:rFonts w:ascii="Times New Roman" w:eastAsia="Times New Roman" w:hAnsi="Times New Roman" w:cs="Times New Roman"/>
          <w:color w:val="333333"/>
          <w:sz w:val="24"/>
          <w:szCs w:val="24"/>
          <w:lang w:val="en-US"/>
        </w:rPr>
        <w:t>megatonnes</w:t>
      </w:r>
      <w:proofErr w:type="spellEnd"/>
      <w:r w:rsidRPr="00B355ED">
        <w:rPr>
          <w:rFonts w:ascii="Times New Roman" w:eastAsia="Times New Roman" w:hAnsi="Times New Roman" w:cs="Times New Roman"/>
          <w:color w:val="333333"/>
          <w:sz w:val="24"/>
          <w:szCs w:val="24"/>
          <w:lang w:val="en-US"/>
        </w:rPr>
        <w:t xml:space="preserve"> of carbon dioxide</w:t>
      </w:r>
      <w:r w:rsidR="00FA663F">
        <w:rPr>
          <w:rFonts w:ascii="Times New Roman" w:eastAsia="Times New Roman" w:hAnsi="Times New Roman" w:cs="Times New Roman"/>
          <w:color w:val="333333"/>
          <w:sz w:val="24"/>
          <w:szCs w:val="24"/>
          <w:lang w:val="en-US"/>
        </w:rPr>
        <w:t>,</w:t>
      </w:r>
      <w:r w:rsidRPr="00B355ED">
        <w:rPr>
          <w:rFonts w:ascii="Times New Roman" w:eastAsia="Times New Roman" w:hAnsi="Times New Roman" w:cs="Times New Roman"/>
          <w:color w:val="333333"/>
          <w:sz w:val="24"/>
          <w:szCs w:val="24"/>
          <w:lang w:val="en-US"/>
        </w:rPr>
        <w:t xml:space="preserve"> respectively.</w:t>
      </w:r>
    </w:p>
    <w:p w14:paraId="634AF125" w14:textId="77777777" w:rsidR="00E61A66" w:rsidRPr="00B355ED" w:rsidRDefault="00E61A66" w:rsidP="00E61A66">
      <w:pPr>
        <w:numPr>
          <w:ilvl w:val="0"/>
          <w:numId w:val="1"/>
        </w:numPr>
        <w:pBdr>
          <w:top w:val="nil"/>
          <w:left w:val="nil"/>
          <w:bottom w:val="nil"/>
          <w:right w:val="nil"/>
          <w:between w:val="nil"/>
        </w:pBdr>
        <w:spacing w:after="0" w:line="480" w:lineRule="auto"/>
        <w:ind w:left="426" w:hanging="284"/>
        <w:rPr>
          <w:rFonts w:ascii="Times New Roman" w:eastAsia="Times New Roman" w:hAnsi="Times New Roman" w:cs="Times New Roman"/>
          <w:b/>
          <w:sz w:val="24"/>
          <w:szCs w:val="24"/>
          <w:lang w:val="en-US"/>
        </w:rPr>
      </w:pPr>
      <w:r w:rsidRPr="00B355ED">
        <w:rPr>
          <w:rFonts w:ascii="Times New Roman" w:eastAsia="Times New Roman" w:hAnsi="Times New Roman" w:cs="Times New Roman"/>
          <w:b/>
          <w:sz w:val="24"/>
          <w:szCs w:val="24"/>
          <w:u w:val="single"/>
          <w:lang w:val="en-US"/>
        </w:rPr>
        <w:t>PL 191/2020 - Changes in indigenous land regulation:</w:t>
      </w:r>
      <w:r w:rsidRPr="00B355ED">
        <w:rPr>
          <w:rFonts w:ascii="Times New Roman" w:eastAsia="Times New Roman" w:hAnsi="Times New Roman" w:cs="Times New Roman"/>
          <w:sz w:val="24"/>
          <w:szCs w:val="24"/>
          <w:lang w:val="en-US"/>
        </w:rPr>
        <w:t xml:space="preserve"> This bill intends to </w:t>
      </w:r>
      <w:r w:rsidR="00FA663F">
        <w:rPr>
          <w:rFonts w:ascii="Times New Roman" w:eastAsia="Times New Roman" w:hAnsi="Times New Roman" w:cs="Times New Roman"/>
          <w:sz w:val="24"/>
          <w:szCs w:val="24"/>
          <w:lang w:val="en-US"/>
        </w:rPr>
        <w:t>change the current indigenous lands legislation profoundly</w:t>
      </w:r>
      <w:r w:rsidRPr="00B355ED">
        <w:rPr>
          <w:rFonts w:ascii="Times New Roman" w:eastAsia="Times New Roman" w:hAnsi="Times New Roman" w:cs="Times New Roman"/>
          <w:sz w:val="24"/>
          <w:szCs w:val="24"/>
          <w:lang w:val="en-US"/>
        </w:rPr>
        <w:t>. It allows mineral, oil</w:t>
      </w:r>
      <w:r w:rsidR="00FA663F">
        <w:rPr>
          <w:rFonts w:ascii="Times New Roman" w:eastAsia="Times New Roman" w:hAnsi="Times New Roman" w:cs="Times New Roman"/>
          <w:sz w:val="24"/>
          <w:szCs w:val="24"/>
          <w:lang w:val="en-US"/>
        </w:rPr>
        <w:t>,</w:t>
      </w:r>
      <w:r w:rsidRPr="00B355ED">
        <w:rPr>
          <w:rFonts w:ascii="Times New Roman" w:eastAsia="Times New Roman" w:hAnsi="Times New Roman" w:cs="Times New Roman"/>
          <w:sz w:val="24"/>
          <w:szCs w:val="24"/>
          <w:lang w:val="en-US"/>
        </w:rPr>
        <w:t xml:space="preserve"> gas exploitation, hydroelectric building</w:t>
      </w:r>
      <w:r w:rsidR="00FA663F">
        <w:rPr>
          <w:rFonts w:ascii="Times New Roman" w:eastAsia="Times New Roman" w:hAnsi="Times New Roman" w:cs="Times New Roman"/>
          <w:sz w:val="24"/>
          <w:szCs w:val="24"/>
          <w:lang w:val="en-US"/>
        </w:rPr>
        <w:t>,</w:t>
      </w:r>
      <w:r w:rsidRPr="00B355ED">
        <w:rPr>
          <w:rFonts w:ascii="Times New Roman" w:eastAsia="Times New Roman" w:hAnsi="Times New Roman" w:cs="Times New Roman"/>
          <w:sz w:val="24"/>
          <w:szCs w:val="24"/>
          <w:lang w:val="en-US"/>
        </w:rPr>
        <w:t xml:space="preserve"> and conversion of large extensions of forests for agricultural use. All of this, by the bill, </w:t>
      </w:r>
      <w:proofErr w:type="gramStart"/>
      <w:r w:rsidRPr="00B355ED">
        <w:rPr>
          <w:rFonts w:ascii="Times New Roman" w:eastAsia="Times New Roman" w:hAnsi="Times New Roman" w:cs="Times New Roman"/>
          <w:sz w:val="24"/>
          <w:szCs w:val="24"/>
          <w:lang w:val="en-US"/>
        </w:rPr>
        <w:t>could be carried out</w:t>
      </w:r>
      <w:proofErr w:type="gramEnd"/>
      <w:r w:rsidRPr="00B355ED">
        <w:rPr>
          <w:rFonts w:ascii="Times New Roman" w:eastAsia="Times New Roman" w:hAnsi="Times New Roman" w:cs="Times New Roman"/>
          <w:sz w:val="24"/>
          <w:szCs w:val="24"/>
          <w:lang w:val="en-US"/>
        </w:rPr>
        <w:t xml:space="preserve"> regardless of Free, Prior, Informed Consent of the affected communities. If approved, this bill will weaken the ability of indigenous territories to block deforestation. </w:t>
      </w:r>
      <w:r w:rsidR="00FA663F">
        <w:rPr>
          <w:rFonts w:ascii="Times New Roman" w:eastAsia="Times New Roman" w:hAnsi="Times New Roman" w:cs="Times New Roman"/>
          <w:sz w:val="24"/>
          <w:szCs w:val="24"/>
          <w:lang w:val="en-US"/>
        </w:rPr>
        <w:t>I</w:t>
      </w:r>
      <w:r w:rsidRPr="00B355ED">
        <w:rPr>
          <w:rFonts w:ascii="Times New Roman" w:eastAsia="Times New Roman" w:hAnsi="Times New Roman" w:cs="Times New Roman"/>
          <w:sz w:val="24"/>
          <w:szCs w:val="24"/>
          <w:lang w:val="en-US"/>
        </w:rPr>
        <w:t>ndigenous lands are an effective inhibitor of deforestation and carbon loss</w:t>
      </w:r>
      <w:r w:rsidR="00FA663F">
        <w:rPr>
          <w:rFonts w:ascii="Times New Roman" w:eastAsia="Times New Roman" w:hAnsi="Times New Roman" w:cs="Times New Roman"/>
          <w:sz w:val="24"/>
          <w:szCs w:val="24"/>
          <w:lang w:val="en-US"/>
        </w:rPr>
        <w:fldChar w:fldCharType="begin" w:fldLock="1"/>
      </w:r>
      <w:r w:rsidR="00FA663F">
        <w:rPr>
          <w:rFonts w:ascii="Times New Roman" w:eastAsia="Times New Roman" w:hAnsi="Times New Roman" w:cs="Times New Roman"/>
          <w:sz w:val="24"/>
          <w:szCs w:val="24"/>
          <w:lang w:val="en-US"/>
        </w:rPr>
        <w:instrText>ADDIN CSL_CITATION {"citationItems":[{"id":"ITEM-1","itemData":{"DOI":"10.1073/pnas.1913321117","ISSN":"0027-8424","PMID":"31988116","abstract":"Maintaining the abundance of carbon stored aboveground in Amazon forests is central to any comprehensive climate stabilization strategy. Growing evidence points to indigenous peoples and local communities (IPLCs) as buffers against large-scale carbon emissions across a nine-nation network of indigenous territories (ITs) and protected natural areas (PNAs). Previous studies have demonstrated a link between indigenous land management and avoided deforestation, yet few have accounted for forest degradation and natural disturbances—processes that occur without forest clearing but are increasingly important drivers of biomass loss. Here we provide a comprehensive accounting of aboveground carbon dynamics inside and outside Amazon protected lands. Using published data on changes in aboveground carbon density and forest cover, we track gains and losses in carbon density from forest conversion and degradation/disturbance. We find that ITs and PNAs stored more than one-half (58%; 41,991 MtC) of the region’s carbon in 2016 but were responsible for just 10% (−130 MtC) of the net change (−1,290 MtC). Nevertheless, nearly one-half billion tons of carbon were lost from both ITs and PNAs (−434 MtC and −423 MtC, respectively), with degradation/disturbance accounting for &gt;75% of the losses in 7 countries. With deforestation increasing, and degradation/disturbance a neglected but significant source of region-wide emissions (47%), our results suggest that sustained support for IPLC stewardship of Amazon forests is critical. IPLCs provide a global environmental service that merits increased political protection and financial support, particularly if Amazon Basin countries are to achieve their commitments under the Paris Climate Agreement.","author":[{"dropping-particle":"","family":"Walker","given":"Wayne S.","non-dropping-particle":"","parse-names":false,"suffix":""},{"dropping-particle":"","family":"Gorelik","given":"Seth R.","non-dropping-particle":"","parse-names":false,"suffix":""},{"dropping-particle":"","family":"Baccini","given":"Alessandro","non-dropping-particle":"","parse-names":false,"suffix":""},{"dropping-particle":"","family":"Aragon-Osejo","given":"Jose Luis","non-dropping-particle":"","parse-names":false,"suffix":""},{"dropping-particle":"","family":"Josse","given":"Carmen","non-dropping-particle":"","parse-names":false,"suffix":""},{"dropping-particle":"","family":"Meyer","given":"Chris","non-dropping-particle":"","parse-names":false,"suffix":""},{"dropping-particle":"","family":"Macedo","given":"Marcia N.","non-dropping-particle":"","parse-names":false,"suffix":""},{"dropping-particle":"","family":"Augusto","given":"Cicero","non-dropping-particle":"","parse-names":false,"suffix":""},{"dropping-particle":"","family":"Rios","given":"Sandra","non-dropping-particle":"","parse-names":false,"suffix":""},{"dropping-particle":"","family":"Katan","given":"Tuntiak","non-dropping-particle":"","parse-names":false,"suffix":""},{"dropping-particle":"","family":"Souza","given":"Alana Almeida","non-dropping-particle":"de","parse-names":false,"suffix":""},{"dropping-particle":"","family":"Cuellar","given":"Saul","non-dropping-particle":"","parse-names":false,"suffix":""},{"dropping-particle":"","family":"Llanos","given":"Andres","non-dropping-particle":"","parse-names":false,"suffix":""},{"dropping-particle":"","family":"Zager","given":"Irene","non-dropping-particle":"","parse-names":false,"suffix":""},{"dropping-particle":"","family":"Mirabal","given":"Gregorio Díaz","non-dropping-particle":"","parse-names":false,"suffix":""},{"dropping-particle":"","family":"Solvik","given":"Kylen K.","non-dropping-particle":"","parse-names":false,"suffix":""},{"dropping-particle":"","family":"Farina","given":"Mary K.","non-dropping-particle":"","parse-names":false,"suffix":""},{"dropping-particle":"","family":"Moutinho","given":"Paulo","non-dropping-particle":"","parse-names":false,"suffix":""},{"dropping-particle":"","family":"Schwartzman","given":"Stephan","non-dropping-particle":"","parse-names":false,"suffix":""}],"container-title":"Proceedings of the National Academy of Sciences","id":"ITEM-1","issue":"6","issued":{"date-parts":[["2020","2","11"]]},"page":"3015-3025","title":"The role of forest conversion, degradation, and disturbance in the carbon dynamics of Amazon indigenous territories and protected areas","type":"article-journal","volume":"117"},"uris":["http://www.mendeley.com/documents/?uuid=568f20b8-114f-4cbb-a7d1-b8c3118e77c6"]}],"mendeley":{"formattedCitation":"&lt;sup&gt;2&lt;/sup&gt;","plainTextFormattedCitation":"2","previouslyFormattedCitation":"&lt;sup&gt;2&lt;/sup&gt;"},"properties":{"noteIndex":0},"schema":"https://github.com/citation-style-language/schema/raw/master/csl-citation.json"}</w:instrText>
      </w:r>
      <w:r w:rsidR="00FA663F">
        <w:rPr>
          <w:rFonts w:ascii="Times New Roman" w:eastAsia="Times New Roman" w:hAnsi="Times New Roman" w:cs="Times New Roman"/>
          <w:sz w:val="24"/>
          <w:szCs w:val="24"/>
          <w:lang w:val="en-US"/>
        </w:rPr>
        <w:fldChar w:fldCharType="separate"/>
      </w:r>
      <w:r w:rsidR="00FA663F" w:rsidRPr="00FA663F">
        <w:rPr>
          <w:rFonts w:ascii="Times New Roman" w:eastAsia="Times New Roman" w:hAnsi="Times New Roman" w:cs="Times New Roman"/>
          <w:noProof/>
          <w:sz w:val="24"/>
          <w:szCs w:val="24"/>
          <w:vertAlign w:val="superscript"/>
          <w:lang w:val="en-US"/>
        </w:rPr>
        <w:t>2</w:t>
      </w:r>
      <w:r w:rsidR="00FA663F">
        <w:rPr>
          <w:rFonts w:ascii="Times New Roman" w:eastAsia="Times New Roman" w:hAnsi="Times New Roman" w:cs="Times New Roman"/>
          <w:sz w:val="24"/>
          <w:szCs w:val="24"/>
          <w:lang w:val="en-US"/>
        </w:rPr>
        <w:fldChar w:fldCharType="end"/>
      </w:r>
      <w:r w:rsidRPr="00B355ED">
        <w:rPr>
          <w:rFonts w:ascii="Times New Roman" w:eastAsia="Times New Roman" w:hAnsi="Times New Roman" w:cs="Times New Roman"/>
          <w:sz w:val="24"/>
          <w:szCs w:val="24"/>
          <w:lang w:val="en-US"/>
        </w:rPr>
        <w:t>.</w:t>
      </w:r>
    </w:p>
    <w:p w14:paraId="4D120FF4" w14:textId="77777777" w:rsidR="00FA663F" w:rsidRPr="00FA663F" w:rsidRDefault="00E61A66" w:rsidP="00FA663F">
      <w:pPr>
        <w:numPr>
          <w:ilvl w:val="0"/>
          <w:numId w:val="1"/>
        </w:numPr>
        <w:pBdr>
          <w:top w:val="nil"/>
          <w:left w:val="nil"/>
          <w:bottom w:val="nil"/>
          <w:right w:val="nil"/>
          <w:between w:val="nil"/>
        </w:pBdr>
        <w:spacing w:after="0" w:line="480" w:lineRule="auto"/>
        <w:rPr>
          <w:rFonts w:ascii="Times New Roman" w:eastAsia="Times New Roman" w:hAnsi="Times New Roman" w:cs="Times New Roman"/>
          <w:b/>
          <w:sz w:val="24"/>
          <w:szCs w:val="24"/>
          <w:lang w:val="en-US"/>
        </w:rPr>
      </w:pPr>
      <w:r w:rsidRPr="00B355ED">
        <w:rPr>
          <w:rFonts w:ascii="Times New Roman" w:eastAsia="Times New Roman" w:hAnsi="Times New Roman" w:cs="Times New Roman"/>
          <w:b/>
          <w:sz w:val="24"/>
          <w:szCs w:val="24"/>
          <w:u w:val="single"/>
          <w:lang w:val="en-US"/>
        </w:rPr>
        <w:t xml:space="preserve">PL 3729/04 - Changes in the </w:t>
      </w:r>
      <w:proofErr w:type="spellStart"/>
      <w:r w:rsidRPr="00B355ED">
        <w:rPr>
          <w:rFonts w:ascii="Times New Roman" w:eastAsia="Times New Roman" w:hAnsi="Times New Roman" w:cs="Times New Roman"/>
          <w:b/>
          <w:sz w:val="24"/>
          <w:szCs w:val="24"/>
          <w:u w:val="single"/>
          <w:lang w:val="en-US"/>
        </w:rPr>
        <w:t>Licencing</w:t>
      </w:r>
      <w:proofErr w:type="spellEnd"/>
      <w:r w:rsidRPr="00B355ED">
        <w:rPr>
          <w:rFonts w:ascii="Times New Roman" w:eastAsia="Times New Roman" w:hAnsi="Times New Roman" w:cs="Times New Roman"/>
          <w:b/>
          <w:sz w:val="24"/>
          <w:szCs w:val="24"/>
          <w:u w:val="single"/>
          <w:lang w:val="en-US"/>
        </w:rPr>
        <w:t xml:space="preserve"> system:</w:t>
      </w:r>
      <w:r w:rsidR="00FA663F">
        <w:rPr>
          <w:rFonts w:ascii="Times New Roman" w:eastAsia="Times New Roman" w:hAnsi="Times New Roman" w:cs="Times New Roman"/>
          <w:sz w:val="24"/>
          <w:szCs w:val="24"/>
          <w:lang w:val="en-US"/>
        </w:rPr>
        <w:t xml:space="preserve"> This bill intends to amend </w:t>
      </w:r>
      <w:proofErr w:type="spellStart"/>
      <w:r w:rsidR="00FA663F">
        <w:rPr>
          <w:rFonts w:ascii="Times New Roman" w:eastAsia="Times New Roman" w:hAnsi="Times New Roman" w:cs="Times New Roman"/>
          <w:sz w:val="24"/>
          <w:szCs w:val="24"/>
          <w:lang w:val="en-US"/>
        </w:rPr>
        <w:t>the</w:t>
      </w:r>
    </w:p>
    <w:p w14:paraId="48FAD29D" w14:textId="77777777" w:rsidR="00E61A66" w:rsidRPr="00B355ED" w:rsidRDefault="00E61A66" w:rsidP="00FA663F">
      <w:pPr>
        <w:pBdr>
          <w:top w:val="nil"/>
          <w:left w:val="nil"/>
          <w:bottom w:val="nil"/>
          <w:right w:val="nil"/>
          <w:between w:val="nil"/>
        </w:pBdr>
        <w:spacing w:after="0" w:line="480" w:lineRule="auto"/>
        <w:ind w:left="360"/>
        <w:rPr>
          <w:rFonts w:ascii="Times New Roman" w:eastAsia="Times New Roman" w:hAnsi="Times New Roman" w:cs="Times New Roman"/>
          <w:b/>
          <w:sz w:val="24"/>
          <w:szCs w:val="24"/>
          <w:lang w:val="en-US"/>
        </w:rPr>
      </w:pPr>
      <w:proofErr w:type="spellEnd"/>
      <w:r w:rsidRPr="00B355ED">
        <w:rPr>
          <w:rFonts w:ascii="Times New Roman" w:eastAsia="Times New Roman" w:hAnsi="Times New Roman" w:cs="Times New Roman"/>
          <w:sz w:val="24"/>
          <w:szCs w:val="24"/>
          <w:lang w:val="en-US"/>
        </w:rPr>
        <w:t>Environmental Impact Assessment legislation. It intends to end, for example, the analysis and mitigation of the indirect impacts promoted by infrastructural projects. As the literature shows</w:t>
      </w:r>
      <w:r w:rsidR="00FA663F">
        <w:rPr>
          <w:rFonts w:ascii="Times New Roman" w:eastAsia="Times New Roman" w:hAnsi="Times New Roman" w:cs="Times New Roman"/>
          <w:sz w:val="24"/>
          <w:szCs w:val="24"/>
          <w:lang w:val="en-US"/>
        </w:rPr>
        <w:t xml:space="preserve">, </w:t>
      </w:r>
      <w:r w:rsidR="00FA663F" w:rsidRPr="00FA663F">
        <w:rPr>
          <w:rFonts w:ascii="Times New Roman" w:eastAsia="Times New Roman" w:hAnsi="Times New Roman" w:cs="Times New Roman"/>
          <w:sz w:val="24"/>
          <w:szCs w:val="24"/>
          <w:lang w:val="en-US"/>
        </w:rPr>
        <w:t>“95% of deforestation was within 5.5 km of a road”, and “Accessible unprotected land was 43.6% deforested”</w:t>
      </w:r>
      <w:r w:rsidR="00FA663F">
        <w:rPr>
          <w:rFonts w:ascii="Times New Roman" w:eastAsia="Times New Roman" w:hAnsi="Times New Roman" w:cs="Times New Roman"/>
          <w:sz w:val="24"/>
          <w:szCs w:val="24"/>
          <w:lang w:val="en-US"/>
        </w:rPr>
        <w:t xml:space="preserve"> </w:t>
      </w:r>
      <w:r w:rsidR="00FA663F">
        <w:rPr>
          <w:rFonts w:ascii="Times New Roman" w:eastAsia="Times New Roman" w:hAnsi="Times New Roman" w:cs="Times New Roman"/>
          <w:sz w:val="24"/>
          <w:szCs w:val="24"/>
          <w:lang w:val="en-US"/>
        </w:rPr>
        <w:fldChar w:fldCharType="begin" w:fldLock="1"/>
      </w:r>
      <w:r w:rsidR="00FA663F">
        <w:rPr>
          <w:rFonts w:ascii="Times New Roman" w:eastAsia="Times New Roman" w:hAnsi="Times New Roman" w:cs="Times New Roman"/>
          <w:sz w:val="24"/>
          <w:szCs w:val="24"/>
          <w:lang w:val="en-US"/>
        </w:rPr>
        <w:instrText>ADDIN CSL_CITATION {"citationItems":[{"id":"ITEM-1","itemData":{"DOI":"10.1016/j.biocon.2014.07.004","ISSN":"00063207","author":[{"dropping-particle":"","family":"Barber","given":"Christopher P","non-dropping-particle":"","parse-names":false,"suffix":""},{"dropping-particle":"","family":"Cochrane","given":"Mark A","non-dropping-particle":"","parse-names":false,"suffix":""},{"dropping-particle":"","family":"Souza","given":"Carlos M","non-dropping-particle":"","parse-names":false,"suffix":""},{"dropping-particle":"","family":"Laurance","given":"William F","non-dropping-particle":"","parse-names":false,"suffix":""}],"container-title":"Biological Conservation","id":"ITEM-1","issue":"2014","issued":{"date-parts":[["2014","9"]]},"page":"203-209","publisher":"Elsevier Ltd","title":"Roads, deforestation, and the mitigating effect of protected areas in the Amazon","type":"article-journal","volume":"177"},"uris":["http://www.mendeley.com/documents/?uuid=345aab44-17b2-4a44-a020-9d4d800de707"]}],"mendeley":{"formattedCitation":"&lt;sup&gt;3&lt;/sup&gt;","plainTextFormattedCitation":"3","previouslyFormattedCitation":"&lt;sup&gt;3&lt;/sup&gt;"},"properties":{"noteIndex":0},"schema":"https://github.com/citation-style-language/schema/raw/master/csl-citation.json"}</w:instrText>
      </w:r>
      <w:r w:rsidR="00FA663F">
        <w:rPr>
          <w:rFonts w:ascii="Times New Roman" w:eastAsia="Times New Roman" w:hAnsi="Times New Roman" w:cs="Times New Roman"/>
          <w:sz w:val="24"/>
          <w:szCs w:val="24"/>
          <w:lang w:val="en-US"/>
        </w:rPr>
        <w:fldChar w:fldCharType="separate"/>
      </w:r>
      <w:r w:rsidR="00FA663F" w:rsidRPr="00FA663F">
        <w:rPr>
          <w:rFonts w:ascii="Times New Roman" w:eastAsia="Times New Roman" w:hAnsi="Times New Roman" w:cs="Times New Roman"/>
          <w:noProof/>
          <w:sz w:val="24"/>
          <w:szCs w:val="24"/>
          <w:vertAlign w:val="superscript"/>
          <w:lang w:val="en-US"/>
        </w:rPr>
        <w:t>3</w:t>
      </w:r>
      <w:r w:rsidR="00FA663F">
        <w:rPr>
          <w:rFonts w:ascii="Times New Roman" w:eastAsia="Times New Roman" w:hAnsi="Times New Roman" w:cs="Times New Roman"/>
          <w:sz w:val="24"/>
          <w:szCs w:val="24"/>
          <w:lang w:val="en-US"/>
        </w:rPr>
        <w:fldChar w:fldCharType="end"/>
      </w:r>
      <w:r w:rsidR="00FA663F">
        <w:rPr>
          <w:rFonts w:ascii="Times New Roman" w:eastAsia="Times New Roman" w:hAnsi="Times New Roman" w:cs="Times New Roman"/>
          <w:sz w:val="24"/>
          <w:szCs w:val="24"/>
          <w:lang w:val="en-US"/>
        </w:rPr>
        <w:t>.</w:t>
      </w:r>
      <w:r w:rsidRPr="00B355ED">
        <w:rPr>
          <w:rFonts w:ascii="Times New Roman" w:eastAsia="Times New Roman" w:hAnsi="Times New Roman" w:cs="Times New Roman"/>
          <w:sz w:val="24"/>
          <w:szCs w:val="24"/>
          <w:lang w:val="en-US"/>
        </w:rPr>
        <w:t xml:space="preserve"> These findings show that unassessed infrastructure projects tend to increase deforestation and emissions.</w:t>
      </w:r>
    </w:p>
    <w:p w14:paraId="596EBC1B" w14:textId="77777777" w:rsidR="00E61A66" w:rsidRPr="00B355ED" w:rsidRDefault="00E61A66" w:rsidP="00E61A66">
      <w:pPr>
        <w:numPr>
          <w:ilvl w:val="0"/>
          <w:numId w:val="1"/>
        </w:numPr>
        <w:pBdr>
          <w:top w:val="nil"/>
          <w:left w:val="nil"/>
          <w:bottom w:val="nil"/>
          <w:right w:val="nil"/>
          <w:between w:val="nil"/>
        </w:pBdr>
        <w:spacing w:after="240" w:line="480" w:lineRule="auto"/>
        <w:ind w:left="426" w:hanging="284"/>
        <w:rPr>
          <w:rFonts w:ascii="Times New Roman" w:eastAsia="Times New Roman" w:hAnsi="Times New Roman" w:cs="Times New Roman"/>
          <w:color w:val="000000"/>
          <w:sz w:val="24"/>
          <w:szCs w:val="24"/>
          <w:lang w:val="en-US"/>
        </w:rPr>
      </w:pPr>
      <w:proofErr w:type="spellStart"/>
      <w:r w:rsidRPr="00B355ED">
        <w:rPr>
          <w:rFonts w:ascii="Times New Roman" w:eastAsia="Times New Roman" w:hAnsi="Times New Roman" w:cs="Times New Roman"/>
          <w:b/>
          <w:color w:val="000000"/>
          <w:sz w:val="24"/>
          <w:szCs w:val="24"/>
          <w:u w:val="single"/>
          <w:lang w:val="en-US"/>
        </w:rPr>
        <w:lastRenderedPageBreak/>
        <w:t>Bom</w:t>
      </w:r>
      <w:proofErr w:type="spellEnd"/>
      <w:r w:rsidRPr="00B355ED">
        <w:rPr>
          <w:rFonts w:ascii="Times New Roman" w:eastAsia="Times New Roman" w:hAnsi="Times New Roman" w:cs="Times New Roman"/>
          <w:b/>
          <w:color w:val="000000"/>
          <w:sz w:val="24"/>
          <w:szCs w:val="24"/>
          <w:u w:val="single"/>
          <w:lang w:val="en-US"/>
        </w:rPr>
        <w:t xml:space="preserve"> </w:t>
      </w:r>
      <w:proofErr w:type="spellStart"/>
      <w:r w:rsidRPr="00B355ED">
        <w:rPr>
          <w:rFonts w:ascii="Times New Roman" w:eastAsia="Times New Roman" w:hAnsi="Times New Roman" w:cs="Times New Roman"/>
          <w:b/>
          <w:color w:val="000000"/>
          <w:sz w:val="24"/>
          <w:szCs w:val="24"/>
          <w:u w:val="single"/>
          <w:lang w:val="en-US"/>
        </w:rPr>
        <w:t>Futuro</w:t>
      </w:r>
      <w:proofErr w:type="spellEnd"/>
      <w:r w:rsidRPr="00B355ED">
        <w:rPr>
          <w:rFonts w:ascii="Times New Roman" w:eastAsia="Times New Roman" w:hAnsi="Times New Roman" w:cs="Times New Roman"/>
          <w:b/>
          <w:color w:val="000000"/>
          <w:sz w:val="24"/>
          <w:szCs w:val="24"/>
          <w:u w:val="single"/>
          <w:lang w:val="en-US"/>
        </w:rPr>
        <w:t xml:space="preserve"> National Forest (</w:t>
      </w:r>
      <w:proofErr w:type="spellStart"/>
      <w:r w:rsidRPr="00B355ED">
        <w:rPr>
          <w:rFonts w:ascii="Times New Roman" w:eastAsia="Times New Roman" w:hAnsi="Times New Roman" w:cs="Times New Roman"/>
          <w:b/>
          <w:color w:val="000000"/>
          <w:sz w:val="24"/>
          <w:szCs w:val="24"/>
          <w:u w:val="single"/>
          <w:lang w:val="en-US"/>
        </w:rPr>
        <w:t>Rondônia</w:t>
      </w:r>
      <w:proofErr w:type="spellEnd"/>
      <w:r w:rsidRPr="00B355ED">
        <w:rPr>
          <w:rFonts w:ascii="Times New Roman" w:eastAsia="Times New Roman" w:hAnsi="Times New Roman" w:cs="Times New Roman"/>
          <w:b/>
          <w:color w:val="000000"/>
          <w:sz w:val="24"/>
          <w:szCs w:val="24"/>
          <w:u w:val="single"/>
          <w:lang w:val="en-US"/>
        </w:rPr>
        <w:t>) - reduction -</w:t>
      </w:r>
      <w:r w:rsidRPr="00B355ED">
        <w:rPr>
          <w:rFonts w:ascii="Times New Roman" w:eastAsia="Times New Roman" w:hAnsi="Times New Roman" w:cs="Times New Roman"/>
          <w:b/>
          <w:sz w:val="24"/>
          <w:szCs w:val="24"/>
          <w:u w:val="single"/>
          <w:lang w:val="en-US"/>
        </w:rPr>
        <w:t xml:space="preserve"> enacted in 2010</w:t>
      </w:r>
      <w:r w:rsidRPr="00B355ED">
        <w:rPr>
          <w:rFonts w:ascii="Times New Roman" w:eastAsia="Times New Roman" w:hAnsi="Times New Roman" w:cs="Times New Roman"/>
          <w:b/>
          <w:color w:val="000000"/>
          <w:sz w:val="24"/>
          <w:szCs w:val="24"/>
          <w:u w:val="single"/>
          <w:lang w:val="en-US"/>
        </w:rPr>
        <w:t>:</w:t>
      </w:r>
      <w:r w:rsidRPr="00B355ED">
        <w:rPr>
          <w:rFonts w:ascii="Times New Roman" w:eastAsia="Times New Roman" w:hAnsi="Times New Roman" w:cs="Times New Roman"/>
          <w:color w:val="000000"/>
          <w:sz w:val="24"/>
          <w:szCs w:val="24"/>
          <w:lang w:val="en-US"/>
        </w:rPr>
        <w:t xml:space="preserve"> With the approval of Law 12.249 / 2010, this protected area </w:t>
      </w:r>
      <w:proofErr w:type="gramStart"/>
      <w:r w:rsidRPr="00B355ED">
        <w:rPr>
          <w:rFonts w:ascii="Times New Roman" w:eastAsia="Times New Roman" w:hAnsi="Times New Roman" w:cs="Times New Roman"/>
          <w:color w:val="000000"/>
          <w:sz w:val="24"/>
          <w:szCs w:val="24"/>
          <w:lang w:val="en-US"/>
        </w:rPr>
        <w:t>was reduced</w:t>
      </w:r>
      <w:proofErr w:type="gramEnd"/>
      <w:r w:rsidRPr="00B355ED">
        <w:rPr>
          <w:rFonts w:ascii="Times New Roman" w:eastAsia="Times New Roman" w:hAnsi="Times New Roman" w:cs="Times New Roman"/>
          <w:color w:val="000000"/>
          <w:sz w:val="24"/>
          <w:szCs w:val="24"/>
          <w:lang w:val="en-US"/>
        </w:rPr>
        <w:t xml:space="preserve"> from 280,000 hectares to less than 98,000 hectares. The main reason for decreasing the protected area was to legalize cattle production, which </w:t>
      </w:r>
      <w:r w:rsidR="00FA663F">
        <w:rPr>
          <w:rFonts w:ascii="Times New Roman" w:eastAsia="Times New Roman" w:hAnsi="Times New Roman" w:cs="Times New Roman"/>
          <w:color w:val="000000"/>
          <w:sz w:val="24"/>
          <w:szCs w:val="24"/>
          <w:lang w:val="en-US"/>
        </w:rPr>
        <w:t>has been illegally occupying the forest’s limits over the year</w:t>
      </w:r>
      <w:r w:rsidRPr="00B355ED">
        <w:rPr>
          <w:rFonts w:ascii="Times New Roman" w:eastAsia="Times New Roman" w:hAnsi="Times New Roman" w:cs="Times New Roman"/>
          <w:color w:val="000000"/>
          <w:sz w:val="24"/>
          <w:szCs w:val="24"/>
          <w:lang w:val="en-US"/>
        </w:rPr>
        <w:t>s.</w:t>
      </w:r>
    </w:p>
    <w:p w14:paraId="0833474E" w14:textId="77777777" w:rsidR="00E61A66" w:rsidRPr="00B355ED" w:rsidRDefault="00E61A66" w:rsidP="00E61A66">
      <w:pPr>
        <w:numPr>
          <w:ilvl w:val="0"/>
          <w:numId w:val="1"/>
        </w:numPr>
        <w:pBdr>
          <w:top w:val="nil"/>
          <w:left w:val="nil"/>
          <w:bottom w:val="nil"/>
          <w:right w:val="nil"/>
          <w:between w:val="nil"/>
        </w:pBdr>
        <w:spacing w:after="240" w:line="480" w:lineRule="auto"/>
        <w:ind w:left="426" w:hanging="284"/>
        <w:rPr>
          <w:rFonts w:ascii="Times New Roman" w:eastAsia="Times New Roman" w:hAnsi="Times New Roman" w:cs="Times New Roman"/>
          <w:sz w:val="24"/>
          <w:szCs w:val="24"/>
          <w:lang w:val="en-US"/>
        </w:rPr>
      </w:pPr>
      <w:r w:rsidRPr="00B355ED">
        <w:rPr>
          <w:rFonts w:ascii="Times New Roman" w:eastAsia="Times New Roman" w:hAnsi="Times New Roman" w:cs="Times New Roman"/>
          <w:b/>
          <w:sz w:val="24"/>
          <w:szCs w:val="24"/>
          <w:u w:val="single"/>
          <w:lang w:val="en-US"/>
        </w:rPr>
        <w:t>Chico Mendes Extractive Reserve reduction - proposed in 2019:</w:t>
      </w:r>
      <w:r w:rsidRPr="00B355ED">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0"/>
            <w:lang w:val="en-US"/>
          </w:rPr>
          <w:tag w:val="goog_rdk_18"/>
          <w:id w:val="508265131"/>
        </w:sdtPr>
        <w:sdtContent/>
      </w:sdt>
      <w:r w:rsidRPr="00B355ED">
        <w:rPr>
          <w:rFonts w:ascii="Times New Roman" w:eastAsia="Times New Roman" w:hAnsi="Times New Roman" w:cs="Times New Roman"/>
          <w:sz w:val="24"/>
          <w:szCs w:val="24"/>
          <w:lang w:val="en-US"/>
        </w:rPr>
        <w:t xml:space="preserve">Farmers and irregular occupants in the Chico Mendes Extractive Reserve in Acre are enjoying newfound political power and pressuring </w:t>
      </w:r>
      <w:r w:rsidR="00FA663F">
        <w:rPr>
          <w:rFonts w:ascii="Times New Roman" w:eastAsia="Times New Roman" w:hAnsi="Times New Roman" w:cs="Times New Roman"/>
          <w:sz w:val="24"/>
          <w:szCs w:val="24"/>
          <w:lang w:val="en-US"/>
        </w:rPr>
        <w:t>to reduce</w:t>
      </w:r>
      <w:r w:rsidRPr="00B355ED">
        <w:rPr>
          <w:rFonts w:ascii="Times New Roman" w:eastAsia="Times New Roman" w:hAnsi="Times New Roman" w:cs="Times New Roman"/>
          <w:sz w:val="24"/>
          <w:szCs w:val="24"/>
          <w:lang w:val="en-US"/>
        </w:rPr>
        <w:t xml:space="preserve"> the first protected area of its kind in Brazil. A bill (PL 6024/2019) in the Federal House of Representatives proposes </w:t>
      </w:r>
      <w:r w:rsidR="00FA663F">
        <w:rPr>
          <w:rFonts w:ascii="Times New Roman" w:eastAsia="Times New Roman" w:hAnsi="Times New Roman" w:cs="Times New Roman"/>
          <w:sz w:val="24"/>
          <w:szCs w:val="24"/>
          <w:lang w:val="en-US"/>
        </w:rPr>
        <w:t>removing areas used for irregular cattle farming</w:t>
      </w:r>
      <w:r w:rsidRPr="00B355ED">
        <w:rPr>
          <w:rFonts w:ascii="Times New Roman" w:eastAsia="Times New Roman" w:hAnsi="Times New Roman" w:cs="Times New Roman"/>
          <w:sz w:val="24"/>
          <w:szCs w:val="24"/>
          <w:lang w:val="en-US"/>
        </w:rPr>
        <w:t xml:space="preserve"> from its perimeter, effectively legalizing the activity. Resident associations oppose the move.</w:t>
      </w:r>
    </w:p>
    <w:p w14:paraId="3243399A" w14:textId="77777777" w:rsidR="00E61A66" w:rsidRPr="00B355ED" w:rsidRDefault="00E61A66" w:rsidP="00E61A66">
      <w:pPr>
        <w:numPr>
          <w:ilvl w:val="0"/>
          <w:numId w:val="1"/>
        </w:numPr>
        <w:pBdr>
          <w:top w:val="nil"/>
          <w:left w:val="nil"/>
          <w:bottom w:val="nil"/>
          <w:right w:val="nil"/>
          <w:between w:val="nil"/>
        </w:pBdr>
        <w:spacing w:after="240" w:line="480" w:lineRule="auto"/>
        <w:ind w:left="426" w:hanging="284"/>
        <w:rPr>
          <w:rFonts w:ascii="Times New Roman" w:eastAsia="Times New Roman" w:hAnsi="Times New Roman" w:cs="Times New Roman"/>
          <w:color w:val="000000"/>
          <w:sz w:val="24"/>
          <w:szCs w:val="24"/>
          <w:lang w:val="en-US"/>
        </w:rPr>
      </w:pPr>
      <w:proofErr w:type="spellStart"/>
      <w:r w:rsidRPr="00B355ED">
        <w:rPr>
          <w:rFonts w:ascii="Times New Roman" w:eastAsia="Times New Roman" w:hAnsi="Times New Roman" w:cs="Times New Roman"/>
          <w:b/>
          <w:color w:val="000000"/>
          <w:sz w:val="24"/>
          <w:szCs w:val="24"/>
          <w:u w:val="single"/>
          <w:lang w:val="en-US"/>
        </w:rPr>
        <w:t>Jamanxim</w:t>
      </w:r>
      <w:proofErr w:type="spellEnd"/>
      <w:r w:rsidRPr="00B355ED">
        <w:rPr>
          <w:rFonts w:ascii="Times New Roman" w:eastAsia="Times New Roman" w:hAnsi="Times New Roman" w:cs="Times New Roman"/>
          <w:b/>
          <w:color w:val="000000"/>
          <w:sz w:val="24"/>
          <w:szCs w:val="24"/>
          <w:u w:val="single"/>
          <w:lang w:val="en-US"/>
        </w:rPr>
        <w:t xml:space="preserve"> National Forest (</w:t>
      </w:r>
      <w:proofErr w:type="spellStart"/>
      <w:r w:rsidRPr="00B355ED">
        <w:rPr>
          <w:rFonts w:ascii="Times New Roman" w:eastAsia="Times New Roman" w:hAnsi="Times New Roman" w:cs="Times New Roman"/>
          <w:b/>
          <w:color w:val="000000"/>
          <w:sz w:val="24"/>
          <w:szCs w:val="24"/>
          <w:u w:val="single"/>
          <w:lang w:val="en-US"/>
        </w:rPr>
        <w:t>Pará</w:t>
      </w:r>
      <w:proofErr w:type="spellEnd"/>
      <w:r w:rsidRPr="00B355ED">
        <w:rPr>
          <w:rFonts w:ascii="Times New Roman" w:eastAsia="Times New Roman" w:hAnsi="Times New Roman" w:cs="Times New Roman"/>
          <w:b/>
          <w:color w:val="000000"/>
          <w:sz w:val="24"/>
          <w:szCs w:val="24"/>
          <w:u w:val="single"/>
          <w:lang w:val="en-US"/>
        </w:rPr>
        <w:t>) - proposed in 2017:</w:t>
      </w:r>
      <w:r w:rsidRPr="00B355ED">
        <w:rPr>
          <w:rFonts w:ascii="Times New Roman" w:eastAsia="Times New Roman" w:hAnsi="Times New Roman" w:cs="Times New Roman"/>
          <w:color w:val="000000"/>
          <w:sz w:val="24"/>
          <w:szCs w:val="24"/>
          <w:lang w:val="en-US"/>
        </w:rPr>
        <w:t xml:space="preserve"> The PL 8107/2017 is now under discussion at the National Congress, allowing the expansion of agricultural production in 26.45% of the </w:t>
      </w:r>
      <w:proofErr w:type="spellStart"/>
      <w:r w:rsidRPr="00B355ED">
        <w:rPr>
          <w:rFonts w:ascii="Times New Roman" w:eastAsia="Times New Roman" w:hAnsi="Times New Roman" w:cs="Times New Roman"/>
          <w:color w:val="000000"/>
          <w:sz w:val="24"/>
          <w:szCs w:val="24"/>
          <w:lang w:val="en-US"/>
        </w:rPr>
        <w:t>Jamanxim</w:t>
      </w:r>
      <w:proofErr w:type="spellEnd"/>
      <w:r w:rsidRPr="00B355ED">
        <w:rPr>
          <w:rFonts w:ascii="Times New Roman" w:eastAsia="Times New Roman" w:hAnsi="Times New Roman" w:cs="Times New Roman"/>
          <w:color w:val="000000"/>
          <w:sz w:val="24"/>
          <w:szCs w:val="24"/>
          <w:lang w:val="en-US"/>
        </w:rPr>
        <w:t xml:space="preserve"> National Forest (FLONA). If this project </w:t>
      </w:r>
      <w:proofErr w:type="gramStart"/>
      <w:r w:rsidRPr="00B355ED">
        <w:rPr>
          <w:rFonts w:ascii="Times New Roman" w:eastAsia="Times New Roman" w:hAnsi="Times New Roman" w:cs="Times New Roman"/>
          <w:color w:val="000000"/>
          <w:sz w:val="24"/>
          <w:szCs w:val="24"/>
          <w:lang w:val="en-US"/>
        </w:rPr>
        <w:t>is approved</w:t>
      </w:r>
      <w:proofErr w:type="gramEnd"/>
      <w:r w:rsidRPr="00B355ED">
        <w:rPr>
          <w:rFonts w:ascii="Times New Roman" w:eastAsia="Times New Roman" w:hAnsi="Times New Roman" w:cs="Times New Roman"/>
          <w:color w:val="000000"/>
          <w:sz w:val="24"/>
          <w:szCs w:val="24"/>
          <w:lang w:val="en-US"/>
        </w:rPr>
        <w:t xml:space="preserve">, the FLONA will lose 349 thousand hectares, </w:t>
      </w:r>
      <w:r w:rsidR="00FA663F">
        <w:rPr>
          <w:rFonts w:ascii="Times New Roman" w:eastAsia="Times New Roman" w:hAnsi="Times New Roman" w:cs="Times New Roman"/>
          <w:color w:val="000000"/>
          <w:sz w:val="24"/>
          <w:szCs w:val="24"/>
          <w:lang w:val="en-US"/>
        </w:rPr>
        <w:t>regularizing</w:t>
      </w:r>
      <w:r w:rsidRPr="00B355ED">
        <w:rPr>
          <w:rFonts w:ascii="Times New Roman" w:eastAsia="Times New Roman" w:hAnsi="Times New Roman" w:cs="Times New Roman"/>
          <w:color w:val="000000"/>
          <w:sz w:val="24"/>
          <w:szCs w:val="24"/>
          <w:lang w:val="en-US"/>
        </w:rPr>
        <w:t xml:space="preserve"> the agricultural production that illegally exists in the protected area. This initiative is the second attempt to change the limits of FLONA </w:t>
      </w:r>
      <w:proofErr w:type="spellStart"/>
      <w:r w:rsidRPr="00B355ED">
        <w:rPr>
          <w:rFonts w:ascii="Times New Roman" w:eastAsia="Times New Roman" w:hAnsi="Times New Roman" w:cs="Times New Roman"/>
          <w:color w:val="000000"/>
          <w:sz w:val="24"/>
          <w:szCs w:val="24"/>
          <w:lang w:val="en-US"/>
        </w:rPr>
        <w:t>Jamanxim</w:t>
      </w:r>
      <w:proofErr w:type="spellEnd"/>
      <w:r w:rsidRPr="00B355ED">
        <w:rPr>
          <w:rFonts w:ascii="Times New Roman" w:eastAsia="Times New Roman" w:hAnsi="Times New Roman" w:cs="Times New Roman"/>
          <w:color w:val="000000"/>
          <w:sz w:val="24"/>
          <w:szCs w:val="24"/>
          <w:lang w:val="en-US"/>
        </w:rPr>
        <w:t xml:space="preserve"> to legalize cattle production in the protected area. In 2017, the National Congress approved the Provisional Measure 756/2016, which already reduced the protection of 37% of the territory of the National Forest. Widespread national mobilization took place. Brazil</w:t>
      </w:r>
      <w:r w:rsidR="00FA663F">
        <w:rPr>
          <w:rFonts w:ascii="Times New Roman" w:eastAsia="Times New Roman" w:hAnsi="Times New Roman" w:cs="Times New Roman"/>
          <w:color w:val="000000"/>
          <w:sz w:val="24"/>
          <w:szCs w:val="24"/>
          <w:lang w:val="en-US"/>
        </w:rPr>
        <w:t>’</w:t>
      </w:r>
      <w:r w:rsidRPr="00B355ED">
        <w:rPr>
          <w:rFonts w:ascii="Times New Roman" w:eastAsia="Times New Roman" w:hAnsi="Times New Roman" w:cs="Times New Roman"/>
          <w:color w:val="000000"/>
          <w:sz w:val="24"/>
          <w:szCs w:val="24"/>
          <w:lang w:val="en-US"/>
        </w:rPr>
        <w:t xml:space="preserve">s President contingently vetoed this attempt to change the legal requirements – only to </w:t>
      </w:r>
      <w:proofErr w:type="gramStart"/>
      <w:r w:rsidRPr="00B355ED">
        <w:rPr>
          <w:rFonts w:ascii="Times New Roman" w:eastAsia="Times New Roman" w:hAnsi="Times New Roman" w:cs="Times New Roman"/>
          <w:color w:val="000000"/>
          <w:sz w:val="24"/>
          <w:szCs w:val="24"/>
          <w:lang w:val="en-US"/>
        </w:rPr>
        <w:t>be presented</w:t>
      </w:r>
      <w:proofErr w:type="gramEnd"/>
      <w:r w:rsidRPr="00B355ED">
        <w:rPr>
          <w:rFonts w:ascii="Times New Roman" w:eastAsia="Times New Roman" w:hAnsi="Times New Roman" w:cs="Times New Roman"/>
          <w:color w:val="000000"/>
          <w:sz w:val="24"/>
          <w:szCs w:val="24"/>
          <w:lang w:val="en-US"/>
        </w:rPr>
        <w:t xml:space="preserve"> in Congress again some years later. </w:t>
      </w:r>
    </w:p>
    <w:p w14:paraId="5805A09C" w14:textId="77777777" w:rsidR="00E61A66" w:rsidRPr="00B355ED" w:rsidRDefault="00E61A66" w:rsidP="00E61A66">
      <w:pPr>
        <w:numPr>
          <w:ilvl w:val="0"/>
          <w:numId w:val="1"/>
        </w:numPr>
        <w:pBdr>
          <w:top w:val="nil"/>
          <w:left w:val="nil"/>
          <w:bottom w:val="nil"/>
          <w:right w:val="nil"/>
          <w:between w:val="nil"/>
        </w:pBdr>
        <w:spacing w:after="240" w:line="480" w:lineRule="auto"/>
        <w:ind w:left="426" w:hanging="284"/>
        <w:rPr>
          <w:rFonts w:ascii="Times New Roman" w:eastAsia="Times New Roman" w:hAnsi="Times New Roman" w:cs="Times New Roman"/>
          <w:color w:val="000000"/>
          <w:sz w:val="24"/>
          <w:szCs w:val="24"/>
          <w:lang w:val="en-US"/>
        </w:rPr>
      </w:pPr>
      <w:r w:rsidRPr="00B355ED">
        <w:rPr>
          <w:rFonts w:ascii="Times New Roman" w:eastAsia="Times New Roman" w:hAnsi="Times New Roman" w:cs="Times New Roman"/>
          <w:b/>
          <w:color w:val="000000"/>
          <w:sz w:val="24"/>
          <w:szCs w:val="24"/>
          <w:u w:val="single"/>
          <w:lang w:val="en-US"/>
        </w:rPr>
        <w:t xml:space="preserve">RESEX State </w:t>
      </w:r>
      <w:proofErr w:type="spellStart"/>
      <w:r w:rsidRPr="00B355ED">
        <w:rPr>
          <w:rFonts w:ascii="Times New Roman" w:eastAsia="Times New Roman" w:hAnsi="Times New Roman" w:cs="Times New Roman"/>
          <w:b/>
          <w:color w:val="000000"/>
          <w:sz w:val="24"/>
          <w:szCs w:val="24"/>
          <w:u w:val="single"/>
          <w:lang w:val="en-US"/>
        </w:rPr>
        <w:t>Jaci</w:t>
      </w:r>
      <w:proofErr w:type="spellEnd"/>
      <w:r w:rsidRPr="00B355ED">
        <w:rPr>
          <w:rFonts w:ascii="Times New Roman" w:eastAsia="Times New Roman" w:hAnsi="Times New Roman" w:cs="Times New Roman"/>
          <w:b/>
          <w:color w:val="000000"/>
          <w:sz w:val="24"/>
          <w:szCs w:val="24"/>
          <w:u w:val="single"/>
          <w:lang w:val="en-US"/>
        </w:rPr>
        <w:t xml:space="preserve"> Paraná (</w:t>
      </w:r>
      <w:proofErr w:type="spellStart"/>
      <w:r w:rsidRPr="00B355ED">
        <w:rPr>
          <w:rFonts w:ascii="Times New Roman" w:eastAsia="Times New Roman" w:hAnsi="Times New Roman" w:cs="Times New Roman"/>
          <w:b/>
          <w:color w:val="000000"/>
          <w:sz w:val="24"/>
          <w:szCs w:val="24"/>
          <w:u w:val="single"/>
          <w:lang w:val="en-US"/>
        </w:rPr>
        <w:t>Rondônia</w:t>
      </w:r>
      <w:proofErr w:type="spellEnd"/>
      <w:r w:rsidRPr="00B355ED">
        <w:rPr>
          <w:rFonts w:ascii="Times New Roman" w:eastAsia="Times New Roman" w:hAnsi="Times New Roman" w:cs="Times New Roman"/>
          <w:b/>
          <w:color w:val="000000"/>
          <w:sz w:val="24"/>
          <w:szCs w:val="24"/>
          <w:u w:val="single"/>
          <w:lang w:val="en-US"/>
        </w:rPr>
        <w:t>) - proposed in 2019:</w:t>
      </w:r>
      <w:r w:rsidRPr="00B355ED">
        <w:rPr>
          <w:rFonts w:ascii="Times New Roman" w:eastAsia="Times New Roman" w:hAnsi="Times New Roman" w:cs="Times New Roman"/>
          <w:color w:val="000000"/>
          <w:sz w:val="24"/>
          <w:szCs w:val="24"/>
          <w:lang w:val="en-US"/>
        </w:rPr>
        <w:t xml:space="preserve"> In 2019, the Governor of the State of </w:t>
      </w:r>
      <w:proofErr w:type="spellStart"/>
      <w:r w:rsidRPr="00B355ED">
        <w:rPr>
          <w:rFonts w:ascii="Times New Roman" w:eastAsia="Times New Roman" w:hAnsi="Times New Roman" w:cs="Times New Roman"/>
          <w:color w:val="000000"/>
          <w:sz w:val="24"/>
          <w:szCs w:val="24"/>
          <w:lang w:val="en-US"/>
        </w:rPr>
        <w:t>Rondônia</w:t>
      </w:r>
      <w:proofErr w:type="spellEnd"/>
      <w:r w:rsidRPr="00B355ED">
        <w:rPr>
          <w:rFonts w:ascii="Times New Roman" w:eastAsia="Times New Roman" w:hAnsi="Times New Roman" w:cs="Times New Roman"/>
          <w:color w:val="000000"/>
          <w:sz w:val="24"/>
          <w:szCs w:val="24"/>
          <w:lang w:val="en-US"/>
        </w:rPr>
        <w:t xml:space="preserve"> submitted the bill PL 80/2020 to the State Legislative Assembly, proposing the reduction of 80% of the limits of the </w:t>
      </w:r>
      <w:proofErr w:type="spellStart"/>
      <w:r w:rsidRPr="00B355ED">
        <w:rPr>
          <w:rFonts w:ascii="Times New Roman" w:eastAsia="Times New Roman" w:hAnsi="Times New Roman" w:cs="Times New Roman"/>
          <w:color w:val="000000"/>
          <w:sz w:val="24"/>
          <w:szCs w:val="24"/>
          <w:lang w:val="en-US"/>
        </w:rPr>
        <w:t>Jaci</w:t>
      </w:r>
      <w:proofErr w:type="spellEnd"/>
      <w:r w:rsidRPr="00B355ED">
        <w:rPr>
          <w:rFonts w:ascii="Times New Roman" w:eastAsia="Times New Roman" w:hAnsi="Times New Roman" w:cs="Times New Roman"/>
          <w:color w:val="000000"/>
          <w:sz w:val="24"/>
          <w:szCs w:val="24"/>
          <w:lang w:val="en-US"/>
        </w:rPr>
        <w:t xml:space="preserve">-Paraná Extractive Reserve. From </w:t>
      </w:r>
      <w:r w:rsidRPr="00B355ED">
        <w:rPr>
          <w:rFonts w:ascii="Times New Roman" w:eastAsia="Times New Roman" w:hAnsi="Times New Roman" w:cs="Times New Roman"/>
          <w:color w:val="000000"/>
          <w:sz w:val="24"/>
          <w:szCs w:val="24"/>
          <w:lang w:val="en-US"/>
        </w:rPr>
        <w:lastRenderedPageBreak/>
        <w:t xml:space="preserve">just over </w:t>
      </w:r>
      <w:r w:rsidRPr="00B355ED">
        <w:rPr>
          <w:rFonts w:ascii="Times New Roman" w:eastAsia="Times New Roman" w:hAnsi="Times New Roman" w:cs="Times New Roman"/>
          <w:sz w:val="24"/>
          <w:szCs w:val="24"/>
          <w:lang w:val="en-US"/>
        </w:rPr>
        <w:t>190</w:t>
      </w:r>
      <w:r w:rsidRPr="00B355ED">
        <w:rPr>
          <w:rFonts w:ascii="Times New Roman" w:eastAsia="Times New Roman" w:hAnsi="Times New Roman" w:cs="Times New Roman"/>
          <w:color w:val="000000"/>
          <w:sz w:val="24"/>
          <w:szCs w:val="24"/>
          <w:lang w:val="en-US"/>
        </w:rPr>
        <w:t xml:space="preserve"> thousand hectares, the area </w:t>
      </w:r>
      <w:proofErr w:type="gramStart"/>
      <w:r w:rsidRPr="00B355ED">
        <w:rPr>
          <w:rFonts w:ascii="Times New Roman" w:eastAsia="Times New Roman" w:hAnsi="Times New Roman" w:cs="Times New Roman"/>
          <w:color w:val="000000"/>
          <w:sz w:val="24"/>
          <w:szCs w:val="24"/>
          <w:lang w:val="en-US"/>
        </w:rPr>
        <w:t>would be reduced</w:t>
      </w:r>
      <w:proofErr w:type="gramEnd"/>
      <w:r w:rsidRPr="00B355ED">
        <w:rPr>
          <w:rFonts w:ascii="Times New Roman" w:eastAsia="Times New Roman" w:hAnsi="Times New Roman" w:cs="Times New Roman"/>
          <w:color w:val="000000"/>
          <w:sz w:val="24"/>
          <w:szCs w:val="24"/>
          <w:lang w:val="en-US"/>
        </w:rPr>
        <w:t xml:space="preserve"> to barely </w:t>
      </w:r>
      <w:r w:rsidRPr="00B355ED">
        <w:rPr>
          <w:rFonts w:ascii="Times New Roman" w:eastAsia="Times New Roman" w:hAnsi="Times New Roman" w:cs="Times New Roman"/>
          <w:sz w:val="24"/>
          <w:szCs w:val="24"/>
          <w:lang w:val="en-US"/>
        </w:rPr>
        <w:t>22</w:t>
      </w:r>
      <w:r w:rsidRPr="00B355ED">
        <w:rPr>
          <w:rFonts w:ascii="Times New Roman" w:eastAsia="Times New Roman" w:hAnsi="Times New Roman" w:cs="Times New Roman"/>
          <w:color w:val="000000"/>
          <w:sz w:val="24"/>
          <w:szCs w:val="24"/>
          <w:lang w:val="en-US"/>
        </w:rPr>
        <w:t xml:space="preserve"> thousand hectares. The government</w:t>
      </w:r>
      <w:r w:rsidR="00FA663F">
        <w:rPr>
          <w:rFonts w:ascii="Times New Roman" w:eastAsia="Times New Roman" w:hAnsi="Times New Roman" w:cs="Times New Roman"/>
          <w:color w:val="000000"/>
          <w:sz w:val="24"/>
          <w:szCs w:val="24"/>
          <w:lang w:val="en-US"/>
        </w:rPr>
        <w:t>’</w:t>
      </w:r>
      <w:r w:rsidRPr="00B355ED">
        <w:rPr>
          <w:rFonts w:ascii="Times New Roman" w:eastAsia="Times New Roman" w:hAnsi="Times New Roman" w:cs="Times New Roman"/>
          <w:color w:val="000000"/>
          <w:sz w:val="24"/>
          <w:szCs w:val="24"/>
          <w:lang w:val="en-US"/>
        </w:rPr>
        <w:t>s main reason to justify the reduction is the existence of more than 120 thousand head of cattle inside the conservation unit. With the project</w:t>
      </w:r>
      <w:r w:rsidR="00FA663F">
        <w:rPr>
          <w:rFonts w:ascii="Times New Roman" w:eastAsia="Times New Roman" w:hAnsi="Times New Roman" w:cs="Times New Roman"/>
          <w:color w:val="000000"/>
          <w:sz w:val="24"/>
          <w:szCs w:val="24"/>
          <w:lang w:val="en-US"/>
        </w:rPr>
        <w:t>’</w:t>
      </w:r>
      <w:r w:rsidRPr="00B355ED">
        <w:rPr>
          <w:rFonts w:ascii="Times New Roman" w:eastAsia="Times New Roman" w:hAnsi="Times New Roman" w:cs="Times New Roman"/>
          <w:color w:val="000000"/>
          <w:sz w:val="24"/>
          <w:szCs w:val="24"/>
          <w:lang w:val="en-US"/>
        </w:rPr>
        <w:t xml:space="preserve">s approval, all this livestock production </w:t>
      </w:r>
      <w:proofErr w:type="gramStart"/>
      <w:r w:rsidRPr="00B355ED">
        <w:rPr>
          <w:rFonts w:ascii="Times New Roman" w:eastAsia="Times New Roman" w:hAnsi="Times New Roman" w:cs="Times New Roman"/>
          <w:color w:val="000000"/>
          <w:sz w:val="24"/>
          <w:szCs w:val="24"/>
          <w:lang w:val="en-US"/>
        </w:rPr>
        <w:t>would be considered</w:t>
      </w:r>
      <w:proofErr w:type="gramEnd"/>
      <w:r w:rsidRPr="00B355ED">
        <w:rPr>
          <w:rFonts w:ascii="Times New Roman" w:eastAsia="Times New Roman" w:hAnsi="Times New Roman" w:cs="Times New Roman"/>
          <w:color w:val="000000"/>
          <w:sz w:val="24"/>
          <w:szCs w:val="24"/>
          <w:lang w:val="en-US"/>
        </w:rPr>
        <w:t xml:space="preserve"> legal. It </w:t>
      </w:r>
      <w:proofErr w:type="gramStart"/>
      <w:r w:rsidRPr="00B355ED">
        <w:rPr>
          <w:rFonts w:ascii="Times New Roman" w:eastAsia="Times New Roman" w:hAnsi="Times New Roman" w:cs="Times New Roman"/>
          <w:color w:val="000000"/>
          <w:sz w:val="24"/>
          <w:szCs w:val="24"/>
          <w:lang w:val="en-US"/>
        </w:rPr>
        <w:t>could then be exported</w:t>
      </w:r>
      <w:proofErr w:type="gramEnd"/>
      <w:r w:rsidRPr="00B355ED">
        <w:rPr>
          <w:rFonts w:ascii="Times New Roman" w:eastAsia="Times New Roman" w:hAnsi="Times New Roman" w:cs="Times New Roman"/>
          <w:color w:val="000000"/>
          <w:sz w:val="24"/>
          <w:szCs w:val="24"/>
          <w:lang w:val="en-US"/>
        </w:rPr>
        <w:t xml:space="preserve"> with no constraints. The project </w:t>
      </w:r>
      <w:proofErr w:type="gramStart"/>
      <w:r w:rsidRPr="00B355ED">
        <w:rPr>
          <w:rFonts w:ascii="Times New Roman" w:eastAsia="Times New Roman" w:hAnsi="Times New Roman" w:cs="Times New Roman"/>
          <w:color w:val="000000"/>
          <w:sz w:val="24"/>
          <w:szCs w:val="24"/>
          <w:lang w:val="en-US"/>
        </w:rPr>
        <w:t>was app</w:t>
      </w:r>
      <w:r w:rsidRPr="00B355ED">
        <w:rPr>
          <w:rFonts w:ascii="Times New Roman" w:eastAsia="Times New Roman" w:hAnsi="Times New Roman" w:cs="Times New Roman"/>
          <w:sz w:val="24"/>
          <w:szCs w:val="24"/>
          <w:lang w:val="en-US"/>
        </w:rPr>
        <w:t>roved</w:t>
      </w:r>
      <w:proofErr w:type="gramEnd"/>
      <w:r w:rsidRPr="00B355ED">
        <w:rPr>
          <w:rFonts w:ascii="Times New Roman" w:eastAsia="Times New Roman" w:hAnsi="Times New Roman" w:cs="Times New Roman"/>
          <w:sz w:val="24"/>
          <w:szCs w:val="24"/>
          <w:lang w:val="en-US"/>
        </w:rPr>
        <w:t xml:space="preserve"> in the state assembly in April 2021 with amendments that increased the original size to be downgraded from the </w:t>
      </w:r>
      <w:proofErr w:type="spellStart"/>
      <w:r w:rsidR="00FA663F">
        <w:rPr>
          <w:rFonts w:ascii="Times New Roman" w:eastAsia="Times New Roman" w:hAnsi="Times New Roman" w:cs="Times New Roman"/>
          <w:sz w:val="24"/>
          <w:szCs w:val="24"/>
          <w:lang w:val="en-US"/>
        </w:rPr>
        <w:t>R</w:t>
      </w:r>
      <w:r w:rsidRPr="00B355ED">
        <w:rPr>
          <w:rFonts w:ascii="Times New Roman" w:eastAsia="Times New Roman" w:hAnsi="Times New Roman" w:cs="Times New Roman"/>
          <w:sz w:val="24"/>
          <w:szCs w:val="24"/>
          <w:lang w:val="en-US"/>
        </w:rPr>
        <w:t>esex</w:t>
      </w:r>
      <w:proofErr w:type="spellEnd"/>
      <w:r w:rsidRPr="00B355ED">
        <w:rPr>
          <w:rFonts w:ascii="Times New Roman" w:eastAsia="Times New Roman" w:hAnsi="Times New Roman" w:cs="Times New Roman"/>
          <w:sz w:val="24"/>
          <w:szCs w:val="24"/>
          <w:lang w:val="en-US"/>
        </w:rPr>
        <w:t xml:space="preserve"> and an adjacent state park</w:t>
      </w:r>
      <w:r w:rsidR="00FA663F">
        <w:rPr>
          <w:rFonts w:ascii="Times New Roman" w:eastAsia="Times New Roman" w:hAnsi="Times New Roman" w:cs="Times New Roman"/>
          <w:sz w:val="24"/>
          <w:szCs w:val="24"/>
          <w:lang w:val="en-US"/>
        </w:rPr>
        <w:t>. I</w:t>
      </w:r>
      <w:r w:rsidRPr="00B355ED">
        <w:rPr>
          <w:rFonts w:ascii="Times New Roman" w:eastAsia="Times New Roman" w:hAnsi="Times New Roman" w:cs="Times New Roman"/>
          <w:sz w:val="24"/>
          <w:szCs w:val="24"/>
          <w:lang w:val="en-US"/>
        </w:rPr>
        <w:t>t is now waiting for the governor’s final approval.</w:t>
      </w:r>
    </w:p>
    <w:p w14:paraId="6AEF6E71" w14:textId="77777777" w:rsidR="00E61A66" w:rsidRPr="00B355ED" w:rsidRDefault="00E61A66" w:rsidP="00E61A66">
      <w:pPr>
        <w:numPr>
          <w:ilvl w:val="0"/>
          <w:numId w:val="1"/>
        </w:numPr>
        <w:pBdr>
          <w:top w:val="nil"/>
          <w:left w:val="nil"/>
          <w:bottom w:val="nil"/>
          <w:right w:val="nil"/>
          <w:between w:val="nil"/>
        </w:pBdr>
        <w:spacing w:after="240" w:line="480" w:lineRule="auto"/>
        <w:ind w:left="426" w:hanging="284"/>
        <w:rPr>
          <w:rFonts w:ascii="Times New Roman" w:eastAsia="Times New Roman" w:hAnsi="Times New Roman" w:cs="Times New Roman"/>
          <w:color w:val="000000"/>
          <w:sz w:val="24"/>
          <w:szCs w:val="24"/>
          <w:lang w:val="en-US"/>
        </w:rPr>
      </w:pPr>
      <w:r w:rsidRPr="00B355ED">
        <w:rPr>
          <w:rFonts w:ascii="Times New Roman" w:eastAsia="Times New Roman" w:hAnsi="Times New Roman" w:cs="Times New Roman"/>
          <w:b/>
          <w:color w:val="000000"/>
          <w:sz w:val="24"/>
          <w:szCs w:val="24"/>
          <w:u w:val="single"/>
          <w:lang w:val="en-US"/>
        </w:rPr>
        <w:t xml:space="preserve">PL3511/2019 - </w:t>
      </w:r>
      <w:r w:rsidRPr="00B355ED">
        <w:rPr>
          <w:rFonts w:ascii="Times New Roman" w:eastAsia="Times New Roman" w:hAnsi="Times New Roman" w:cs="Times New Roman"/>
          <w:b/>
          <w:sz w:val="24"/>
          <w:szCs w:val="24"/>
          <w:u w:val="single"/>
          <w:lang w:val="en-US"/>
        </w:rPr>
        <w:t>C</w:t>
      </w:r>
      <w:r w:rsidRPr="00B355ED">
        <w:rPr>
          <w:rFonts w:ascii="Times New Roman" w:eastAsia="Times New Roman" w:hAnsi="Times New Roman" w:cs="Times New Roman"/>
          <w:b/>
          <w:color w:val="000000"/>
          <w:sz w:val="24"/>
          <w:szCs w:val="24"/>
          <w:u w:val="single"/>
          <w:lang w:val="en-US"/>
        </w:rPr>
        <w:t>hangin</w:t>
      </w:r>
      <w:r w:rsidRPr="00B355ED">
        <w:rPr>
          <w:rFonts w:ascii="Times New Roman" w:eastAsia="Times New Roman" w:hAnsi="Times New Roman" w:cs="Times New Roman"/>
          <w:b/>
          <w:sz w:val="24"/>
          <w:szCs w:val="24"/>
          <w:u w:val="single"/>
          <w:lang w:val="en-US"/>
        </w:rPr>
        <w:t>g the Forest Code</w:t>
      </w:r>
      <w:r w:rsidRPr="00B355ED">
        <w:rPr>
          <w:rFonts w:ascii="Times New Roman" w:eastAsia="Times New Roman" w:hAnsi="Times New Roman" w:cs="Times New Roman"/>
          <w:b/>
          <w:color w:val="000000"/>
          <w:sz w:val="24"/>
          <w:szCs w:val="24"/>
          <w:u w:val="single"/>
          <w:lang w:val="en-US"/>
        </w:rPr>
        <w:t>:</w:t>
      </w:r>
      <w:r w:rsidRPr="00B355ED">
        <w:rPr>
          <w:rFonts w:ascii="Times New Roman" w:eastAsia="Times New Roman" w:hAnsi="Times New Roman" w:cs="Times New Roman"/>
          <w:color w:val="000000"/>
          <w:sz w:val="24"/>
          <w:szCs w:val="24"/>
          <w:lang w:val="en-US"/>
        </w:rPr>
        <w:t xml:space="preserve"> This legislative proposal aims to decrease the overall Legal Reserve areas in the </w:t>
      </w:r>
      <w:proofErr w:type="spellStart"/>
      <w:r w:rsidRPr="00B355ED">
        <w:rPr>
          <w:rFonts w:ascii="Times New Roman" w:eastAsia="Times New Roman" w:hAnsi="Times New Roman" w:cs="Times New Roman"/>
          <w:color w:val="000000"/>
          <w:sz w:val="24"/>
          <w:szCs w:val="24"/>
          <w:lang w:val="en-US"/>
        </w:rPr>
        <w:t>Cerrado</w:t>
      </w:r>
      <w:proofErr w:type="spellEnd"/>
      <w:r w:rsidRPr="00B355ED">
        <w:rPr>
          <w:rFonts w:ascii="Times New Roman" w:eastAsia="Times New Roman" w:hAnsi="Times New Roman" w:cs="Times New Roman"/>
          <w:color w:val="000000"/>
          <w:sz w:val="24"/>
          <w:szCs w:val="24"/>
          <w:lang w:val="en-US"/>
        </w:rPr>
        <w:t xml:space="preserve"> by changing how they are calculated. It would legalize at least 5 million hectares of land</w:t>
      </w:r>
      <w:r w:rsidRPr="00B355ED">
        <w:rPr>
          <w:rFonts w:ascii="Times New Roman" w:eastAsia="Times New Roman" w:hAnsi="Times New Roman" w:cs="Times New Roman"/>
          <w:sz w:val="24"/>
          <w:szCs w:val="24"/>
          <w:lang w:val="en-US"/>
        </w:rPr>
        <w:t xml:space="preserve"> </w:t>
      </w:r>
      <w:r w:rsidRPr="00B355ED">
        <w:rPr>
          <w:rFonts w:ascii="Times New Roman" w:eastAsia="Times New Roman" w:hAnsi="Times New Roman" w:cs="Times New Roman"/>
          <w:color w:val="000000"/>
          <w:sz w:val="24"/>
          <w:szCs w:val="24"/>
          <w:lang w:val="en-US"/>
        </w:rPr>
        <w:t xml:space="preserve">illegally converted from native vegetation to agricultural use, especially in the </w:t>
      </w:r>
      <w:proofErr w:type="spellStart"/>
      <w:r w:rsidRPr="00B355ED">
        <w:rPr>
          <w:rFonts w:ascii="Times New Roman" w:eastAsia="Times New Roman" w:hAnsi="Times New Roman" w:cs="Times New Roman"/>
          <w:color w:val="000000"/>
          <w:sz w:val="24"/>
          <w:szCs w:val="24"/>
          <w:lang w:val="en-US"/>
        </w:rPr>
        <w:t>Cerrado</w:t>
      </w:r>
      <w:proofErr w:type="spellEnd"/>
      <w:r w:rsidRPr="00B355ED">
        <w:rPr>
          <w:rFonts w:ascii="Times New Roman" w:eastAsia="Times New Roman" w:hAnsi="Times New Roman" w:cs="Times New Roman"/>
          <w:sz w:val="24"/>
          <w:szCs w:val="24"/>
          <w:lang w:val="en-US"/>
        </w:rPr>
        <w:t xml:space="preserve"> </w:t>
      </w:r>
      <w:r w:rsidRPr="00B355ED">
        <w:rPr>
          <w:rFonts w:ascii="Times New Roman" w:eastAsia="Times New Roman" w:hAnsi="Times New Roman" w:cs="Times New Roman"/>
          <w:color w:val="000000"/>
          <w:sz w:val="24"/>
          <w:szCs w:val="24"/>
          <w:lang w:val="en-US"/>
        </w:rPr>
        <w:t>biome.</w:t>
      </w:r>
    </w:p>
    <w:p w14:paraId="7E6CC2DC" w14:textId="77777777" w:rsidR="00E61A66" w:rsidRPr="00B355ED" w:rsidRDefault="00E61A66" w:rsidP="00E61A66">
      <w:pPr>
        <w:numPr>
          <w:ilvl w:val="0"/>
          <w:numId w:val="1"/>
        </w:numPr>
        <w:pBdr>
          <w:top w:val="nil"/>
          <w:left w:val="nil"/>
          <w:bottom w:val="nil"/>
          <w:right w:val="nil"/>
          <w:between w:val="nil"/>
        </w:pBdr>
        <w:spacing w:after="0" w:line="480" w:lineRule="auto"/>
        <w:ind w:left="426" w:hanging="284"/>
        <w:rPr>
          <w:rFonts w:ascii="Times New Roman" w:eastAsia="Times New Roman" w:hAnsi="Times New Roman" w:cs="Times New Roman"/>
          <w:sz w:val="24"/>
          <w:szCs w:val="24"/>
          <w:lang w:val="en-US"/>
        </w:rPr>
      </w:pPr>
      <w:r w:rsidRPr="00B355ED">
        <w:rPr>
          <w:rFonts w:ascii="Times New Roman" w:eastAsia="Times New Roman" w:hAnsi="Times New Roman" w:cs="Times New Roman"/>
          <w:b/>
          <w:color w:val="000000"/>
          <w:sz w:val="24"/>
          <w:szCs w:val="24"/>
          <w:u w:val="single"/>
          <w:lang w:val="en-US"/>
        </w:rPr>
        <w:t>PL2362/2019 - C</w:t>
      </w:r>
      <w:r w:rsidRPr="00B355ED">
        <w:rPr>
          <w:rFonts w:ascii="Times New Roman" w:eastAsia="Times New Roman" w:hAnsi="Times New Roman" w:cs="Times New Roman"/>
          <w:b/>
          <w:sz w:val="24"/>
          <w:szCs w:val="24"/>
          <w:u w:val="single"/>
          <w:lang w:val="en-US"/>
        </w:rPr>
        <w:t>hanging the Forest Code</w:t>
      </w:r>
      <w:r w:rsidRPr="00B355ED">
        <w:rPr>
          <w:rFonts w:ascii="Times New Roman" w:eastAsia="Times New Roman" w:hAnsi="Times New Roman" w:cs="Times New Roman"/>
          <w:b/>
          <w:color w:val="000000"/>
          <w:sz w:val="24"/>
          <w:szCs w:val="24"/>
          <w:u w:val="single"/>
          <w:lang w:val="en-US"/>
        </w:rPr>
        <w:t>:</w:t>
      </w:r>
      <w:r w:rsidRPr="00B355ED">
        <w:rPr>
          <w:rFonts w:ascii="Times New Roman" w:eastAsia="Times New Roman" w:hAnsi="Times New Roman" w:cs="Times New Roman"/>
          <w:color w:val="000000"/>
          <w:sz w:val="24"/>
          <w:szCs w:val="24"/>
          <w:lang w:val="en-US"/>
        </w:rPr>
        <w:t xml:space="preserve"> </w:t>
      </w:r>
      <w:proofErr w:type="gramStart"/>
      <w:r w:rsidRPr="00B355ED">
        <w:rPr>
          <w:rFonts w:ascii="Times New Roman" w:eastAsia="Times New Roman" w:hAnsi="Times New Roman" w:cs="Times New Roman"/>
          <w:color w:val="000000"/>
          <w:sz w:val="24"/>
          <w:szCs w:val="24"/>
          <w:lang w:val="en-US"/>
        </w:rPr>
        <w:t xml:space="preserve">This proposal was submitted by the senators </w:t>
      </w:r>
      <w:proofErr w:type="spellStart"/>
      <w:r w:rsidRPr="00B355ED">
        <w:rPr>
          <w:rFonts w:ascii="Times New Roman" w:eastAsia="Times New Roman" w:hAnsi="Times New Roman" w:cs="Times New Roman"/>
          <w:color w:val="000000"/>
          <w:sz w:val="24"/>
          <w:szCs w:val="24"/>
          <w:lang w:val="en-US"/>
        </w:rPr>
        <w:t>Flávio</w:t>
      </w:r>
      <w:proofErr w:type="spellEnd"/>
      <w:r w:rsidRPr="00B355ED">
        <w:rPr>
          <w:rFonts w:ascii="Times New Roman" w:eastAsia="Times New Roman" w:hAnsi="Times New Roman" w:cs="Times New Roman"/>
          <w:color w:val="000000"/>
          <w:sz w:val="24"/>
          <w:szCs w:val="24"/>
          <w:lang w:val="en-US"/>
        </w:rPr>
        <w:t xml:space="preserve"> </w:t>
      </w:r>
      <w:proofErr w:type="spellStart"/>
      <w:r w:rsidRPr="00B355ED">
        <w:rPr>
          <w:rFonts w:ascii="Times New Roman" w:eastAsia="Times New Roman" w:hAnsi="Times New Roman" w:cs="Times New Roman"/>
          <w:color w:val="000000"/>
          <w:sz w:val="24"/>
          <w:szCs w:val="24"/>
          <w:lang w:val="en-US"/>
        </w:rPr>
        <w:t>Bolsonaro</w:t>
      </w:r>
      <w:proofErr w:type="spellEnd"/>
      <w:r w:rsidRPr="00B355ED">
        <w:rPr>
          <w:rFonts w:ascii="Times New Roman" w:eastAsia="Times New Roman" w:hAnsi="Times New Roman" w:cs="Times New Roman"/>
          <w:color w:val="000000"/>
          <w:sz w:val="24"/>
          <w:szCs w:val="24"/>
          <w:lang w:val="en-US"/>
        </w:rPr>
        <w:t xml:space="preserve"> (son of the President) and </w:t>
      </w:r>
      <w:proofErr w:type="spellStart"/>
      <w:r w:rsidRPr="00B355ED">
        <w:rPr>
          <w:rFonts w:ascii="Times New Roman" w:eastAsia="Times New Roman" w:hAnsi="Times New Roman" w:cs="Times New Roman"/>
          <w:color w:val="000000"/>
          <w:sz w:val="24"/>
          <w:szCs w:val="24"/>
          <w:lang w:val="en-US"/>
        </w:rPr>
        <w:t>Márcio</w:t>
      </w:r>
      <w:proofErr w:type="spellEnd"/>
      <w:r w:rsidRPr="00B355ED">
        <w:rPr>
          <w:rFonts w:ascii="Times New Roman" w:eastAsia="Times New Roman" w:hAnsi="Times New Roman" w:cs="Times New Roman"/>
          <w:color w:val="000000"/>
          <w:sz w:val="24"/>
          <w:szCs w:val="24"/>
          <w:lang w:val="en-US"/>
        </w:rPr>
        <w:t xml:space="preserve"> </w:t>
      </w:r>
      <w:proofErr w:type="spellStart"/>
      <w:r w:rsidRPr="00B355ED">
        <w:rPr>
          <w:rFonts w:ascii="Times New Roman" w:eastAsia="Times New Roman" w:hAnsi="Times New Roman" w:cs="Times New Roman"/>
          <w:color w:val="000000"/>
          <w:sz w:val="24"/>
          <w:szCs w:val="24"/>
          <w:lang w:val="en-US"/>
        </w:rPr>
        <w:t>Bittar</w:t>
      </w:r>
      <w:proofErr w:type="spellEnd"/>
      <w:r w:rsidRPr="00B355ED">
        <w:rPr>
          <w:rFonts w:ascii="Times New Roman" w:eastAsia="Times New Roman" w:hAnsi="Times New Roman" w:cs="Times New Roman"/>
          <w:color w:val="000000"/>
          <w:sz w:val="24"/>
          <w:szCs w:val="24"/>
          <w:lang w:val="en-US"/>
        </w:rPr>
        <w:t xml:space="preserve"> (key agribusiness leader)</w:t>
      </w:r>
      <w:proofErr w:type="gramEnd"/>
      <w:r w:rsidRPr="00B355ED">
        <w:rPr>
          <w:rFonts w:ascii="Times New Roman" w:eastAsia="Times New Roman" w:hAnsi="Times New Roman" w:cs="Times New Roman"/>
          <w:color w:val="000000"/>
          <w:sz w:val="24"/>
          <w:szCs w:val="24"/>
          <w:lang w:val="en-US"/>
        </w:rPr>
        <w:t xml:space="preserve">. It posits the abolishment of the Legal Reserves whatsoever, making </w:t>
      </w:r>
      <w:r w:rsidRPr="00B355ED">
        <w:rPr>
          <w:rFonts w:ascii="Times New Roman" w:eastAsia="Times New Roman" w:hAnsi="Times New Roman" w:cs="Times New Roman"/>
          <w:sz w:val="24"/>
          <w:szCs w:val="24"/>
          <w:lang w:val="en-US"/>
        </w:rPr>
        <w:t>deforestation legal in 152.8 million hectares in the whole country, opening potential emissions as large as 40.7 billion tons of CO</w:t>
      </w:r>
      <w:hyperlink r:id="rId8">
        <w:r w:rsidRPr="00B355ED">
          <w:rPr>
            <w:rFonts w:ascii="Times New Roman" w:eastAsia="Times New Roman" w:hAnsi="Times New Roman" w:cs="Times New Roman"/>
            <w:sz w:val="24"/>
            <w:szCs w:val="24"/>
            <w:vertAlign w:val="subscript"/>
            <w:lang w:val="en-US"/>
          </w:rPr>
          <w:t>2</w:t>
        </w:r>
      </w:hyperlink>
      <w:r w:rsidR="00FA663F">
        <w:rPr>
          <w:rFonts w:ascii="Times New Roman" w:eastAsia="Times New Roman" w:hAnsi="Times New Roman" w:cs="Times New Roman"/>
          <w:sz w:val="24"/>
          <w:szCs w:val="24"/>
          <w:vertAlign w:val="subscript"/>
          <w:lang w:val="en-US"/>
        </w:rPr>
        <w:t xml:space="preserve"> </w:t>
      </w:r>
      <w:r w:rsidR="00FA663F">
        <w:rPr>
          <w:rFonts w:ascii="Times New Roman" w:eastAsia="Times New Roman" w:hAnsi="Times New Roman" w:cs="Times New Roman"/>
          <w:sz w:val="24"/>
          <w:szCs w:val="24"/>
          <w:vertAlign w:val="subscript"/>
          <w:lang w:val="en-US"/>
        </w:rPr>
        <w:fldChar w:fldCharType="begin" w:fldLock="1"/>
      </w:r>
      <w:r w:rsidR="00FA663F">
        <w:rPr>
          <w:rFonts w:ascii="Times New Roman" w:eastAsia="Times New Roman" w:hAnsi="Times New Roman" w:cs="Times New Roman"/>
          <w:sz w:val="24"/>
          <w:szCs w:val="24"/>
          <w:vertAlign w:val="subscript"/>
          <w:lang w:val="en-US"/>
        </w:rPr>
        <w:instrText>ADDIN CSL_CITATION {"citationItems":[{"id":"ITEM-1","itemData":{"DOI":"10.1111/gcb.14011","ISBN":"4676096941","ISSN":"13652486","PMID":"27935037","abstract":"Brazil is one of the major contributors to land-use change emissions, mostly driven by agricultural expansion for food, feed and bioenergy feedstock. Policies to avoid deforestation related to private commitments, economic incentives, and other support schemes are expected to improve the effectiveness of current command and control mechanisms increasingly. However, until recently, land tenure was unknown for much of the Brazilian territory, which has undermined the governance of native vegetation and challenged support and incentive mechanisms for avoiding deforestation. We assess the total extent of public governance mechanisms protecting aboveground carbon (AGC) stocks. We constructed a land tenure dataset for the entire nation and modeled the effects and uncertainties of major land-use acts on protecting AGC stocks. Roughly 70% of the AGC stock in Brazil is estimated to be under legal protection, and an additional 20% is expected to be protected after areas in the Amazon with currently undesignated land undergo a tenure regularization. About 30% of the AGC stock is on private land, of which roughly two-thirds are protected. The Cerrado, Amazon and Caatinga biomes hold about 40%, 30% and 20% of the unprotected AGC, respectively. Effective conservation of protected and unprotected carbon will depend on successful implementation of the Forest Act, and regularization of land tenure in the Amazon. Policy development that prioritizes unprotected AGC stocks is warranted to promote conservation of native vegetation beyond the legal requirements. However, different biomes and land tenure structures may require different policy settings considering local and regional specifics. Finally, the fate of current AGC stocks relies upon effective implementation of command and control mechanisms, considering that unprotected AGC in native vegetation on private land only accounts for 6.5% of the total AGC stock.","author":[{"dropping-particle":"","family":"Freitas","given":"Flavio L.M. M.","non-dropping-particle":"","parse-names":false,"suffix":""},{"dropping-particle":"","family":"Englund","given":"Oskar","non-dropping-particle":"","parse-names":false,"suffix":""},{"dropping-particle":"","family":"Sparovek","given":"Gerd","non-dropping-particle":"","parse-names":false,"suffix":""},{"dropping-particle":"","family":"Berndes","given":"Göran","non-dropping-particle":"","parse-names":false,"suffix":""},{"dropping-particle":"","family":"Guidotti","given":"Vinicius","non-dropping-particle":"","parse-names":false,"suffix":""},{"dropping-particle":"","family":"Pinto","given":"Luís F.G. G.","non-dropping-particle":"","parse-names":false,"suffix":""},{"dropping-particle":"","family":"Mörtberg","given":"Ulla","non-dropping-particle":"","parse-names":false,"suffix":""}],"container-title":"Global Change Biology","id":"ITEM-1","issue":"5","issued":{"date-parts":[["2018"]]},"page":"2129-2142","title":"Who owns the Brazilian carbon?","type":"article-journal","volume":"24"},"uris":["http://www.mendeley.com/documents/?uuid=0b5a9ab4-ba92-48f8-bc67-77ea7f28a981"]}],"mendeley":{"formattedCitation":"&lt;sup&gt;4&lt;/sup&gt;","plainTextFormattedCitation":"4","previouslyFormattedCitation":"&lt;sup&gt;4&lt;/sup&gt;"},"properties":{"noteIndex":0},"schema":"https://github.com/citation-style-language/schema/raw/master/csl-citation.json"}</w:instrText>
      </w:r>
      <w:r w:rsidR="00FA663F">
        <w:rPr>
          <w:rFonts w:ascii="Times New Roman" w:eastAsia="Times New Roman" w:hAnsi="Times New Roman" w:cs="Times New Roman"/>
          <w:sz w:val="24"/>
          <w:szCs w:val="24"/>
          <w:vertAlign w:val="subscript"/>
          <w:lang w:val="en-US"/>
        </w:rPr>
        <w:fldChar w:fldCharType="separate"/>
      </w:r>
      <w:r w:rsidR="00FA663F" w:rsidRPr="00FA663F">
        <w:rPr>
          <w:rFonts w:ascii="Times New Roman" w:eastAsia="Times New Roman" w:hAnsi="Times New Roman" w:cs="Times New Roman"/>
          <w:noProof/>
          <w:sz w:val="24"/>
          <w:szCs w:val="24"/>
          <w:vertAlign w:val="superscript"/>
          <w:lang w:val="en-US"/>
        </w:rPr>
        <w:t>4</w:t>
      </w:r>
      <w:r w:rsidR="00FA663F">
        <w:rPr>
          <w:rFonts w:ascii="Times New Roman" w:eastAsia="Times New Roman" w:hAnsi="Times New Roman" w:cs="Times New Roman"/>
          <w:sz w:val="24"/>
          <w:szCs w:val="24"/>
          <w:vertAlign w:val="subscript"/>
          <w:lang w:val="en-US"/>
        </w:rPr>
        <w:fldChar w:fldCharType="end"/>
      </w:r>
      <w:r w:rsidRPr="00B355ED">
        <w:rPr>
          <w:rFonts w:ascii="Times New Roman" w:eastAsia="Times New Roman" w:hAnsi="Times New Roman" w:cs="Times New Roman"/>
          <w:sz w:val="24"/>
          <w:szCs w:val="24"/>
          <w:lang w:val="en-US"/>
        </w:rPr>
        <w:t>. I</w:t>
      </w:r>
      <w:r w:rsidRPr="00B355ED">
        <w:rPr>
          <w:rFonts w:ascii="Times New Roman" w:eastAsia="Times New Roman" w:hAnsi="Times New Roman" w:cs="Times New Roman"/>
          <w:color w:val="000000"/>
          <w:sz w:val="24"/>
          <w:szCs w:val="24"/>
          <w:lang w:val="en-US"/>
        </w:rPr>
        <w:t xml:space="preserve">t also regularizes the 11.4 million hectares of agricultural yields illegally cultivated in Legal Reserves at present. Combined, they account for seven times the territory of the United Kingdom. If approved, these areas </w:t>
      </w:r>
      <w:proofErr w:type="gramStart"/>
      <w:r w:rsidRPr="00B355ED">
        <w:rPr>
          <w:rFonts w:ascii="Times New Roman" w:eastAsia="Times New Roman" w:hAnsi="Times New Roman" w:cs="Times New Roman"/>
          <w:color w:val="000000"/>
          <w:sz w:val="24"/>
          <w:szCs w:val="24"/>
          <w:lang w:val="en-US"/>
        </w:rPr>
        <w:t>would be considered</w:t>
      </w:r>
      <w:proofErr w:type="gramEnd"/>
      <w:r w:rsidRPr="00B355ED">
        <w:rPr>
          <w:rFonts w:ascii="Times New Roman" w:eastAsia="Times New Roman" w:hAnsi="Times New Roman" w:cs="Times New Roman"/>
          <w:color w:val="000000"/>
          <w:sz w:val="24"/>
          <w:szCs w:val="24"/>
          <w:lang w:val="en-US"/>
        </w:rPr>
        <w:t xml:space="preserve"> legally deforested overnight. They would then be available for exports to whichever country adopts the legislative criteria solely to ensure sustainability in supply chains.</w:t>
      </w:r>
    </w:p>
    <w:p w14:paraId="2D7C5BA6" w14:textId="77777777" w:rsidR="00E61A66" w:rsidRDefault="00E61A66" w:rsidP="00E61A66">
      <w:pPr>
        <w:keepNext/>
        <w:spacing w:before="240" w:after="60" w:line="480" w:lineRule="auto"/>
        <w:ind w:firstLine="426"/>
        <w:jc w:val="both"/>
        <w:rPr>
          <w:rFonts w:ascii="Times New Roman" w:eastAsia="Times New Roman" w:hAnsi="Times New Roman" w:cs="Times New Roman"/>
          <w:bCs/>
          <w:color w:val="000000"/>
          <w:kern w:val="32"/>
          <w:sz w:val="24"/>
          <w:szCs w:val="24"/>
          <w:lang w:val="en-US"/>
        </w:rPr>
      </w:pPr>
      <w:r w:rsidRPr="00685EC5">
        <w:rPr>
          <w:rFonts w:ascii="Times New Roman" w:eastAsia="Times New Roman" w:hAnsi="Times New Roman" w:cs="Times New Roman"/>
          <w:bCs/>
          <w:color w:val="000000"/>
          <w:kern w:val="32"/>
          <w:sz w:val="24"/>
          <w:szCs w:val="24"/>
          <w:lang w:val="en-US"/>
        </w:rPr>
        <w:t xml:space="preserve">All these bills to change the Forest Code incentivize further non-compliance because it emits a signal that non-compliance </w:t>
      </w:r>
      <w:proofErr w:type="gramStart"/>
      <w:r w:rsidRPr="00685EC5">
        <w:rPr>
          <w:rFonts w:ascii="Times New Roman" w:eastAsia="Times New Roman" w:hAnsi="Times New Roman" w:cs="Times New Roman"/>
          <w:bCs/>
          <w:color w:val="000000"/>
          <w:kern w:val="32"/>
          <w:sz w:val="24"/>
          <w:szCs w:val="24"/>
          <w:lang w:val="en-US"/>
        </w:rPr>
        <w:t>can be rewarded</w:t>
      </w:r>
      <w:proofErr w:type="gramEnd"/>
      <w:r w:rsidRPr="00685EC5">
        <w:rPr>
          <w:rFonts w:ascii="Times New Roman" w:eastAsia="Times New Roman" w:hAnsi="Times New Roman" w:cs="Times New Roman"/>
          <w:bCs/>
          <w:color w:val="000000"/>
          <w:kern w:val="32"/>
          <w:sz w:val="24"/>
          <w:szCs w:val="24"/>
          <w:lang w:val="en-US"/>
        </w:rPr>
        <w:t xml:space="preserve"> in the future by sequential amendments. The Brazilian Forest Code </w:t>
      </w:r>
      <w:proofErr w:type="gramStart"/>
      <w:r w:rsidRPr="00685EC5">
        <w:rPr>
          <w:rFonts w:ascii="Times New Roman" w:eastAsia="Times New Roman" w:hAnsi="Times New Roman" w:cs="Times New Roman"/>
          <w:bCs/>
          <w:color w:val="000000"/>
          <w:kern w:val="32"/>
          <w:sz w:val="24"/>
          <w:szCs w:val="24"/>
          <w:lang w:val="en-US"/>
        </w:rPr>
        <w:t>was already heavily revised</w:t>
      </w:r>
      <w:proofErr w:type="gramEnd"/>
      <w:r w:rsidRPr="00685EC5">
        <w:rPr>
          <w:rFonts w:ascii="Times New Roman" w:eastAsia="Times New Roman" w:hAnsi="Times New Roman" w:cs="Times New Roman"/>
          <w:bCs/>
          <w:color w:val="000000"/>
          <w:kern w:val="32"/>
          <w:sz w:val="24"/>
          <w:szCs w:val="24"/>
          <w:lang w:val="en-US"/>
        </w:rPr>
        <w:t xml:space="preserve"> in 2012 from its original 1965 version. The argument of this revision was to increase compliance levels since the original version was </w:t>
      </w:r>
      <w:r w:rsidRPr="00685EC5">
        <w:rPr>
          <w:rFonts w:ascii="Times New Roman" w:eastAsia="Times New Roman" w:hAnsi="Times New Roman" w:cs="Times New Roman"/>
          <w:bCs/>
          <w:color w:val="000000"/>
          <w:kern w:val="32"/>
          <w:sz w:val="24"/>
          <w:szCs w:val="24"/>
          <w:lang w:val="en-US"/>
        </w:rPr>
        <w:lastRenderedPageBreak/>
        <w:t xml:space="preserve">non-enforceable and farmers were unable to </w:t>
      </w:r>
      <w:r w:rsidR="00FA663F">
        <w:rPr>
          <w:rFonts w:ascii="Times New Roman" w:eastAsia="Times New Roman" w:hAnsi="Times New Roman" w:cs="Times New Roman"/>
          <w:bCs/>
          <w:color w:val="000000"/>
          <w:kern w:val="32"/>
          <w:sz w:val="24"/>
          <w:szCs w:val="24"/>
          <w:lang w:val="en-US"/>
        </w:rPr>
        <w:t>comply ful</w:t>
      </w:r>
      <w:r w:rsidRPr="00685EC5">
        <w:rPr>
          <w:rFonts w:ascii="Times New Roman" w:eastAsia="Times New Roman" w:hAnsi="Times New Roman" w:cs="Times New Roman"/>
          <w:bCs/>
          <w:color w:val="000000"/>
          <w:kern w:val="32"/>
          <w:sz w:val="24"/>
          <w:szCs w:val="24"/>
          <w:lang w:val="en-US"/>
        </w:rPr>
        <w:t xml:space="preserve">ly. Thus, as </w:t>
      </w:r>
      <w:hyperlink r:id="rId9">
        <w:r w:rsidRPr="00685EC5">
          <w:rPr>
            <w:rFonts w:ascii="Times New Roman" w:eastAsia="Times New Roman" w:hAnsi="Times New Roman" w:cs="Times New Roman"/>
            <w:bCs/>
            <w:color w:val="000000"/>
            <w:kern w:val="32"/>
            <w:sz w:val="24"/>
            <w:szCs w:val="24"/>
            <w:lang w:val="en-US"/>
          </w:rPr>
          <w:t>this study shows</w:t>
        </w:r>
      </w:hyperlink>
      <w:r w:rsidRPr="00685EC5">
        <w:rPr>
          <w:rFonts w:ascii="Times New Roman" w:eastAsia="Times New Roman" w:hAnsi="Times New Roman" w:cs="Times New Roman"/>
          <w:bCs/>
          <w:color w:val="000000"/>
          <w:kern w:val="32"/>
          <w:sz w:val="24"/>
          <w:szCs w:val="24"/>
          <w:lang w:val="en-US"/>
        </w:rPr>
        <w:t>, this 2012 revision resulted in about 1 million hectares of forest loss between 2012 and 2017</w:t>
      </w:r>
      <w:r w:rsidR="00FA663F">
        <w:rPr>
          <w:rFonts w:ascii="Times New Roman" w:eastAsia="Times New Roman" w:hAnsi="Times New Roman" w:cs="Times New Roman"/>
          <w:bCs/>
          <w:color w:val="000000"/>
          <w:kern w:val="32"/>
          <w:sz w:val="24"/>
          <w:szCs w:val="24"/>
          <w:lang w:val="en-US"/>
        </w:rPr>
        <w:fldChar w:fldCharType="begin" w:fldLock="1"/>
      </w:r>
      <w:r w:rsidR="00FA663F">
        <w:rPr>
          <w:rFonts w:ascii="Times New Roman" w:eastAsia="Times New Roman" w:hAnsi="Times New Roman" w:cs="Times New Roman"/>
          <w:bCs/>
          <w:color w:val="000000"/>
          <w:kern w:val="32"/>
          <w:sz w:val="24"/>
          <w:szCs w:val="24"/>
          <w:lang w:val="en-US"/>
        </w:rPr>
        <w:instrText>ADDIN CSL_CITATION {"citationItems":[{"id":"ITEM-1","itemData":{"DOI":"10.1016/j.ecolecon.2021.107071","ISSN":"09218009","author":[{"dropping-particle":"","family":"Albuquerque Sant'Anna","given":"André","non-dropping-particle":"","parse-names":false,"suffix":""},{"dropping-particle":"","family":"Costa","given":"Lucas","non-dropping-particle":"","parse-names":false,"suffix":""}],"container-title":"Ecological Economics","id":"ITEM-1","issue":"May","issued":{"date-parts":[["2021","8"]]},"page":"107071","title":"Environmental regulation and bail outs under weak state capacity: Deforestation in the Brazilian Amazon","type":"article-journal","volume":"186"},"uris":["http://www.mendeley.com/documents/?uuid=5648185a-8976-4701-b0e2-9303cc5b08ba"]}],"mendeley":{"formattedCitation":"&lt;sup&gt;5&lt;/sup&gt;","plainTextFormattedCitation":"5","previouslyFormattedCitation":"&lt;sup&gt;5&lt;/sup&gt;"},"properties":{"noteIndex":0},"schema":"https://github.com/citation-style-language/schema/raw/master/csl-citation.json"}</w:instrText>
      </w:r>
      <w:r w:rsidR="00FA663F">
        <w:rPr>
          <w:rFonts w:ascii="Times New Roman" w:eastAsia="Times New Roman" w:hAnsi="Times New Roman" w:cs="Times New Roman"/>
          <w:bCs/>
          <w:color w:val="000000"/>
          <w:kern w:val="32"/>
          <w:sz w:val="24"/>
          <w:szCs w:val="24"/>
          <w:lang w:val="en-US"/>
        </w:rPr>
        <w:fldChar w:fldCharType="separate"/>
      </w:r>
      <w:r w:rsidR="00FA663F" w:rsidRPr="00FA663F">
        <w:rPr>
          <w:rFonts w:ascii="Times New Roman" w:eastAsia="Times New Roman" w:hAnsi="Times New Roman" w:cs="Times New Roman"/>
          <w:bCs/>
          <w:noProof/>
          <w:color w:val="000000"/>
          <w:kern w:val="32"/>
          <w:sz w:val="24"/>
          <w:szCs w:val="24"/>
          <w:vertAlign w:val="superscript"/>
          <w:lang w:val="en-US"/>
        </w:rPr>
        <w:t>5</w:t>
      </w:r>
      <w:r w:rsidR="00FA663F">
        <w:rPr>
          <w:rFonts w:ascii="Times New Roman" w:eastAsia="Times New Roman" w:hAnsi="Times New Roman" w:cs="Times New Roman"/>
          <w:bCs/>
          <w:color w:val="000000"/>
          <w:kern w:val="32"/>
          <w:sz w:val="24"/>
          <w:szCs w:val="24"/>
          <w:lang w:val="en-US"/>
        </w:rPr>
        <w:fldChar w:fldCharType="end"/>
      </w:r>
      <w:r w:rsidRPr="00685EC5">
        <w:rPr>
          <w:rFonts w:ascii="Times New Roman" w:eastAsia="Times New Roman" w:hAnsi="Times New Roman" w:cs="Times New Roman"/>
          <w:bCs/>
          <w:color w:val="000000"/>
          <w:kern w:val="32"/>
          <w:sz w:val="24"/>
          <w:szCs w:val="24"/>
          <w:lang w:val="en-US"/>
        </w:rPr>
        <w:t>.</w:t>
      </w:r>
    </w:p>
    <w:p w14:paraId="16D4AE2C" w14:textId="77777777" w:rsidR="00FA663F" w:rsidRDefault="00FA663F">
      <w:pPr>
        <w:rPr>
          <w:rFonts w:ascii="Times New Roman" w:eastAsia="Times New Roman" w:hAnsi="Times New Roman" w:cs="Times New Roman"/>
          <w:bCs/>
          <w:color w:val="000000"/>
          <w:kern w:val="32"/>
          <w:sz w:val="24"/>
          <w:szCs w:val="24"/>
          <w:lang w:val="en-US"/>
        </w:rPr>
      </w:pPr>
      <w:r>
        <w:rPr>
          <w:rFonts w:ascii="Times New Roman" w:eastAsia="Times New Roman" w:hAnsi="Times New Roman" w:cs="Times New Roman"/>
          <w:bCs/>
          <w:color w:val="000000"/>
          <w:kern w:val="32"/>
          <w:sz w:val="24"/>
          <w:szCs w:val="24"/>
          <w:lang w:val="en-US"/>
        </w:rPr>
        <w:br w:type="page"/>
      </w:r>
    </w:p>
    <w:p w14:paraId="782A90AB" w14:textId="77777777" w:rsidR="00FA663F" w:rsidRDefault="00FA663F" w:rsidP="00FA663F">
      <w:pPr>
        <w:keepNext/>
        <w:spacing w:before="240" w:after="60" w:line="480" w:lineRule="auto"/>
        <w:jc w:val="both"/>
        <w:rPr>
          <w:rFonts w:ascii="Times New Roman" w:eastAsia="Times New Roman" w:hAnsi="Times New Roman" w:cs="Times New Roman"/>
          <w:b/>
          <w:bCs/>
          <w:color w:val="000000"/>
          <w:kern w:val="32"/>
          <w:sz w:val="24"/>
          <w:szCs w:val="24"/>
          <w:lang w:val="en-US"/>
        </w:rPr>
      </w:pPr>
      <w:r>
        <w:rPr>
          <w:rFonts w:ascii="Times New Roman" w:eastAsia="Times New Roman" w:hAnsi="Times New Roman" w:cs="Times New Roman"/>
          <w:b/>
          <w:bCs/>
          <w:color w:val="000000"/>
          <w:kern w:val="32"/>
          <w:sz w:val="24"/>
          <w:szCs w:val="24"/>
          <w:lang w:val="en-US"/>
        </w:rPr>
        <w:lastRenderedPageBreak/>
        <w:t>Supplementary References</w:t>
      </w:r>
    </w:p>
    <w:p w14:paraId="13FCE34A" w14:textId="77777777" w:rsidR="00FA663F" w:rsidRPr="00FA663F" w:rsidRDefault="00FA663F" w:rsidP="00FA663F">
      <w:pPr>
        <w:widowControl w:val="0"/>
        <w:autoSpaceDE w:val="0"/>
        <w:autoSpaceDN w:val="0"/>
        <w:adjustRightInd w:val="0"/>
        <w:spacing w:before="240" w:after="60" w:line="480" w:lineRule="auto"/>
        <w:ind w:left="640" w:hanging="640"/>
        <w:rPr>
          <w:rFonts w:ascii="Times New Roman" w:hAnsi="Times New Roman" w:cs="Times New Roman"/>
          <w:noProof/>
          <w:sz w:val="24"/>
          <w:szCs w:val="24"/>
        </w:rPr>
      </w:pPr>
      <w:r>
        <w:rPr>
          <w:rFonts w:ascii="Times New Roman" w:eastAsia="Times New Roman" w:hAnsi="Times New Roman" w:cs="Times New Roman"/>
          <w:b/>
          <w:bCs/>
          <w:color w:val="000000"/>
          <w:kern w:val="32"/>
          <w:sz w:val="24"/>
          <w:szCs w:val="24"/>
          <w:lang w:val="en-US"/>
        </w:rPr>
        <w:fldChar w:fldCharType="begin" w:fldLock="1"/>
      </w:r>
      <w:r>
        <w:rPr>
          <w:rFonts w:ascii="Times New Roman" w:eastAsia="Times New Roman" w:hAnsi="Times New Roman" w:cs="Times New Roman"/>
          <w:b/>
          <w:bCs/>
          <w:color w:val="000000"/>
          <w:kern w:val="32"/>
          <w:sz w:val="24"/>
          <w:szCs w:val="24"/>
          <w:lang w:val="en-US"/>
        </w:rPr>
        <w:instrText xml:space="preserve">ADDIN Mendeley Bibliography CSL_BIBLIOGRAPHY </w:instrText>
      </w:r>
      <w:r>
        <w:rPr>
          <w:rFonts w:ascii="Times New Roman" w:eastAsia="Times New Roman" w:hAnsi="Times New Roman" w:cs="Times New Roman"/>
          <w:b/>
          <w:bCs/>
          <w:color w:val="000000"/>
          <w:kern w:val="32"/>
          <w:sz w:val="24"/>
          <w:szCs w:val="24"/>
          <w:lang w:val="en-US"/>
        </w:rPr>
        <w:fldChar w:fldCharType="separate"/>
      </w:r>
      <w:r w:rsidRPr="00FA663F">
        <w:rPr>
          <w:rFonts w:ascii="Times New Roman" w:hAnsi="Times New Roman" w:cs="Times New Roman"/>
          <w:noProof/>
          <w:sz w:val="24"/>
          <w:szCs w:val="24"/>
        </w:rPr>
        <w:t>1.</w:t>
      </w:r>
      <w:r w:rsidRPr="00FA663F">
        <w:rPr>
          <w:rFonts w:ascii="Times New Roman" w:hAnsi="Times New Roman" w:cs="Times New Roman"/>
          <w:noProof/>
          <w:sz w:val="24"/>
          <w:szCs w:val="24"/>
        </w:rPr>
        <w:tab/>
        <w:t xml:space="preserve">Brito, B., Barreto, P., Brandão, A., Baima, S. &amp; Gomes, P. H. Stimulus for land grabbing and deforestation in the Brazilian Amazon. </w:t>
      </w:r>
      <w:r w:rsidRPr="00FA663F">
        <w:rPr>
          <w:rFonts w:ascii="Times New Roman" w:hAnsi="Times New Roman" w:cs="Times New Roman"/>
          <w:i/>
          <w:iCs/>
          <w:noProof/>
          <w:sz w:val="24"/>
          <w:szCs w:val="24"/>
        </w:rPr>
        <w:t>Environ. Res. Lett.</w:t>
      </w:r>
      <w:r w:rsidRPr="00FA663F">
        <w:rPr>
          <w:rFonts w:ascii="Times New Roman" w:hAnsi="Times New Roman" w:cs="Times New Roman"/>
          <w:noProof/>
          <w:sz w:val="24"/>
          <w:szCs w:val="24"/>
        </w:rPr>
        <w:t xml:space="preserve"> </w:t>
      </w:r>
      <w:r w:rsidRPr="00FA663F">
        <w:rPr>
          <w:rFonts w:ascii="Times New Roman" w:hAnsi="Times New Roman" w:cs="Times New Roman"/>
          <w:b/>
          <w:bCs/>
          <w:noProof/>
          <w:sz w:val="24"/>
          <w:szCs w:val="24"/>
        </w:rPr>
        <w:t>14</w:t>
      </w:r>
      <w:r w:rsidRPr="00FA663F">
        <w:rPr>
          <w:rFonts w:ascii="Times New Roman" w:hAnsi="Times New Roman" w:cs="Times New Roman"/>
          <w:noProof/>
          <w:sz w:val="24"/>
          <w:szCs w:val="24"/>
        </w:rPr>
        <w:t>, 064018 (2019).</w:t>
      </w:r>
    </w:p>
    <w:p w14:paraId="67A84866" w14:textId="77777777" w:rsidR="00FA663F" w:rsidRPr="00FA663F" w:rsidRDefault="00FA663F" w:rsidP="00FA663F">
      <w:pPr>
        <w:widowControl w:val="0"/>
        <w:autoSpaceDE w:val="0"/>
        <w:autoSpaceDN w:val="0"/>
        <w:adjustRightInd w:val="0"/>
        <w:spacing w:before="240" w:after="60" w:line="480" w:lineRule="auto"/>
        <w:ind w:left="640" w:hanging="640"/>
        <w:rPr>
          <w:rFonts w:ascii="Times New Roman" w:hAnsi="Times New Roman" w:cs="Times New Roman"/>
          <w:noProof/>
          <w:sz w:val="24"/>
          <w:szCs w:val="24"/>
        </w:rPr>
      </w:pPr>
      <w:r w:rsidRPr="00FA663F">
        <w:rPr>
          <w:rFonts w:ascii="Times New Roman" w:hAnsi="Times New Roman" w:cs="Times New Roman"/>
          <w:noProof/>
          <w:sz w:val="24"/>
          <w:szCs w:val="24"/>
        </w:rPr>
        <w:t>2.</w:t>
      </w:r>
      <w:r w:rsidRPr="00FA663F">
        <w:rPr>
          <w:rFonts w:ascii="Times New Roman" w:hAnsi="Times New Roman" w:cs="Times New Roman"/>
          <w:noProof/>
          <w:sz w:val="24"/>
          <w:szCs w:val="24"/>
        </w:rPr>
        <w:tab/>
        <w:t xml:space="preserve">Walker, W. S. </w:t>
      </w:r>
      <w:r w:rsidRPr="00FA663F">
        <w:rPr>
          <w:rFonts w:ascii="Times New Roman" w:hAnsi="Times New Roman" w:cs="Times New Roman"/>
          <w:i/>
          <w:iCs/>
          <w:noProof/>
          <w:sz w:val="24"/>
          <w:szCs w:val="24"/>
        </w:rPr>
        <w:t>et al.</w:t>
      </w:r>
      <w:r w:rsidRPr="00FA663F">
        <w:rPr>
          <w:rFonts w:ascii="Times New Roman" w:hAnsi="Times New Roman" w:cs="Times New Roman"/>
          <w:noProof/>
          <w:sz w:val="24"/>
          <w:szCs w:val="24"/>
        </w:rPr>
        <w:t xml:space="preserve"> The role of forest conversion, degradation, and disturbance in the carbon dynamics of Amazon indigenous territories and protected areas. </w:t>
      </w:r>
      <w:r w:rsidRPr="00FA663F">
        <w:rPr>
          <w:rFonts w:ascii="Times New Roman" w:hAnsi="Times New Roman" w:cs="Times New Roman"/>
          <w:i/>
          <w:iCs/>
          <w:noProof/>
          <w:sz w:val="24"/>
          <w:szCs w:val="24"/>
        </w:rPr>
        <w:t>Proc. Natl. Acad. Sci.</w:t>
      </w:r>
      <w:r w:rsidRPr="00FA663F">
        <w:rPr>
          <w:rFonts w:ascii="Times New Roman" w:hAnsi="Times New Roman" w:cs="Times New Roman"/>
          <w:noProof/>
          <w:sz w:val="24"/>
          <w:szCs w:val="24"/>
        </w:rPr>
        <w:t xml:space="preserve"> </w:t>
      </w:r>
      <w:r w:rsidRPr="00FA663F">
        <w:rPr>
          <w:rFonts w:ascii="Times New Roman" w:hAnsi="Times New Roman" w:cs="Times New Roman"/>
          <w:b/>
          <w:bCs/>
          <w:noProof/>
          <w:sz w:val="24"/>
          <w:szCs w:val="24"/>
        </w:rPr>
        <w:t>117</w:t>
      </w:r>
      <w:r w:rsidRPr="00FA663F">
        <w:rPr>
          <w:rFonts w:ascii="Times New Roman" w:hAnsi="Times New Roman" w:cs="Times New Roman"/>
          <w:noProof/>
          <w:sz w:val="24"/>
          <w:szCs w:val="24"/>
        </w:rPr>
        <w:t>, 3015–3025 (2020).</w:t>
      </w:r>
    </w:p>
    <w:p w14:paraId="3DEE6BF0" w14:textId="77777777" w:rsidR="00FA663F" w:rsidRPr="00FA663F" w:rsidRDefault="00FA663F" w:rsidP="00FA663F">
      <w:pPr>
        <w:widowControl w:val="0"/>
        <w:autoSpaceDE w:val="0"/>
        <w:autoSpaceDN w:val="0"/>
        <w:adjustRightInd w:val="0"/>
        <w:spacing w:before="240" w:after="60" w:line="480" w:lineRule="auto"/>
        <w:ind w:left="640" w:hanging="640"/>
        <w:rPr>
          <w:rFonts w:ascii="Times New Roman" w:hAnsi="Times New Roman" w:cs="Times New Roman"/>
          <w:noProof/>
          <w:sz w:val="24"/>
          <w:szCs w:val="24"/>
        </w:rPr>
      </w:pPr>
      <w:r w:rsidRPr="00FA663F">
        <w:rPr>
          <w:rFonts w:ascii="Times New Roman" w:hAnsi="Times New Roman" w:cs="Times New Roman"/>
          <w:noProof/>
          <w:sz w:val="24"/>
          <w:szCs w:val="24"/>
        </w:rPr>
        <w:t>3.</w:t>
      </w:r>
      <w:r w:rsidRPr="00FA663F">
        <w:rPr>
          <w:rFonts w:ascii="Times New Roman" w:hAnsi="Times New Roman" w:cs="Times New Roman"/>
          <w:noProof/>
          <w:sz w:val="24"/>
          <w:szCs w:val="24"/>
        </w:rPr>
        <w:tab/>
        <w:t xml:space="preserve">Barber, C. P., Cochrane, M. A., Souza, C. M. &amp; Laurance, W. F. Roads, deforestation, and the mitigating effect of protected areas in the Amazon. </w:t>
      </w:r>
      <w:r w:rsidRPr="00FA663F">
        <w:rPr>
          <w:rFonts w:ascii="Times New Roman" w:hAnsi="Times New Roman" w:cs="Times New Roman"/>
          <w:i/>
          <w:iCs/>
          <w:noProof/>
          <w:sz w:val="24"/>
          <w:szCs w:val="24"/>
        </w:rPr>
        <w:t>Biol. Conserv.</w:t>
      </w:r>
      <w:r w:rsidRPr="00FA663F">
        <w:rPr>
          <w:rFonts w:ascii="Times New Roman" w:hAnsi="Times New Roman" w:cs="Times New Roman"/>
          <w:noProof/>
          <w:sz w:val="24"/>
          <w:szCs w:val="24"/>
        </w:rPr>
        <w:t xml:space="preserve"> </w:t>
      </w:r>
      <w:r w:rsidRPr="00FA663F">
        <w:rPr>
          <w:rFonts w:ascii="Times New Roman" w:hAnsi="Times New Roman" w:cs="Times New Roman"/>
          <w:b/>
          <w:bCs/>
          <w:noProof/>
          <w:sz w:val="24"/>
          <w:szCs w:val="24"/>
        </w:rPr>
        <w:t>177</w:t>
      </w:r>
      <w:r w:rsidRPr="00FA663F">
        <w:rPr>
          <w:rFonts w:ascii="Times New Roman" w:hAnsi="Times New Roman" w:cs="Times New Roman"/>
          <w:noProof/>
          <w:sz w:val="24"/>
          <w:szCs w:val="24"/>
        </w:rPr>
        <w:t>, 203–209 (2014).</w:t>
      </w:r>
    </w:p>
    <w:p w14:paraId="7EAFABD4" w14:textId="77777777" w:rsidR="00FA663F" w:rsidRPr="00FA663F" w:rsidRDefault="00FA663F" w:rsidP="00FA663F">
      <w:pPr>
        <w:widowControl w:val="0"/>
        <w:autoSpaceDE w:val="0"/>
        <w:autoSpaceDN w:val="0"/>
        <w:adjustRightInd w:val="0"/>
        <w:spacing w:before="240" w:after="60" w:line="480" w:lineRule="auto"/>
        <w:ind w:left="640" w:hanging="640"/>
        <w:rPr>
          <w:rFonts w:ascii="Times New Roman" w:hAnsi="Times New Roman" w:cs="Times New Roman"/>
          <w:noProof/>
          <w:sz w:val="24"/>
          <w:szCs w:val="24"/>
        </w:rPr>
      </w:pPr>
      <w:r w:rsidRPr="00FA663F">
        <w:rPr>
          <w:rFonts w:ascii="Times New Roman" w:hAnsi="Times New Roman" w:cs="Times New Roman"/>
          <w:noProof/>
          <w:sz w:val="24"/>
          <w:szCs w:val="24"/>
        </w:rPr>
        <w:t>4.</w:t>
      </w:r>
      <w:r w:rsidRPr="00FA663F">
        <w:rPr>
          <w:rFonts w:ascii="Times New Roman" w:hAnsi="Times New Roman" w:cs="Times New Roman"/>
          <w:noProof/>
          <w:sz w:val="24"/>
          <w:szCs w:val="24"/>
        </w:rPr>
        <w:tab/>
        <w:t xml:space="preserve">Freitas, F. L. M. M. </w:t>
      </w:r>
      <w:r w:rsidRPr="00FA663F">
        <w:rPr>
          <w:rFonts w:ascii="Times New Roman" w:hAnsi="Times New Roman" w:cs="Times New Roman"/>
          <w:i/>
          <w:iCs/>
          <w:noProof/>
          <w:sz w:val="24"/>
          <w:szCs w:val="24"/>
        </w:rPr>
        <w:t>et al.</w:t>
      </w:r>
      <w:r w:rsidRPr="00FA663F">
        <w:rPr>
          <w:rFonts w:ascii="Times New Roman" w:hAnsi="Times New Roman" w:cs="Times New Roman"/>
          <w:noProof/>
          <w:sz w:val="24"/>
          <w:szCs w:val="24"/>
        </w:rPr>
        <w:t xml:space="preserve"> Who owns the Brazilian carbon? </w:t>
      </w:r>
      <w:r w:rsidRPr="00FA663F">
        <w:rPr>
          <w:rFonts w:ascii="Times New Roman" w:hAnsi="Times New Roman" w:cs="Times New Roman"/>
          <w:i/>
          <w:iCs/>
          <w:noProof/>
          <w:sz w:val="24"/>
          <w:szCs w:val="24"/>
        </w:rPr>
        <w:t>Glob. Chang. Biol.</w:t>
      </w:r>
      <w:r w:rsidRPr="00FA663F">
        <w:rPr>
          <w:rFonts w:ascii="Times New Roman" w:hAnsi="Times New Roman" w:cs="Times New Roman"/>
          <w:noProof/>
          <w:sz w:val="24"/>
          <w:szCs w:val="24"/>
        </w:rPr>
        <w:t xml:space="preserve"> </w:t>
      </w:r>
      <w:r w:rsidRPr="00FA663F">
        <w:rPr>
          <w:rFonts w:ascii="Times New Roman" w:hAnsi="Times New Roman" w:cs="Times New Roman"/>
          <w:b/>
          <w:bCs/>
          <w:noProof/>
          <w:sz w:val="24"/>
          <w:szCs w:val="24"/>
        </w:rPr>
        <w:t>24</w:t>
      </w:r>
      <w:r w:rsidRPr="00FA663F">
        <w:rPr>
          <w:rFonts w:ascii="Times New Roman" w:hAnsi="Times New Roman" w:cs="Times New Roman"/>
          <w:noProof/>
          <w:sz w:val="24"/>
          <w:szCs w:val="24"/>
        </w:rPr>
        <w:t>, 2129–2142 (2018).</w:t>
      </w:r>
    </w:p>
    <w:p w14:paraId="345FD575" w14:textId="77777777" w:rsidR="00FA663F" w:rsidRPr="00FA663F" w:rsidRDefault="00FA663F" w:rsidP="00FA663F">
      <w:pPr>
        <w:widowControl w:val="0"/>
        <w:autoSpaceDE w:val="0"/>
        <w:autoSpaceDN w:val="0"/>
        <w:adjustRightInd w:val="0"/>
        <w:spacing w:before="240" w:after="60" w:line="480" w:lineRule="auto"/>
        <w:ind w:left="640" w:hanging="640"/>
        <w:rPr>
          <w:rFonts w:ascii="Times New Roman" w:hAnsi="Times New Roman" w:cs="Times New Roman"/>
          <w:noProof/>
          <w:sz w:val="24"/>
        </w:rPr>
      </w:pPr>
      <w:r w:rsidRPr="00FA663F">
        <w:rPr>
          <w:rFonts w:ascii="Times New Roman" w:hAnsi="Times New Roman" w:cs="Times New Roman"/>
          <w:noProof/>
          <w:sz w:val="24"/>
          <w:szCs w:val="24"/>
        </w:rPr>
        <w:t>5.</w:t>
      </w:r>
      <w:r w:rsidRPr="00FA663F">
        <w:rPr>
          <w:rFonts w:ascii="Times New Roman" w:hAnsi="Times New Roman" w:cs="Times New Roman"/>
          <w:noProof/>
          <w:sz w:val="24"/>
          <w:szCs w:val="24"/>
        </w:rPr>
        <w:tab/>
        <w:t xml:space="preserve">Albuquerque Sant’Anna, A. &amp; Costa, L. Environmental regulation and bail outs under weak state capacity: Deforestation in the Brazilian Amazon. </w:t>
      </w:r>
      <w:r w:rsidRPr="00FA663F">
        <w:rPr>
          <w:rFonts w:ascii="Times New Roman" w:hAnsi="Times New Roman" w:cs="Times New Roman"/>
          <w:i/>
          <w:iCs/>
          <w:noProof/>
          <w:sz w:val="24"/>
          <w:szCs w:val="24"/>
        </w:rPr>
        <w:t>Ecol. Econ.</w:t>
      </w:r>
      <w:r w:rsidRPr="00FA663F">
        <w:rPr>
          <w:rFonts w:ascii="Times New Roman" w:hAnsi="Times New Roman" w:cs="Times New Roman"/>
          <w:noProof/>
          <w:sz w:val="24"/>
          <w:szCs w:val="24"/>
        </w:rPr>
        <w:t xml:space="preserve"> </w:t>
      </w:r>
      <w:r w:rsidRPr="00FA663F">
        <w:rPr>
          <w:rFonts w:ascii="Times New Roman" w:hAnsi="Times New Roman" w:cs="Times New Roman"/>
          <w:b/>
          <w:bCs/>
          <w:noProof/>
          <w:sz w:val="24"/>
          <w:szCs w:val="24"/>
        </w:rPr>
        <w:t>186</w:t>
      </w:r>
      <w:r w:rsidRPr="00FA663F">
        <w:rPr>
          <w:rFonts w:ascii="Times New Roman" w:hAnsi="Times New Roman" w:cs="Times New Roman"/>
          <w:noProof/>
          <w:sz w:val="24"/>
          <w:szCs w:val="24"/>
        </w:rPr>
        <w:t>, 107071 (2021).</w:t>
      </w:r>
    </w:p>
    <w:p w14:paraId="5B8CC3A4" w14:textId="77777777" w:rsidR="00FA663F" w:rsidRPr="00FA663F" w:rsidRDefault="00FA663F" w:rsidP="00FA663F">
      <w:pPr>
        <w:keepNext/>
        <w:spacing w:before="240" w:after="60" w:line="480" w:lineRule="auto"/>
        <w:jc w:val="both"/>
        <w:rPr>
          <w:rFonts w:ascii="Times New Roman" w:eastAsia="Times New Roman" w:hAnsi="Times New Roman" w:cs="Times New Roman"/>
          <w:b/>
          <w:bCs/>
          <w:color w:val="000000"/>
          <w:kern w:val="32"/>
          <w:sz w:val="24"/>
          <w:szCs w:val="24"/>
          <w:lang w:val="en-US"/>
        </w:rPr>
      </w:pPr>
      <w:r>
        <w:rPr>
          <w:rFonts w:ascii="Times New Roman" w:eastAsia="Times New Roman" w:hAnsi="Times New Roman" w:cs="Times New Roman"/>
          <w:b/>
          <w:bCs/>
          <w:color w:val="000000"/>
          <w:kern w:val="32"/>
          <w:sz w:val="24"/>
          <w:szCs w:val="24"/>
          <w:lang w:val="en-US"/>
        </w:rPr>
        <w:fldChar w:fldCharType="end"/>
      </w:r>
      <w:bookmarkStart w:id="0" w:name="_GoBack"/>
      <w:bookmarkEnd w:id="0"/>
    </w:p>
    <w:p w14:paraId="423A5820" w14:textId="77777777" w:rsidR="00FE1735" w:rsidRPr="00E61A66" w:rsidRDefault="00FE1735">
      <w:pPr>
        <w:rPr>
          <w:rFonts w:ascii="Times New Roman" w:hAnsi="Times New Roman" w:cs="Times New Roman"/>
          <w:sz w:val="24"/>
          <w:szCs w:val="24"/>
          <w:lang w:val="en-US"/>
        </w:rPr>
      </w:pPr>
    </w:p>
    <w:sectPr w:rsidR="00FE1735" w:rsidRPr="00E61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8585E"/>
    <w:multiLevelType w:val="multilevel"/>
    <w:tmpl w:val="CDD4C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yMbUwNTEzMDEwMDdW0lEKTi0uzszPAykwrAUAXv7eRywAAAA="/>
  </w:docVars>
  <w:rsids>
    <w:rsidRoot w:val="00950A17"/>
    <w:rsid w:val="00950A17"/>
    <w:rsid w:val="00A66DC8"/>
    <w:rsid w:val="00E61A66"/>
    <w:rsid w:val="00FA663F"/>
    <w:rsid w:val="00FE1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B2C4"/>
  <w15:chartTrackingRefBased/>
  <w15:docId w15:val="{3D41EAA3-4709-4C41-87ED-74B3A182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rPr>
  </w:style>
  <w:style w:type="paragraph" w:styleId="Heading1">
    <w:name w:val="heading 1"/>
    <w:basedOn w:val="Normal"/>
    <w:next w:val="Normal"/>
    <w:link w:val="Heading1Char"/>
    <w:rsid w:val="00E61A66"/>
    <w:pPr>
      <w:keepNext/>
      <w:keepLines/>
      <w:spacing w:before="480" w:after="120" w:line="276" w:lineRule="auto"/>
      <w:outlineLvl w:val="0"/>
    </w:pPr>
    <w:rPr>
      <w:rFonts w:ascii="Calibri" w:eastAsia="Calibri" w:hAnsi="Calibri" w:cs="Calibri"/>
      <w:b/>
      <w:sz w:val="48"/>
      <w:szCs w:val="48"/>
      <w:lang w:val="en-GB"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A66"/>
    <w:rPr>
      <w:rFonts w:ascii="Calibri" w:eastAsia="Calibri" w:hAnsi="Calibri" w:cs="Calibri"/>
      <w:b/>
      <w:sz w:val="48"/>
      <w:szCs w:val="48"/>
      <w:lang w:val="en-GB"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gcb.14011?casa_token=lzOfCkJu4FAAAAAA%3AMJbEgjrWGc5ZktbmydiRHvx2ExfLNFmW0OUy7pA0hsG2ze-aaO1sFzKUsUNMaT2bI-pEV-i2zhbPd1w"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science/article/pii/S0921800921001294?casa_token=ceGfIxrf8DIAAAAA:T9iRBqlMxOxMu_eB3C8PugczQFU2Due_0JZV0sAbOe7YfaQeNsLiNUbVh9_KATdSU26Dw_4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9A5A465-11AC-4CE8-ACF5-1EF6E0B9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3745</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Université Catholique de Louvain</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Nogueira Pimenta Dos Reis</dc:creator>
  <cp:keywords/>
  <dc:description/>
  <cp:lastModifiedBy>Tiago Nogueira Pimenta Dos Reis</cp:lastModifiedBy>
  <cp:revision>2</cp:revision>
  <dcterms:created xsi:type="dcterms:W3CDTF">2021-08-12T12:44:00Z</dcterms:created>
  <dcterms:modified xsi:type="dcterms:W3CDTF">2021-08-12T13:57:00Z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http://www.zotero.org/styles/conservation-biology</vt:lpwstr>
  </property>
  <property fmtid="{D5CDD505-2E9C-101B-9397-08002B2CF9AE}" pid="9" name="Mendeley Recent Style Name 3_1">
    <vt:lpwstr>Conservation Biology</vt:lpwstr>
  </property>
  <property fmtid="{D5CDD505-2E9C-101B-9397-08002B2CF9AE}" pid="10" name="Mendeley Recent Style Id 4_1">
    <vt:lpwstr>http://www.zotero.org/styles/environmental-research-letters</vt:lpwstr>
  </property>
  <property fmtid="{D5CDD505-2E9C-101B-9397-08002B2CF9AE}" pid="11" name="Mendeley Recent Style Name 4_1">
    <vt:lpwstr>Environmental Research Letters</vt:lpwstr>
  </property>
  <property fmtid="{D5CDD505-2E9C-101B-9397-08002B2CF9AE}" pid="12" name="Mendeley Recent Style Id 5_1">
    <vt:lpwstr>http://www.zotero.org/styles/global-environmental-change</vt:lpwstr>
  </property>
  <property fmtid="{D5CDD505-2E9C-101B-9397-08002B2CF9AE}" pid="13" name="Mendeley Recent Style Name 5_1">
    <vt:lpwstr>Global Environmental Change</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y fmtid="{D5CDD505-2E9C-101B-9397-08002B2CF9AE}" pid="22" name="Mendeley Document_1">
    <vt:lpwstr>True</vt:lpwstr>
  </property>
  <property fmtid="{D5CDD505-2E9C-101B-9397-08002B2CF9AE}" pid="23" name="Mendeley Unique User Id_1">
    <vt:lpwstr>dcc17d5a-8a10-3b8e-95ba-523b66531583</vt:lpwstr>
  </property>
  <property fmtid="{D5CDD505-2E9C-101B-9397-08002B2CF9AE}" pid="24" name="Mendeley Citation Style_1">
    <vt:lpwstr>http://www.zotero.org/styles/nature</vt:lpwstr>
  </property>
</Properties>
</file>