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8E4D1" w14:textId="12394B2C" w:rsidR="006B5F96" w:rsidRPr="002E1BFB" w:rsidRDefault="002E1BFB" w:rsidP="002E1BFB">
      <w:pPr>
        <w:spacing w:line="360" w:lineRule="auto"/>
        <w:jc w:val="center"/>
        <w:rPr>
          <w:rFonts w:ascii="Arial" w:hAnsi="Arial" w:cs="Arial"/>
          <w:sz w:val="24"/>
        </w:rPr>
      </w:pPr>
      <w:r w:rsidRPr="002E1BFB">
        <w:rPr>
          <w:rFonts w:ascii="Arial" w:hAnsi="Arial" w:cs="Arial"/>
          <w:sz w:val="24"/>
        </w:rPr>
        <w:t>Supplementary information for</w:t>
      </w:r>
    </w:p>
    <w:p w14:paraId="70719F25" w14:textId="18043BBB" w:rsidR="002E1BFB" w:rsidRDefault="002E1BFB" w:rsidP="002E1BFB">
      <w:pPr>
        <w:spacing w:line="360" w:lineRule="auto"/>
        <w:rPr>
          <w:rFonts w:ascii="Arial" w:hAnsi="Arial" w:cs="Arial"/>
          <w:b/>
          <w:bCs/>
          <w:color w:val="000000"/>
          <w:sz w:val="42"/>
          <w:szCs w:val="42"/>
        </w:rPr>
      </w:pPr>
      <w:r w:rsidRPr="002E1BFB">
        <w:rPr>
          <w:rFonts w:ascii="Arial" w:hAnsi="Arial" w:cs="Arial"/>
          <w:b/>
          <w:bCs/>
          <w:color w:val="000000"/>
          <w:sz w:val="42"/>
          <w:szCs w:val="42"/>
        </w:rPr>
        <w:t>A robust energy framework for powering self-sufficient and zero-carbon infrastructure in high-altitude regions</w:t>
      </w:r>
    </w:p>
    <w:p w14:paraId="3DE1CC43" w14:textId="77777777" w:rsidR="002E1BFB" w:rsidRPr="00E40198" w:rsidRDefault="002E1BFB" w:rsidP="002E1BFB">
      <w:pPr>
        <w:spacing w:after="0" w:line="240" w:lineRule="auto"/>
        <w:ind w:right="-3326"/>
        <w:jc w:val="both"/>
        <w:rPr>
          <w:rFonts w:ascii="Arial" w:hAnsi="Arial" w:cs="Arial"/>
        </w:rPr>
      </w:pPr>
      <w:r w:rsidRPr="00B06DD9">
        <w:rPr>
          <w:rFonts w:ascii="Arial" w:hAnsi="Arial" w:cs="Arial" w:hint="eastAsia"/>
          <w:color w:val="000000"/>
        </w:rPr>
        <w:t>Bowen Guan</w:t>
      </w:r>
      <w:r w:rsidRPr="00B06DD9">
        <w:rPr>
          <w:rFonts w:ascii="Arial" w:eastAsia="MS Mincho" w:hAnsi="Arial" w:cs="Arial"/>
          <w:color w:val="000000"/>
        </w:rPr>
        <w:t>,</w:t>
      </w:r>
      <w:r w:rsidRPr="00B06DD9">
        <w:rPr>
          <w:rFonts w:ascii="Arial" w:eastAsia="MS Mincho" w:hAnsi="Arial" w:cs="Arial"/>
          <w:color w:val="000000"/>
          <w:vertAlign w:val="superscript"/>
        </w:rPr>
        <w:t>1,</w:t>
      </w:r>
      <w:r w:rsidRPr="00B06DD9">
        <w:rPr>
          <w:rFonts w:ascii="Arial" w:eastAsia="MS Mincho" w:hAnsi="Arial" w:cs="Arial"/>
          <w:color w:val="000000"/>
        </w:rPr>
        <w:t xml:space="preserve">* </w:t>
      </w:r>
      <w:r w:rsidRPr="00B06DD9">
        <w:rPr>
          <w:rFonts w:ascii="Arial" w:hAnsi="Arial" w:cs="Arial" w:hint="eastAsia"/>
          <w:color w:val="000000"/>
        </w:rPr>
        <w:t>Xin Fu,</w:t>
      </w:r>
      <w:r w:rsidRPr="00B06DD9">
        <w:rPr>
          <w:rFonts w:ascii="Arial" w:hAnsi="Arial" w:cs="Arial" w:hint="eastAsia"/>
          <w:color w:val="000000"/>
          <w:vertAlign w:val="superscript"/>
        </w:rPr>
        <w:t>1</w:t>
      </w:r>
      <w:r w:rsidRPr="00B06DD9">
        <w:rPr>
          <w:rFonts w:ascii="Arial" w:hAnsi="Arial" w:cs="Arial" w:hint="eastAsia"/>
          <w:color w:val="000000"/>
        </w:rPr>
        <w:t xml:space="preserve"> Xiaohua Liu</w:t>
      </w:r>
      <w:r w:rsidRPr="00B06DD9">
        <w:rPr>
          <w:rFonts w:ascii="Arial" w:eastAsia="MS Mincho" w:hAnsi="Arial" w:cs="Arial"/>
          <w:color w:val="000000"/>
        </w:rPr>
        <w:t>,</w:t>
      </w:r>
      <w:r w:rsidRPr="00B06DD9">
        <w:rPr>
          <w:rFonts w:ascii="Arial" w:eastAsia="MS Mincho" w:hAnsi="Arial" w:cs="Arial"/>
          <w:color w:val="000000"/>
          <w:vertAlign w:val="superscript"/>
        </w:rPr>
        <w:t>2</w:t>
      </w:r>
      <w:r w:rsidRPr="00B06DD9">
        <w:rPr>
          <w:rFonts w:ascii="Arial" w:eastAsia="MS Mincho" w:hAnsi="Arial" w:cs="Arial"/>
          <w:color w:val="000000"/>
        </w:rPr>
        <w:t xml:space="preserve"> </w:t>
      </w:r>
      <w:r w:rsidRPr="00B06DD9">
        <w:rPr>
          <w:rFonts w:ascii="Arial" w:hAnsi="Arial" w:cs="Arial" w:hint="eastAsia"/>
          <w:color w:val="000000"/>
        </w:rPr>
        <w:t>Tao Zhang</w:t>
      </w:r>
      <w:r w:rsidRPr="00B06DD9">
        <w:rPr>
          <w:rFonts w:ascii="Arial" w:eastAsia="MS Mincho" w:hAnsi="Arial" w:cs="Arial"/>
          <w:color w:val="000000"/>
        </w:rPr>
        <w:t>,</w:t>
      </w:r>
      <w:r w:rsidRPr="00B06DD9">
        <w:rPr>
          <w:rFonts w:ascii="Arial" w:eastAsia="MS Mincho" w:hAnsi="Arial" w:cs="Arial"/>
          <w:color w:val="000000"/>
          <w:vertAlign w:val="superscript"/>
        </w:rPr>
        <w:t>2</w:t>
      </w:r>
      <w:r w:rsidRPr="00B06DD9">
        <w:rPr>
          <w:rFonts w:ascii="Arial" w:eastAsia="MS Mincho" w:hAnsi="Arial" w:cs="Arial"/>
          <w:color w:val="000000"/>
        </w:rPr>
        <w:t xml:space="preserve"> and </w:t>
      </w:r>
      <w:r w:rsidRPr="00B06DD9">
        <w:rPr>
          <w:rFonts w:ascii="Arial" w:hAnsi="Arial" w:cs="Arial" w:hint="eastAsia"/>
          <w:color w:val="000000"/>
        </w:rPr>
        <w:t>Jiangyan Ma</w:t>
      </w:r>
      <w:r>
        <w:rPr>
          <w:rFonts w:ascii="Arial" w:hAnsi="Arial" w:cs="Arial" w:hint="eastAsia"/>
          <w:color w:val="000000"/>
        </w:rPr>
        <w:t>,</w:t>
      </w:r>
      <w:r w:rsidRPr="00B06DD9">
        <w:rPr>
          <w:rFonts w:ascii="Arial" w:eastAsia="MS Mincho" w:hAnsi="Arial" w:cs="Arial"/>
          <w:color w:val="000000"/>
          <w:vertAlign w:val="superscript"/>
        </w:rPr>
        <w:t>3</w:t>
      </w:r>
      <w:r w:rsidRPr="00B06DD9">
        <w:rPr>
          <w:rFonts w:ascii="Arial" w:eastAsia="MS Mincho" w:hAnsi="Arial" w:cs="Arial"/>
          <w:color w:val="000000"/>
        </w:rPr>
        <w:t xml:space="preserve"> </w:t>
      </w:r>
      <w:r>
        <w:rPr>
          <w:rFonts w:ascii="Arial" w:hAnsi="Arial" w:cs="Arial" w:hint="eastAsia"/>
          <w:color w:val="000000"/>
        </w:rPr>
        <w:t>Xinke Wang</w:t>
      </w:r>
      <w:r w:rsidRPr="00E40198">
        <w:rPr>
          <w:rFonts w:ascii="Arial" w:hAnsi="Arial" w:cs="Arial" w:hint="eastAsia"/>
          <w:color w:val="000000"/>
          <w:vertAlign w:val="superscript"/>
        </w:rPr>
        <w:t>1</w:t>
      </w:r>
    </w:p>
    <w:p w14:paraId="1A65F398" w14:textId="709A4EAB" w:rsidR="002E1BFB" w:rsidRPr="00B06DD9" w:rsidRDefault="002E1BFB" w:rsidP="002E1BFB">
      <w:pPr>
        <w:spacing w:after="0" w:line="240" w:lineRule="auto"/>
        <w:ind w:right="-3326"/>
        <w:jc w:val="both"/>
        <w:rPr>
          <w:rFonts w:ascii="Arial" w:hAnsi="Arial" w:cs="Arial"/>
          <w:color w:val="000000"/>
          <w:sz w:val="18"/>
          <w:szCs w:val="18"/>
        </w:rPr>
      </w:pPr>
      <w:r w:rsidRPr="00B06DD9">
        <w:rPr>
          <w:rFonts w:ascii="Arial" w:eastAsia="MS Mincho" w:hAnsi="Arial" w:cs="Arial"/>
          <w:color w:val="000000"/>
          <w:sz w:val="18"/>
          <w:szCs w:val="18"/>
          <w:vertAlign w:val="superscript"/>
        </w:rPr>
        <w:t>1</w:t>
      </w:r>
      <w:r w:rsidRPr="00B06DD9">
        <w:rPr>
          <w:rFonts w:ascii="Arial" w:eastAsia="MS Mincho" w:hAnsi="Arial" w:cs="Arial"/>
          <w:color w:val="000000"/>
          <w:sz w:val="18"/>
          <w:szCs w:val="18"/>
        </w:rPr>
        <w:t>School of Human Settlements and Civil Engineering,</w:t>
      </w:r>
      <w:r w:rsidRPr="00B06DD9">
        <w:rPr>
          <w:rFonts w:ascii="Arial" w:hAnsi="Arial" w:cs="Arial" w:hint="eastAsia"/>
          <w:color w:val="000000"/>
          <w:sz w:val="18"/>
          <w:szCs w:val="18"/>
        </w:rPr>
        <w:t xml:space="preserve"> </w:t>
      </w:r>
      <w:r w:rsidRPr="00B06DD9">
        <w:rPr>
          <w:rFonts w:ascii="Arial" w:hAnsi="Arial" w:cs="Arial"/>
          <w:color w:val="000000"/>
          <w:sz w:val="18"/>
          <w:szCs w:val="18"/>
        </w:rPr>
        <w:t>Xi'an Jiaotong University</w:t>
      </w:r>
      <w:r w:rsidRPr="00B06DD9">
        <w:rPr>
          <w:rFonts w:ascii="Arial" w:hAnsi="Arial" w:cs="Arial" w:hint="eastAsia"/>
          <w:color w:val="000000"/>
          <w:sz w:val="18"/>
          <w:szCs w:val="18"/>
        </w:rPr>
        <w:t>, Xi</w:t>
      </w:r>
      <w:r w:rsidRPr="00B06DD9">
        <w:rPr>
          <w:rFonts w:ascii="Arial" w:hAnsi="Arial" w:cs="Arial"/>
          <w:color w:val="000000"/>
          <w:sz w:val="18"/>
          <w:szCs w:val="18"/>
        </w:rPr>
        <w:t>’</w:t>
      </w:r>
      <w:r w:rsidRPr="00B06DD9">
        <w:rPr>
          <w:rFonts w:ascii="Arial" w:hAnsi="Arial" w:cs="Arial" w:hint="eastAsia"/>
          <w:color w:val="000000"/>
          <w:sz w:val="18"/>
          <w:szCs w:val="18"/>
        </w:rPr>
        <w:t>an, Sha</w:t>
      </w:r>
      <w:r w:rsidR="000D49D5">
        <w:rPr>
          <w:rFonts w:ascii="Arial" w:hAnsi="Arial" w:cs="Arial" w:hint="eastAsia"/>
          <w:color w:val="000000"/>
          <w:sz w:val="18"/>
          <w:szCs w:val="18"/>
        </w:rPr>
        <w:t>a</w:t>
      </w:r>
      <w:r w:rsidRPr="00B06DD9">
        <w:rPr>
          <w:rFonts w:ascii="Arial" w:hAnsi="Arial" w:cs="Arial" w:hint="eastAsia"/>
          <w:color w:val="000000"/>
          <w:sz w:val="18"/>
          <w:szCs w:val="18"/>
        </w:rPr>
        <w:t>nxi 710049,</w:t>
      </w:r>
      <w:r w:rsidRPr="00B06DD9">
        <w:rPr>
          <w:rFonts w:ascii="Arial" w:eastAsia="MS Mincho" w:hAnsi="Arial" w:cs="Arial"/>
          <w:color w:val="000000"/>
          <w:sz w:val="18"/>
          <w:szCs w:val="18"/>
        </w:rPr>
        <w:t xml:space="preserve"> </w:t>
      </w:r>
      <w:r w:rsidRPr="00B06DD9">
        <w:rPr>
          <w:rFonts w:ascii="Arial" w:hAnsi="Arial" w:cs="Arial" w:hint="eastAsia"/>
          <w:color w:val="000000"/>
          <w:sz w:val="18"/>
          <w:szCs w:val="18"/>
        </w:rPr>
        <w:t>China</w:t>
      </w:r>
    </w:p>
    <w:p w14:paraId="543ECC1C" w14:textId="77777777" w:rsidR="002E1BFB" w:rsidRPr="00B06DD9" w:rsidRDefault="002E1BFB" w:rsidP="002E1BFB">
      <w:pPr>
        <w:spacing w:after="0" w:line="240" w:lineRule="auto"/>
        <w:ind w:right="-3326"/>
        <w:jc w:val="both"/>
        <w:rPr>
          <w:rFonts w:ascii="Arial" w:eastAsia="MS Mincho" w:hAnsi="Arial" w:cs="Arial"/>
          <w:color w:val="000000"/>
          <w:sz w:val="18"/>
          <w:szCs w:val="18"/>
        </w:rPr>
      </w:pPr>
      <w:r w:rsidRPr="00B06DD9">
        <w:rPr>
          <w:rFonts w:ascii="Arial" w:eastAsia="MS Mincho" w:hAnsi="Arial" w:cs="Arial"/>
          <w:color w:val="000000"/>
          <w:sz w:val="18"/>
          <w:szCs w:val="18"/>
          <w:vertAlign w:val="superscript"/>
        </w:rPr>
        <w:t>2</w:t>
      </w:r>
      <w:r w:rsidRPr="00B06DD9">
        <w:rPr>
          <w:rFonts w:ascii="Arial" w:eastAsia="MS Mincho" w:hAnsi="Arial" w:cs="Arial"/>
          <w:color w:val="000000"/>
          <w:sz w:val="18"/>
          <w:szCs w:val="18"/>
        </w:rPr>
        <w:t xml:space="preserve">Department of Building Science, Tsinghua University, Beijing 100084, China </w:t>
      </w:r>
    </w:p>
    <w:p w14:paraId="0829295D" w14:textId="2D8311DE" w:rsidR="002E1BFB" w:rsidRPr="00B06DD9" w:rsidRDefault="002E1BFB" w:rsidP="002E1BFB">
      <w:pPr>
        <w:spacing w:after="0" w:line="240" w:lineRule="auto"/>
        <w:ind w:right="-3326"/>
        <w:jc w:val="both"/>
        <w:rPr>
          <w:rFonts w:ascii="Arial" w:hAnsi="Arial" w:cs="Arial"/>
          <w:color w:val="000000"/>
          <w:sz w:val="18"/>
          <w:szCs w:val="18"/>
        </w:rPr>
      </w:pPr>
      <w:r w:rsidRPr="00B06DD9">
        <w:rPr>
          <w:rFonts w:ascii="Arial" w:eastAsia="MS Mincho" w:hAnsi="Arial" w:cs="Arial"/>
          <w:color w:val="000000"/>
          <w:sz w:val="18"/>
          <w:szCs w:val="18"/>
          <w:vertAlign w:val="superscript"/>
        </w:rPr>
        <w:t>3</w:t>
      </w:r>
      <w:r w:rsidRPr="00B06DD9">
        <w:rPr>
          <w:rFonts w:ascii="Arial" w:hAnsi="Arial" w:cs="Arial" w:hint="eastAsia"/>
          <w:color w:val="000000"/>
          <w:sz w:val="18"/>
          <w:szCs w:val="18"/>
        </w:rPr>
        <w:t>China Railway First Survey and Design Institute Group Co., Ltd., Xi</w:t>
      </w:r>
      <w:r w:rsidRPr="00B06DD9">
        <w:rPr>
          <w:rFonts w:ascii="Arial" w:hAnsi="Arial" w:cs="Arial"/>
          <w:color w:val="000000"/>
          <w:sz w:val="18"/>
          <w:szCs w:val="18"/>
        </w:rPr>
        <w:t>’</w:t>
      </w:r>
      <w:r w:rsidRPr="00B06DD9">
        <w:rPr>
          <w:rFonts w:ascii="Arial" w:hAnsi="Arial" w:cs="Arial" w:hint="eastAsia"/>
          <w:color w:val="000000"/>
          <w:sz w:val="18"/>
          <w:szCs w:val="18"/>
        </w:rPr>
        <w:t>an, Sha</w:t>
      </w:r>
      <w:r w:rsidR="006E44DF">
        <w:rPr>
          <w:rFonts w:ascii="Arial" w:hAnsi="Arial" w:cs="Arial" w:hint="eastAsia"/>
          <w:color w:val="000000"/>
          <w:sz w:val="18"/>
          <w:szCs w:val="18"/>
        </w:rPr>
        <w:t>a</w:t>
      </w:r>
      <w:r w:rsidRPr="00B06DD9">
        <w:rPr>
          <w:rFonts w:ascii="Arial" w:hAnsi="Arial" w:cs="Arial" w:hint="eastAsia"/>
          <w:color w:val="000000"/>
          <w:sz w:val="18"/>
          <w:szCs w:val="18"/>
        </w:rPr>
        <w:t>nxi 710054,</w:t>
      </w:r>
      <w:r w:rsidRPr="00B06DD9">
        <w:rPr>
          <w:rFonts w:ascii="Arial" w:eastAsia="MS Mincho" w:hAnsi="Arial" w:cs="Arial"/>
          <w:color w:val="000000"/>
          <w:sz w:val="18"/>
          <w:szCs w:val="18"/>
        </w:rPr>
        <w:t xml:space="preserve"> </w:t>
      </w:r>
      <w:r w:rsidRPr="00B06DD9">
        <w:rPr>
          <w:rFonts w:ascii="Arial" w:hAnsi="Arial" w:cs="Arial" w:hint="eastAsia"/>
          <w:color w:val="000000"/>
          <w:sz w:val="18"/>
          <w:szCs w:val="18"/>
        </w:rPr>
        <w:t>China</w:t>
      </w:r>
    </w:p>
    <w:p w14:paraId="2E248A6F" w14:textId="77777777" w:rsidR="002E1BFB" w:rsidRPr="00B06DD9" w:rsidRDefault="002E1BFB" w:rsidP="002E1BFB">
      <w:pPr>
        <w:spacing w:after="0" w:line="240" w:lineRule="auto"/>
        <w:ind w:right="-3326"/>
        <w:jc w:val="both"/>
        <w:rPr>
          <w:rFonts w:ascii="Arial" w:eastAsia="MS Mincho" w:hAnsi="Arial" w:cs="Arial"/>
          <w:color w:val="000000" w:themeColor="text1"/>
          <w:sz w:val="16"/>
          <w:szCs w:val="16"/>
        </w:rPr>
      </w:pPr>
      <w:r w:rsidRPr="00B06DD9">
        <w:rPr>
          <w:rFonts w:ascii="Arial" w:hAnsi="Arial" w:cs="Arial" w:hint="eastAsia"/>
          <w:color w:val="000000"/>
          <w:sz w:val="16"/>
          <w:szCs w:val="16"/>
          <w:vertAlign w:val="superscript"/>
        </w:rPr>
        <w:t>1</w:t>
      </w:r>
      <w:r w:rsidRPr="00B06DD9">
        <w:rPr>
          <w:rFonts w:ascii="Arial" w:eastAsia="MS Mincho" w:hAnsi="Arial" w:cs="Arial"/>
          <w:color w:val="000000" w:themeColor="text1"/>
          <w:sz w:val="16"/>
          <w:szCs w:val="16"/>
        </w:rPr>
        <w:t>Lead contact</w:t>
      </w:r>
    </w:p>
    <w:p w14:paraId="253DC65D" w14:textId="77777777" w:rsidR="00ED257B" w:rsidRDefault="002E1BFB" w:rsidP="002E1BFB">
      <w:pPr>
        <w:spacing w:after="0" w:line="240" w:lineRule="auto"/>
        <w:ind w:right="-3326"/>
        <w:rPr>
          <w:rFonts w:ascii="Arial" w:hAnsi="Arial" w:cs="Arial"/>
          <w:color w:val="000000" w:themeColor="text1"/>
          <w:sz w:val="16"/>
          <w:szCs w:val="16"/>
        </w:rPr>
        <w:sectPr w:rsidR="00ED257B" w:rsidSect="002E1BFB">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992" w:gutter="0"/>
          <w:cols w:space="425"/>
          <w:docGrid w:type="lines" w:linePitch="312"/>
        </w:sectPr>
      </w:pPr>
      <w:r w:rsidRPr="00B06DD9">
        <w:rPr>
          <w:rFonts w:ascii="Arial" w:eastAsia="MS Mincho" w:hAnsi="Arial" w:cs="Arial"/>
          <w:color w:val="000000" w:themeColor="text1"/>
          <w:sz w:val="16"/>
          <w:szCs w:val="16"/>
        </w:rPr>
        <w:t xml:space="preserve">*Correspondence: </w:t>
      </w:r>
      <w:r w:rsidRPr="00B06DD9">
        <w:rPr>
          <w:rFonts w:ascii="Arial" w:hAnsi="Arial" w:cs="Arial" w:hint="eastAsia"/>
          <w:color w:val="000000" w:themeColor="text1"/>
          <w:sz w:val="16"/>
          <w:szCs w:val="16"/>
        </w:rPr>
        <w:t>guanbw@xjtu.edu.cn</w:t>
      </w:r>
    </w:p>
    <w:p w14:paraId="636FF6BB" w14:textId="1F8CAD30" w:rsidR="00030FD3" w:rsidRDefault="00030FD3" w:rsidP="002E1BFB">
      <w:pPr>
        <w:spacing w:line="360" w:lineRule="auto"/>
        <w:rPr>
          <w:rFonts w:ascii="Arial" w:hAnsi="Arial" w:cs="Arial"/>
          <w:b/>
          <w:bCs/>
          <w:sz w:val="24"/>
        </w:rPr>
      </w:pPr>
      <w:r>
        <w:rPr>
          <w:rFonts w:ascii="Arial" w:hAnsi="Arial" w:cs="Arial" w:hint="eastAsia"/>
          <w:b/>
          <w:bCs/>
          <w:sz w:val="24"/>
        </w:rPr>
        <w:lastRenderedPageBreak/>
        <w:t xml:space="preserve">Rooftop PV </w:t>
      </w:r>
      <w:r w:rsidR="004029B1">
        <w:rPr>
          <w:rFonts w:ascii="Arial" w:hAnsi="Arial" w:cs="Arial" w:hint="eastAsia"/>
          <w:b/>
          <w:bCs/>
          <w:sz w:val="24"/>
        </w:rPr>
        <w:t>P</w:t>
      </w:r>
      <w:r>
        <w:rPr>
          <w:rFonts w:ascii="Arial" w:hAnsi="Arial" w:cs="Arial" w:hint="eastAsia"/>
          <w:b/>
          <w:bCs/>
          <w:sz w:val="24"/>
        </w:rPr>
        <w:t xml:space="preserve">ower </w:t>
      </w:r>
      <w:r w:rsidR="004029B1">
        <w:rPr>
          <w:rFonts w:ascii="Arial" w:hAnsi="Arial" w:cs="Arial" w:hint="eastAsia"/>
          <w:b/>
          <w:bCs/>
          <w:sz w:val="24"/>
        </w:rPr>
        <w:t>G</w:t>
      </w:r>
      <w:r>
        <w:rPr>
          <w:rFonts w:ascii="Arial" w:hAnsi="Arial" w:cs="Arial" w:hint="eastAsia"/>
          <w:b/>
          <w:bCs/>
          <w:sz w:val="24"/>
        </w:rPr>
        <w:t xml:space="preserve">eneration </w:t>
      </w:r>
      <w:r w:rsidR="004029B1">
        <w:rPr>
          <w:rFonts w:ascii="Arial" w:hAnsi="Arial" w:cs="Arial" w:hint="eastAsia"/>
          <w:b/>
          <w:bCs/>
          <w:sz w:val="24"/>
        </w:rPr>
        <w:t>E</w:t>
      </w:r>
      <w:r>
        <w:rPr>
          <w:rFonts w:ascii="Arial" w:hAnsi="Arial" w:cs="Arial" w:hint="eastAsia"/>
          <w:b/>
          <w:bCs/>
          <w:sz w:val="24"/>
        </w:rPr>
        <w:t xml:space="preserve">xperimental </w:t>
      </w:r>
      <w:r w:rsidR="004029B1">
        <w:rPr>
          <w:rFonts w:ascii="Arial" w:hAnsi="Arial" w:cs="Arial" w:hint="eastAsia"/>
          <w:b/>
          <w:bCs/>
          <w:sz w:val="24"/>
        </w:rPr>
        <w:t>P</w:t>
      </w:r>
      <w:r>
        <w:rPr>
          <w:rFonts w:ascii="Arial" w:hAnsi="Arial" w:cs="Arial" w:hint="eastAsia"/>
          <w:b/>
          <w:bCs/>
          <w:sz w:val="24"/>
        </w:rPr>
        <w:t>latform</w:t>
      </w:r>
    </w:p>
    <w:p w14:paraId="4F7B6869" w14:textId="19801B80" w:rsidR="00030FD3" w:rsidRPr="003F432C" w:rsidRDefault="003F432C" w:rsidP="00795FA5">
      <w:pPr>
        <w:spacing w:line="240" w:lineRule="auto"/>
        <w:jc w:val="both"/>
        <w:rPr>
          <w:rFonts w:ascii="Arial" w:hAnsi="Arial" w:cs="Arial"/>
          <w:sz w:val="20"/>
          <w:szCs w:val="20"/>
        </w:rPr>
      </w:pPr>
      <w:r w:rsidRPr="003F432C">
        <w:rPr>
          <w:rFonts w:ascii="Arial" w:hAnsi="Arial" w:cs="Arial"/>
          <w:sz w:val="20"/>
          <w:szCs w:val="20"/>
        </w:rPr>
        <w:t>In this study, a rooftop photovoltaic (PV) power generation experimental platform was established in Shannan, on the Qinghai–Tibet Plateau, at an altitude of 3570 m. The system configuration is illustrated in Supplementary Figure 1. The experimental structure covers a floor area of 21.6 m². The rooftop PV system was designed with reference to the roof plans of high-altitude railway stations, incorporating optimizations for power generation efficiency and snow prevention. The PV panels are oriented due south with a tilt angle of 25°. The system employs five LR5-72HPH-550W PV panels, covering a total area of 15 m², with a total installed capacity of 2.75 kW.</w:t>
      </w:r>
      <w:r>
        <w:rPr>
          <w:rFonts w:ascii="Arial" w:hAnsi="Arial" w:cs="Arial" w:hint="eastAsia"/>
          <w:sz w:val="20"/>
          <w:szCs w:val="20"/>
        </w:rPr>
        <w:t xml:space="preserve"> </w:t>
      </w:r>
      <w:r w:rsidRPr="003F432C">
        <w:rPr>
          <w:rFonts w:ascii="Arial" w:hAnsi="Arial" w:cs="Arial"/>
          <w:sz w:val="20"/>
          <w:szCs w:val="20"/>
        </w:rPr>
        <w:t>For indoor heating, electric heating films with a rated power of 220 W/m² are used as the terminal heating elements. The energy storage module consists of a lithium battery with a capacity of 12 V, 200 Ah, and 2.4 kWh. In addition, an energy storage layer made of phase change material (PCM) is installed in the floor. The PCM has a total mass of 150.5 kg, a phase transition temperature range of 20–28 °C, a thickness of 25 mm, a latent heat value of 200 kJ/kg, and a density of 860 kg/m³.</w:t>
      </w:r>
    </w:p>
    <w:p w14:paraId="638E73DC" w14:textId="2F1E5C37" w:rsidR="00795FA5" w:rsidRDefault="00795FA5" w:rsidP="00341F74">
      <w:pPr>
        <w:spacing w:line="240" w:lineRule="auto"/>
        <w:jc w:val="center"/>
        <w:rPr>
          <w:rFonts w:ascii="Arial" w:hAnsi="Arial" w:cs="Arial"/>
          <w:b/>
          <w:bCs/>
          <w:sz w:val="24"/>
        </w:rPr>
      </w:pPr>
      <w:r w:rsidRPr="00795FA5">
        <w:rPr>
          <w:rFonts w:hint="eastAsia"/>
          <w:noProof/>
        </w:rPr>
        <w:drawing>
          <wp:inline distT="0" distB="0" distL="0" distR="0" wp14:anchorId="04133D68" wp14:editId="6D773625">
            <wp:extent cx="6188710" cy="1861185"/>
            <wp:effectExtent l="0" t="0" r="0" b="5715"/>
            <wp:docPr id="1311242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1861185"/>
                    </a:xfrm>
                    <a:prstGeom prst="rect">
                      <a:avLst/>
                    </a:prstGeom>
                    <a:noFill/>
                    <a:ln>
                      <a:noFill/>
                    </a:ln>
                  </pic:spPr>
                </pic:pic>
              </a:graphicData>
            </a:graphic>
          </wp:inline>
        </w:drawing>
      </w:r>
    </w:p>
    <w:p w14:paraId="37534E49" w14:textId="7D045F3E" w:rsidR="00795FA5" w:rsidRDefault="00795FA5" w:rsidP="00341F74">
      <w:pPr>
        <w:spacing w:line="240" w:lineRule="auto"/>
        <w:jc w:val="center"/>
        <w:rPr>
          <w:rFonts w:ascii="Arial" w:hAnsi="Arial" w:cs="Arial"/>
          <w:b/>
          <w:bCs/>
          <w:sz w:val="20"/>
          <w:szCs w:val="20"/>
        </w:rPr>
      </w:pPr>
      <w:bookmarkStart w:id="0" w:name="_Hlk214439687"/>
      <w:r w:rsidRPr="00795FA5">
        <w:rPr>
          <w:rFonts w:ascii="Arial" w:hAnsi="Arial" w:cs="Arial" w:hint="eastAsia"/>
          <w:b/>
          <w:bCs/>
          <w:sz w:val="20"/>
          <w:szCs w:val="20"/>
        </w:rPr>
        <w:t xml:space="preserve">Supplementary Figure 1 </w:t>
      </w:r>
      <w:bookmarkEnd w:id="0"/>
      <w:r w:rsidRPr="00795FA5">
        <w:rPr>
          <w:rFonts w:ascii="Arial" w:hAnsi="Arial" w:cs="Arial" w:hint="eastAsia"/>
          <w:b/>
          <w:bCs/>
          <w:sz w:val="20"/>
          <w:szCs w:val="20"/>
        </w:rPr>
        <w:t>Configuration of the rooftop PV system.</w:t>
      </w:r>
    </w:p>
    <w:p w14:paraId="2643F346" w14:textId="245E530C" w:rsidR="003F432C" w:rsidRDefault="0046732C" w:rsidP="003F432C">
      <w:pPr>
        <w:spacing w:line="240" w:lineRule="auto"/>
        <w:jc w:val="both"/>
        <w:rPr>
          <w:rFonts w:ascii="Arial" w:hAnsi="Arial" w:cs="Arial"/>
          <w:sz w:val="20"/>
          <w:szCs w:val="20"/>
        </w:rPr>
      </w:pPr>
      <w:r w:rsidRPr="0046732C">
        <w:rPr>
          <w:rFonts w:ascii="Arial" w:hAnsi="Arial" w:cs="Arial"/>
          <w:sz w:val="20"/>
          <w:szCs w:val="20"/>
        </w:rPr>
        <w:t xml:space="preserve">The experimental platform is powered by both rooftop </w:t>
      </w:r>
      <w:r>
        <w:rPr>
          <w:rFonts w:ascii="Arial" w:hAnsi="Arial" w:cs="Arial" w:hint="eastAsia"/>
          <w:sz w:val="20"/>
          <w:szCs w:val="20"/>
        </w:rPr>
        <w:t>PV</w:t>
      </w:r>
      <w:r w:rsidRPr="0046732C">
        <w:rPr>
          <w:rFonts w:ascii="Arial" w:hAnsi="Arial" w:cs="Arial"/>
          <w:sz w:val="20"/>
          <w:szCs w:val="20"/>
        </w:rPr>
        <w:t xml:space="preserve"> panels and the utility grid, as shown in Supplementary Figure 1. During periods of sufficient solar radiation, the rooftop PV system generates electricity to supply the building, with any surplus energy stored in the lithium battery. When solar radiation is insufficient, the system prioritizes the use of energy stored in the battery to power the building until the battery reaches its lower state-of-charge (SOC) limit, after which power is drawn from the utility grid.</w:t>
      </w:r>
      <w:r>
        <w:rPr>
          <w:rFonts w:ascii="Arial" w:hAnsi="Arial" w:cs="Arial" w:hint="eastAsia"/>
          <w:sz w:val="20"/>
          <w:szCs w:val="20"/>
        </w:rPr>
        <w:t xml:space="preserve"> </w:t>
      </w:r>
      <w:r w:rsidR="003F432C" w:rsidRPr="003F432C">
        <w:rPr>
          <w:rFonts w:ascii="Arial" w:hAnsi="Arial" w:cs="Arial"/>
          <w:sz w:val="20"/>
          <w:szCs w:val="20"/>
        </w:rPr>
        <w:t>The experimental objectives are twofold: first, to conduct field measurements of the rooftop PV power generation efficiency and hourly energy output in the local high-altitude environment; and second, to validate the feasibility of the PV-based energy system in the context of a high-altitude station, demonstrating the zero-carbon potential of the proposed system. As an illustrative example, detailed experimental results for a typical heating month (January 2023) are presented in Supplementary Figure 2.</w:t>
      </w:r>
    </w:p>
    <w:p w14:paraId="6B90A99B" w14:textId="77777777" w:rsidR="003F432C" w:rsidRDefault="003F432C" w:rsidP="003F432C">
      <w:pPr>
        <w:spacing w:line="240" w:lineRule="auto"/>
        <w:rPr>
          <w:rFonts w:ascii="Arial" w:hAnsi="Arial" w:cs="Arial"/>
          <w:sz w:val="20"/>
          <w:szCs w:val="20"/>
        </w:rPr>
      </w:pPr>
    </w:p>
    <w:p w14:paraId="2DE67171" w14:textId="3B147200" w:rsidR="003F432C" w:rsidRDefault="003F432C" w:rsidP="003F432C">
      <w:pPr>
        <w:spacing w:line="240" w:lineRule="auto"/>
        <w:rPr>
          <w:rFonts w:ascii="Arial" w:hAnsi="Arial" w:cs="Arial"/>
          <w:b/>
          <w:bCs/>
          <w:sz w:val="24"/>
        </w:rPr>
      </w:pPr>
      <w:r w:rsidRPr="003F432C">
        <w:rPr>
          <w:rFonts w:hint="eastAsia"/>
          <w:noProof/>
        </w:rPr>
        <w:lastRenderedPageBreak/>
        <w:drawing>
          <wp:inline distT="0" distB="0" distL="0" distR="0" wp14:anchorId="7B4EDDC6" wp14:editId="3FE2666E">
            <wp:extent cx="6188710" cy="5937885"/>
            <wp:effectExtent l="0" t="0" r="0" b="5715"/>
            <wp:docPr id="19345525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5937885"/>
                    </a:xfrm>
                    <a:prstGeom prst="rect">
                      <a:avLst/>
                    </a:prstGeom>
                    <a:noFill/>
                    <a:ln>
                      <a:noFill/>
                    </a:ln>
                  </pic:spPr>
                </pic:pic>
              </a:graphicData>
            </a:graphic>
          </wp:inline>
        </w:drawing>
      </w:r>
    </w:p>
    <w:p w14:paraId="3E232EF9" w14:textId="1F528CAD" w:rsidR="00F50192" w:rsidRDefault="00341F74" w:rsidP="00341F74">
      <w:pPr>
        <w:spacing w:after="0" w:line="240" w:lineRule="auto"/>
        <w:jc w:val="center"/>
        <w:rPr>
          <w:rFonts w:ascii="Arial" w:hAnsi="Arial" w:cs="Arial"/>
          <w:b/>
          <w:bCs/>
          <w:sz w:val="24"/>
        </w:rPr>
      </w:pPr>
      <w:r w:rsidRPr="00341F74">
        <w:rPr>
          <w:rFonts w:ascii="Arial" w:hAnsi="Arial" w:cs="Arial"/>
          <w:b/>
          <w:bCs/>
          <w:sz w:val="20"/>
          <w:szCs w:val="20"/>
        </w:rPr>
        <w:t>Supplementary Figure 2. Experimental results of the rooftop PV platform during typical day</w:t>
      </w:r>
      <w:r>
        <w:rPr>
          <w:rFonts w:ascii="Arial" w:hAnsi="Arial" w:cs="Arial" w:hint="eastAsia"/>
          <w:b/>
          <w:bCs/>
          <w:sz w:val="20"/>
          <w:szCs w:val="20"/>
        </w:rPr>
        <w:t>s</w:t>
      </w:r>
      <w:r w:rsidRPr="00341F74">
        <w:rPr>
          <w:rFonts w:ascii="Arial" w:hAnsi="Arial" w:cs="Arial"/>
          <w:b/>
          <w:bCs/>
          <w:sz w:val="20"/>
          <w:szCs w:val="20"/>
        </w:rPr>
        <w:t xml:space="preserve"> in the heating season.</w:t>
      </w:r>
      <w:r w:rsidRPr="00341F74">
        <w:rPr>
          <w:rFonts w:ascii="Arial" w:hAnsi="Arial" w:cs="Arial"/>
          <w:b/>
          <w:bCs/>
          <w:sz w:val="20"/>
          <w:szCs w:val="20"/>
        </w:rPr>
        <w:br/>
      </w:r>
      <w:r w:rsidRPr="00341F74">
        <w:rPr>
          <w:rFonts w:ascii="Arial" w:hAnsi="Arial" w:cs="Arial" w:hint="eastAsia"/>
          <w:b/>
          <w:bCs/>
          <w:sz w:val="20"/>
          <w:szCs w:val="20"/>
        </w:rPr>
        <w:t>a</w:t>
      </w:r>
      <w:r w:rsidRPr="00341F74">
        <w:rPr>
          <w:rFonts w:ascii="Arial" w:hAnsi="Arial" w:cs="Arial"/>
          <w:sz w:val="20"/>
          <w:szCs w:val="20"/>
        </w:rPr>
        <w:t xml:space="preserve"> Power balance of the experimental platform</w:t>
      </w:r>
      <w:r w:rsidRPr="00341F74">
        <w:rPr>
          <w:rFonts w:ascii="Arial" w:hAnsi="Arial" w:cs="Arial"/>
          <w:sz w:val="20"/>
          <w:szCs w:val="20"/>
        </w:rPr>
        <w:br/>
      </w:r>
      <w:r w:rsidRPr="00341F74">
        <w:rPr>
          <w:rFonts w:ascii="Arial" w:hAnsi="Arial" w:cs="Arial" w:hint="eastAsia"/>
          <w:b/>
          <w:bCs/>
          <w:sz w:val="20"/>
          <w:szCs w:val="20"/>
        </w:rPr>
        <w:t>b</w:t>
      </w:r>
      <w:r w:rsidRPr="00341F74">
        <w:rPr>
          <w:rFonts w:ascii="Arial" w:hAnsi="Arial" w:cs="Arial"/>
          <w:sz w:val="20"/>
          <w:szCs w:val="20"/>
        </w:rPr>
        <w:t xml:space="preserve"> Solar irradiance</w:t>
      </w:r>
      <w:r w:rsidRPr="00341F74">
        <w:rPr>
          <w:rFonts w:ascii="Arial" w:hAnsi="Arial" w:cs="Arial"/>
          <w:sz w:val="20"/>
          <w:szCs w:val="20"/>
        </w:rPr>
        <w:br/>
      </w:r>
      <w:r w:rsidRPr="00341F74">
        <w:rPr>
          <w:rFonts w:ascii="Arial" w:hAnsi="Arial" w:cs="Arial" w:hint="eastAsia"/>
          <w:b/>
          <w:bCs/>
          <w:sz w:val="20"/>
          <w:szCs w:val="20"/>
        </w:rPr>
        <w:t>c</w:t>
      </w:r>
      <w:r w:rsidRPr="00341F74">
        <w:rPr>
          <w:rFonts w:ascii="Arial" w:hAnsi="Arial" w:cs="Arial"/>
          <w:sz w:val="20"/>
          <w:szCs w:val="20"/>
        </w:rPr>
        <w:t xml:space="preserve"> Battery state of charge (SOC)</w:t>
      </w:r>
      <w:r w:rsidRPr="00341F74">
        <w:rPr>
          <w:rFonts w:ascii="Arial" w:hAnsi="Arial" w:cs="Arial"/>
          <w:sz w:val="20"/>
          <w:szCs w:val="20"/>
        </w:rPr>
        <w:br/>
      </w:r>
      <w:r w:rsidRPr="00341F74">
        <w:rPr>
          <w:rFonts w:ascii="Arial" w:hAnsi="Arial" w:cs="Arial" w:hint="eastAsia"/>
          <w:b/>
          <w:bCs/>
          <w:sz w:val="20"/>
          <w:szCs w:val="20"/>
        </w:rPr>
        <w:t>d</w:t>
      </w:r>
      <w:r w:rsidRPr="00341F74">
        <w:rPr>
          <w:rFonts w:ascii="Arial" w:hAnsi="Arial" w:cs="Arial"/>
          <w:sz w:val="20"/>
          <w:szCs w:val="20"/>
        </w:rPr>
        <w:t xml:space="preserve"> Outdoor and indoor air temperatures</w:t>
      </w:r>
      <w:r w:rsidRPr="00341F74">
        <w:rPr>
          <w:rFonts w:ascii="Arial" w:hAnsi="Arial" w:cs="Arial"/>
          <w:sz w:val="20"/>
          <w:szCs w:val="20"/>
        </w:rPr>
        <w:br/>
      </w:r>
      <w:r w:rsidRPr="00341F74">
        <w:rPr>
          <w:rFonts w:ascii="Arial" w:hAnsi="Arial" w:cs="Arial" w:hint="eastAsia"/>
          <w:b/>
          <w:bCs/>
          <w:sz w:val="20"/>
          <w:szCs w:val="20"/>
        </w:rPr>
        <w:t>e</w:t>
      </w:r>
      <w:r w:rsidRPr="00341F74">
        <w:rPr>
          <w:rFonts w:ascii="Arial" w:hAnsi="Arial" w:cs="Arial"/>
          <w:sz w:val="20"/>
          <w:szCs w:val="20"/>
        </w:rPr>
        <w:t xml:space="preserve"> Daily self-sufficiency rate (SSR) performance during a typical month in the heating season</w:t>
      </w:r>
      <w:r w:rsidRPr="00341F74">
        <w:rPr>
          <w:rFonts w:ascii="Arial" w:hAnsi="Arial" w:cs="Arial"/>
          <w:sz w:val="20"/>
          <w:szCs w:val="20"/>
        </w:rPr>
        <w:br/>
      </w:r>
      <w:r w:rsidRPr="00341F74">
        <w:rPr>
          <w:rFonts w:ascii="Arial" w:hAnsi="Arial" w:cs="Arial" w:hint="eastAsia"/>
          <w:b/>
          <w:bCs/>
          <w:sz w:val="20"/>
          <w:szCs w:val="20"/>
        </w:rPr>
        <w:t>f</w:t>
      </w:r>
      <w:r w:rsidRPr="00341F74">
        <w:rPr>
          <w:rFonts w:ascii="Arial" w:hAnsi="Arial" w:cs="Arial"/>
          <w:sz w:val="20"/>
          <w:szCs w:val="20"/>
        </w:rPr>
        <w:t xml:space="preserve"> Daily self-consumption rate (SCR) performance during a typical month in the heating season</w:t>
      </w:r>
    </w:p>
    <w:p w14:paraId="34B84F9E" w14:textId="77777777" w:rsidR="004029B1" w:rsidRDefault="004029B1" w:rsidP="00F50192">
      <w:pPr>
        <w:spacing w:after="0" w:line="240" w:lineRule="auto"/>
        <w:rPr>
          <w:rFonts w:ascii="Arial" w:hAnsi="Arial" w:cs="Arial"/>
          <w:b/>
          <w:bCs/>
          <w:sz w:val="24"/>
        </w:rPr>
        <w:sectPr w:rsidR="004029B1" w:rsidSect="002E1BFB">
          <w:pgSz w:w="11906" w:h="16838"/>
          <w:pgMar w:top="1440" w:right="1080" w:bottom="1440" w:left="1080" w:header="851" w:footer="992" w:gutter="0"/>
          <w:cols w:space="425"/>
          <w:docGrid w:type="lines" w:linePitch="312"/>
        </w:sectPr>
      </w:pPr>
    </w:p>
    <w:p w14:paraId="4EF4AE84" w14:textId="02911F92" w:rsidR="004029B1" w:rsidRDefault="004029B1" w:rsidP="004029B1">
      <w:pPr>
        <w:spacing w:line="360" w:lineRule="auto"/>
        <w:rPr>
          <w:rFonts w:ascii="Arial" w:hAnsi="Arial" w:cs="Arial"/>
          <w:b/>
          <w:bCs/>
          <w:sz w:val="24"/>
        </w:rPr>
      </w:pPr>
      <w:bookmarkStart w:id="1" w:name="_Hlk214441009"/>
      <w:r>
        <w:rPr>
          <w:rFonts w:ascii="Arial" w:hAnsi="Arial" w:cs="Arial" w:hint="eastAsia"/>
          <w:b/>
          <w:bCs/>
          <w:sz w:val="24"/>
        </w:rPr>
        <w:lastRenderedPageBreak/>
        <w:t>Muti-objective Optimization for Smart Operation</w:t>
      </w:r>
      <w:bookmarkEnd w:id="1"/>
    </w:p>
    <w:p w14:paraId="0E9530D6" w14:textId="78A1897C" w:rsidR="00F50192" w:rsidRDefault="005B749F" w:rsidP="005B749F">
      <w:pPr>
        <w:spacing w:after="0" w:line="240" w:lineRule="auto"/>
        <w:jc w:val="both"/>
        <w:rPr>
          <w:rFonts w:ascii="Arial" w:hAnsi="Arial" w:cs="Arial"/>
          <w:sz w:val="20"/>
          <w:szCs w:val="20"/>
        </w:rPr>
      </w:pPr>
      <w:r w:rsidRPr="005B749F">
        <w:rPr>
          <w:rFonts w:ascii="Arial" w:hAnsi="Arial" w:cs="Arial"/>
          <w:sz w:val="20"/>
          <w:szCs w:val="20"/>
        </w:rPr>
        <w:t>This study proposes a two-stage optimization model to simultaneously address the long-term capacity planning and short-term operational scheduling of the PVB-V2B system. The framework is uniquely driven by forecasted passenger flow dynamics, translating ticketing data and weather forecasts into actionable energy management strategies. The overall solution methodology is outlined in Fig. 6a, with the detailed algorithmic steps elaborated below.</w:t>
      </w:r>
    </w:p>
    <w:p w14:paraId="076009CC" w14:textId="4FDF5EE5" w:rsidR="005B749F" w:rsidRDefault="005B749F" w:rsidP="005B749F">
      <w:pPr>
        <w:spacing w:after="0" w:line="240" w:lineRule="auto"/>
        <w:jc w:val="both"/>
        <w:rPr>
          <w:rFonts w:ascii="Arial" w:hAnsi="Arial" w:cs="Arial"/>
          <w:sz w:val="20"/>
          <w:szCs w:val="20"/>
        </w:rPr>
      </w:pPr>
      <w:r w:rsidRPr="005B749F">
        <w:rPr>
          <w:rFonts w:ascii="Arial" w:hAnsi="Arial" w:cs="Arial"/>
          <w:sz w:val="20"/>
          <w:szCs w:val="20"/>
        </w:rPr>
        <w:t>The problem is characterized by three conflicting objectives—maximizing SSR, SCR, and NPV—coupled with a combinatorially complex capacity planning stage. To address this, the Many-Objective Evolutionary Algorithm NSGA-III is employed, which offers enhanced performance in preserving population diversity and ensuring convergence in many-objective search spaces. This capability stems from its niche-preservation operator leveraging a set of well-distributed reference points. Subsequent to the derivation of the Pareto-optimal solution set, the Technique for Order Preference by Similarity to Ideal Solution (TOPSIS) is utilized for final decision-making. By quantifying the proximity to an ideal solution and remoteness from a negative-ideal solution, TOPSIS enables a rational and transparent selection of a single scheduling plan from the non-dominated alternatives, contingent upon the specified decision-maker weights.</w:t>
      </w:r>
      <w:r>
        <w:rPr>
          <w:rFonts w:ascii="Arial" w:hAnsi="Arial" w:cs="Arial" w:hint="eastAsia"/>
          <w:sz w:val="20"/>
          <w:szCs w:val="20"/>
        </w:rPr>
        <w:t xml:space="preserve"> </w:t>
      </w:r>
      <w:r w:rsidRPr="005B749F">
        <w:rPr>
          <w:rFonts w:ascii="Arial" w:hAnsi="Arial" w:cs="Arial"/>
          <w:sz w:val="20"/>
          <w:szCs w:val="20"/>
        </w:rPr>
        <w:t>The solution process for the integrated two-stage problem is implemented through the following sequential steps:</w:t>
      </w:r>
    </w:p>
    <w:p w14:paraId="4308F8FD" w14:textId="77777777" w:rsidR="005B749F" w:rsidRPr="005B749F" w:rsidRDefault="005B749F" w:rsidP="005B749F">
      <w:pPr>
        <w:spacing w:after="0" w:line="240" w:lineRule="auto"/>
        <w:jc w:val="both"/>
        <w:rPr>
          <w:rFonts w:ascii="Arial" w:hAnsi="Arial" w:cs="Arial"/>
          <w:sz w:val="20"/>
          <w:szCs w:val="20"/>
        </w:rPr>
      </w:pPr>
      <w:r w:rsidRPr="005B749F">
        <w:rPr>
          <w:rFonts w:ascii="Arial" w:hAnsi="Arial" w:cs="Arial"/>
          <w:b/>
          <w:bCs/>
          <w:sz w:val="20"/>
          <w:szCs w:val="20"/>
        </w:rPr>
        <w:t>Step 1: Problem Initialization and Population Generation</w:t>
      </w:r>
      <w:r w:rsidRPr="005B749F">
        <w:rPr>
          <w:rFonts w:ascii="Arial" w:hAnsi="Arial" w:cs="Arial"/>
          <w:sz w:val="20"/>
          <w:szCs w:val="20"/>
        </w:rPr>
        <w:br/>
        <w:t>The solution procedure begins with the initialization of the NSGA-III algorithm, where critical parameters such as the population size and the set of reference points are defined. Each individual in the population is encoded using a mixed representation to capture both stages of the optimization problem: the first-stage capacity planning variables—including the number of unidirectional charging piles and the rated capacity of the stationary battery—are encoded as integers and continuous variables, respectively, while the second-stage operational variables, consisting of the 24-hour hourly charge/discharge power of the battery and the V2B charging power, are represented as continuous vectors. An initial parent population is randomly generated, and a dedicated feasibility check is performed to ensure that all operational profiles adhere to the constraints derived from the capacity variables, such as the maximum power limits of the charging piles and the state-of-charge boundaries of the battery; any solution violating these constraints is discarded and regenerated until a complete feasible initial population is obtained.</w:t>
      </w:r>
    </w:p>
    <w:p w14:paraId="4A44E484" w14:textId="77777777" w:rsidR="005B749F" w:rsidRPr="005B749F" w:rsidRDefault="005B749F" w:rsidP="005B749F">
      <w:pPr>
        <w:spacing w:after="0" w:line="240" w:lineRule="auto"/>
        <w:jc w:val="both"/>
        <w:rPr>
          <w:rFonts w:ascii="Arial" w:hAnsi="Arial" w:cs="Arial"/>
          <w:sz w:val="20"/>
          <w:szCs w:val="20"/>
        </w:rPr>
      </w:pPr>
      <w:r w:rsidRPr="005B749F">
        <w:rPr>
          <w:rFonts w:ascii="Arial" w:hAnsi="Arial" w:cs="Arial"/>
          <w:b/>
          <w:bCs/>
          <w:sz w:val="20"/>
          <w:szCs w:val="20"/>
        </w:rPr>
        <w:t>Step 2: Fitness Evaluation via Integrated Two-Stage Simulation</w:t>
      </w:r>
      <w:r w:rsidRPr="005B749F">
        <w:rPr>
          <w:rFonts w:ascii="Arial" w:hAnsi="Arial" w:cs="Arial"/>
          <w:sz w:val="20"/>
          <w:szCs w:val="20"/>
        </w:rPr>
        <w:br/>
        <w:t>In this step, the fitness of each individual is evaluated by simulating its encoded operational strategy over a typical day, using forecasted data including passenger flow, building load, V2B charging potential, and PV generation. The simulation computes the hourly power balance, determining the grid electricity import and enabling the calculation of the three objective functions: the total grid energy consumption (reflecting zero-carbon performance), the total on-site PV self-consumption, and the economic objective, expressed as the net present value, which incorporates both the operational cost savings and the annualized investment costs of the first-stage capacity decisions. This integrated evaluation ensures that the operational performance is always assessed in the context of the underlying infrastructure configuration.</w:t>
      </w:r>
    </w:p>
    <w:p w14:paraId="4FFF774A" w14:textId="77777777" w:rsidR="005B749F" w:rsidRPr="005B749F" w:rsidRDefault="005B749F" w:rsidP="005B749F">
      <w:pPr>
        <w:spacing w:after="0" w:line="240" w:lineRule="auto"/>
        <w:jc w:val="both"/>
        <w:rPr>
          <w:rFonts w:ascii="Arial" w:hAnsi="Arial" w:cs="Arial"/>
          <w:sz w:val="20"/>
          <w:szCs w:val="20"/>
        </w:rPr>
      </w:pPr>
      <w:r w:rsidRPr="005B749F">
        <w:rPr>
          <w:rFonts w:ascii="Arial" w:hAnsi="Arial" w:cs="Arial"/>
          <w:b/>
          <w:bCs/>
          <w:sz w:val="20"/>
          <w:szCs w:val="20"/>
        </w:rPr>
        <w:t>Step 3: Evolutionary Optimization and Offspring Generation</w:t>
      </w:r>
      <w:r w:rsidRPr="005B749F">
        <w:rPr>
          <w:rFonts w:ascii="Arial" w:hAnsi="Arial" w:cs="Arial"/>
          <w:sz w:val="20"/>
          <w:szCs w:val="20"/>
        </w:rPr>
        <w:br/>
        <w:t xml:space="preserve">The evaluated population then proceeds through the evolutionary operations of NSGA-III. Individuals are classified into non-domination ranks and selectively retained based on their rank and niche count relative to the predefined reference points, a mechanism essential for maintaining diversity across the three objectives. A mating pool is formed via tournament selection, and new offspring are generated through crossover and </w:t>
      </w:r>
      <w:r w:rsidRPr="005B749F">
        <w:rPr>
          <w:rFonts w:ascii="Arial" w:hAnsi="Arial" w:cs="Arial"/>
          <w:sz w:val="20"/>
          <w:szCs w:val="20"/>
        </w:rPr>
        <w:lastRenderedPageBreak/>
        <w:t>mutation operations designed to handle the mixed variable types. Each newly created offspring undergoes a feasibility verification to ensure compliance with all operational constraints; if violations are detected, the variation operations are repeated until a feasible offspring is produced, thereby maintaining the integrity of the population throughout the search process.</w:t>
      </w:r>
    </w:p>
    <w:p w14:paraId="16903BD6" w14:textId="77777777" w:rsidR="005B749F" w:rsidRPr="005B749F" w:rsidRDefault="005B749F" w:rsidP="005B749F">
      <w:pPr>
        <w:spacing w:after="0" w:line="240" w:lineRule="auto"/>
        <w:jc w:val="both"/>
        <w:rPr>
          <w:rFonts w:ascii="Arial" w:hAnsi="Arial" w:cs="Arial"/>
          <w:sz w:val="20"/>
          <w:szCs w:val="20"/>
        </w:rPr>
      </w:pPr>
      <w:r w:rsidRPr="005B749F">
        <w:rPr>
          <w:rFonts w:ascii="Arial" w:hAnsi="Arial" w:cs="Arial"/>
          <w:b/>
          <w:bCs/>
          <w:sz w:val="20"/>
          <w:szCs w:val="20"/>
        </w:rPr>
        <w:t>Step 4: Iterative Search and Final Decision-Making</w:t>
      </w:r>
      <w:r w:rsidRPr="005B749F">
        <w:rPr>
          <w:rFonts w:ascii="Arial" w:hAnsi="Arial" w:cs="Arial"/>
          <w:sz w:val="20"/>
          <w:szCs w:val="20"/>
        </w:rPr>
        <w:br/>
        <w:t>Steps 2 and 3 are repeated iteratively until the maximum number of generations is reached, at which point the algorithm converges to a Pareto-optimal set of non-dominated solutions. This set represents the best possible trade-offs among the three conflicting objectives. To select a single implementable solution from this set, the TOPSIS method is applied. The Pareto-optimal solutions are normalized, and their Euclidean distances to the ideal and negative-ideal solutions are computed. The solution with the highest relative closeness to the ideal point is selected as the final best-compromise solution, providing a clear and justified decision that integrates both the long-term capacity plan and the short-term operational schedule.</w:t>
      </w:r>
    </w:p>
    <w:p w14:paraId="46181216" w14:textId="77777777" w:rsidR="005B749F" w:rsidRDefault="005B749F" w:rsidP="005B749F">
      <w:pPr>
        <w:spacing w:after="0" w:line="240" w:lineRule="auto"/>
        <w:jc w:val="both"/>
        <w:rPr>
          <w:rFonts w:ascii="Arial" w:hAnsi="Arial" w:cs="Arial"/>
          <w:sz w:val="20"/>
          <w:szCs w:val="20"/>
        </w:rPr>
      </w:pPr>
    </w:p>
    <w:p w14:paraId="544EC53C" w14:textId="77777777" w:rsidR="005B749F" w:rsidRDefault="005B749F" w:rsidP="005B749F">
      <w:pPr>
        <w:spacing w:after="0" w:line="240" w:lineRule="auto"/>
        <w:jc w:val="both"/>
        <w:rPr>
          <w:rFonts w:ascii="Arial" w:hAnsi="Arial" w:cs="Arial"/>
          <w:sz w:val="20"/>
          <w:szCs w:val="20"/>
        </w:rPr>
      </w:pPr>
    </w:p>
    <w:p w14:paraId="03A70E22" w14:textId="77777777" w:rsidR="005B749F" w:rsidRDefault="005B749F" w:rsidP="005B749F">
      <w:pPr>
        <w:spacing w:after="0" w:line="240" w:lineRule="auto"/>
        <w:jc w:val="both"/>
        <w:rPr>
          <w:rFonts w:ascii="Arial" w:hAnsi="Arial" w:cs="Arial"/>
          <w:sz w:val="20"/>
          <w:szCs w:val="20"/>
        </w:rPr>
      </w:pPr>
    </w:p>
    <w:p w14:paraId="3A50D32C" w14:textId="77777777" w:rsidR="005B749F" w:rsidRDefault="005B749F" w:rsidP="005B749F">
      <w:pPr>
        <w:spacing w:after="0" w:line="240" w:lineRule="auto"/>
        <w:jc w:val="both"/>
        <w:rPr>
          <w:rFonts w:ascii="Arial" w:hAnsi="Arial" w:cs="Arial"/>
          <w:sz w:val="20"/>
          <w:szCs w:val="20"/>
        </w:rPr>
      </w:pPr>
    </w:p>
    <w:p w14:paraId="33B5858E" w14:textId="77777777" w:rsidR="005B749F" w:rsidRDefault="005B749F" w:rsidP="005B749F">
      <w:pPr>
        <w:spacing w:after="0" w:line="240" w:lineRule="auto"/>
        <w:jc w:val="both"/>
        <w:rPr>
          <w:rFonts w:ascii="Arial" w:hAnsi="Arial" w:cs="Arial"/>
          <w:sz w:val="20"/>
          <w:szCs w:val="20"/>
        </w:rPr>
      </w:pPr>
    </w:p>
    <w:p w14:paraId="5AE6C1E5" w14:textId="77777777" w:rsidR="005B749F" w:rsidRDefault="005B749F" w:rsidP="005B749F">
      <w:pPr>
        <w:spacing w:after="0" w:line="240" w:lineRule="auto"/>
        <w:jc w:val="both"/>
        <w:rPr>
          <w:rFonts w:ascii="Arial" w:hAnsi="Arial" w:cs="Arial"/>
          <w:sz w:val="20"/>
          <w:szCs w:val="20"/>
        </w:rPr>
      </w:pPr>
    </w:p>
    <w:p w14:paraId="386AD37D" w14:textId="77777777" w:rsidR="005B749F" w:rsidRDefault="005B749F" w:rsidP="005B749F">
      <w:pPr>
        <w:spacing w:after="0" w:line="240" w:lineRule="auto"/>
        <w:jc w:val="both"/>
        <w:rPr>
          <w:rFonts w:ascii="Arial" w:hAnsi="Arial" w:cs="Arial"/>
          <w:sz w:val="20"/>
          <w:szCs w:val="20"/>
        </w:rPr>
      </w:pPr>
    </w:p>
    <w:p w14:paraId="3D2EAB18" w14:textId="77777777" w:rsidR="005B749F" w:rsidRDefault="005B749F" w:rsidP="005B749F">
      <w:pPr>
        <w:spacing w:after="0" w:line="240" w:lineRule="auto"/>
        <w:jc w:val="both"/>
        <w:rPr>
          <w:rFonts w:ascii="Arial" w:hAnsi="Arial" w:cs="Arial"/>
          <w:sz w:val="20"/>
          <w:szCs w:val="20"/>
        </w:rPr>
      </w:pPr>
    </w:p>
    <w:p w14:paraId="72EDF800" w14:textId="77777777" w:rsidR="005B749F" w:rsidRDefault="005B749F" w:rsidP="005B749F">
      <w:pPr>
        <w:spacing w:after="0" w:line="240" w:lineRule="auto"/>
        <w:jc w:val="both"/>
        <w:rPr>
          <w:rFonts w:ascii="Arial" w:hAnsi="Arial" w:cs="Arial"/>
          <w:sz w:val="20"/>
          <w:szCs w:val="20"/>
        </w:rPr>
      </w:pPr>
    </w:p>
    <w:p w14:paraId="2554B649" w14:textId="10CF2B29" w:rsidR="002E1BFB" w:rsidRDefault="001F6A5F" w:rsidP="002E1BFB">
      <w:pPr>
        <w:spacing w:line="360" w:lineRule="auto"/>
        <w:rPr>
          <w:rFonts w:ascii="Arial" w:hAnsi="Arial" w:cs="Arial"/>
          <w:b/>
          <w:bCs/>
          <w:sz w:val="24"/>
        </w:rPr>
      </w:pPr>
      <w:r w:rsidRPr="001F6A5F">
        <w:rPr>
          <w:rFonts w:ascii="Arial" w:hAnsi="Arial" w:cs="Arial"/>
          <w:b/>
          <w:bCs/>
          <w:sz w:val="24"/>
        </w:rPr>
        <w:t>Supplementary Table 1</w:t>
      </w:r>
      <w:r>
        <w:rPr>
          <w:rFonts w:ascii="Arial" w:hAnsi="Arial" w:cs="Arial" w:hint="eastAsia"/>
          <w:b/>
          <w:bCs/>
          <w:sz w:val="24"/>
        </w:rPr>
        <w:t xml:space="preserve"> Parameter list of candidate devices.</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2070"/>
        <w:gridCol w:w="2880"/>
      </w:tblGrid>
      <w:tr w:rsidR="00C8339C" w14:paraId="30E476BB" w14:textId="77777777" w:rsidTr="00D90D5B">
        <w:tc>
          <w:tcPr>
            <w:tcW w:w="4585" w:type="dxa"/>
            <w:tcBorders>
              <w:top w:val="single" w:sz="4" w:space="0" w:color="auto"/>
              <w:bottom w:val="single" w:sz="4" w:space="0" w:color="auto"/>
            </w:tcBorders>
          </w:tcPr>
          <w:p w14:paraId="2C96B4BF" w14:textId="62DB7D96" w:rsidR="00C8339C" w:rsidRPr="00E54A3F" w:rsidRDefault="00C8339C" w:rsidP="002E1BFB">
            <w:pPr>
              <w:spacing w:line="360" w:lineRule="auto"/>
              <w:rPr>
                <w:rFonts w:ascii="Arial" w:hAnsi="Arial" w:cs="Arial"/>
                <w:sz w:val="21"/>
                <w:szCs w:val="21"/>
              </w:rPr>
            </w:pPr>
            <w:r w:rsidRPr="00E54A3F">
              <w:rPr>
                <w:rFonts w:ascii="Arial" w:hAnsi="Arial" w:cs="Arial" w:hint="eastAsia"/>
                <w:sz w:val="21"/>
                <w:szCs w:val="21"/>
              </w:rPr>
              <w:t>Device</w:t>
            </w:r>
          </w:p>
        </w:tc>
        <w:tc>
          <w:tcPr>
            <w:tcW w:w="2070" w:type="dxa"/>
            <w:tcBorders>
              <w:top w:val="single" w:sz="4" w:space="0" w:color="auto"/>
              <w:bottom w:val="single" w:sz="4" w:space="0" w:color="auto"/>
            </w:tcBorders>
          </w:tcPr>
          <w:p w14:paraId="2CA0C507" w14:textId="06CAEC7D" w:rsidR="00C8339C" w:rsidRPr="00E54A3F" w:rsidRDefault="00C8339C" w:rsidP="002E1BFB">
            <w:pPr>
              <w:spacing w:line="360" w:lineRule="auto"/>
              <w:rPr>
                <w:rFonts w:ascii="Arial" w:hAnsi="Arial" w:cs="Arial"/>
                <w:sz w:val="21"/>
                <w:szCs w:val="21"/>
              </w:rPr>
            </w:pPr>
            <w:r w:rsidRPr="00E54A3F">
              <w:rPr>
                <w:rFonts w:ascii="Arial" w:hAnsi="Arial" w:cs="Arial"/>
                <w:sz w:val="21"/>
                <w:szCs w:val="21"/>
              </w:rPr>
              <w:t>L</w:t>
            </w:r>
            <w:r w:rsidRPr="00E54A3F">
              <w:rPr>
                <w:rFonts w:ascii="Arial" w:hAnsi="Arial" w:cs="Arial" w:hint="eastAsia"/>
                <w:sz w:val="21"/>
                <w:szCs w:val="21"/>
              </w:rPr>
              <w:t>ifetime</w:t>
            </w:r>
          </w:p>
        </w:tc>
        <w:tc>
          <w:tcPr>
            <w:tcW w:w="2880" w:type="dxa"/>
            <w:tcBorders>
              <w:top w:val="single" w:sz="4" w:space="0" w:color="auto"/>
              <w:bottom w:val="single" w:sz="4" w:space="0" w:color="auto"/>
            </w:tcBorders>
          </w:tcPr>
          <w:p w14:paraId="2EB35584" w14:textId="01A8AAEF" w:rsidR="00C8339C" w:rsidRPr="00E54A3F" w:rsidRDefault="00C8339C" w:rsidP="002E1BFB">
            <w:pPr>
              <w:spacing w:line="360" w:lineRule="auto"/>
              <w:rPr>
                <w:rFonts w:ascii="Arial" w:hAnsi="Arial" w:cs="Arial"/>
                <w:sz w:val="21"/>
                <w:szCs w:val="21"/>
              </w:rPr>
            </w:pPr>
            <w:r w:rsidRPr="00E54A3F">
              <w:rPr>
                <w:rFonts w:ascii="Arial" w:hAnsi="Arial" w:cs="Arial" w:hint="eastAsia"/>
                <w:sz w:val="21"/>
                <w:szCs w:val="21"/>
              </w:rPr>
              <w:t>Investment</w:t>
            </w:r>
          </w:p>
        </w:tc>
      </w:tr>
      <w:tr w:rsidR="00C8339C" w14:paraId="59A00B00" w14:textId="77777777" w:rsidTr="00D90D5B">
        <w:tc>
          <w:tcPr>
            <w:tcW w:w="4585" w:type="dxa"/>
            <w:tcBorders>
              <w:top w:val="single" w:sz="4" w:space="0" w:color="auto"/>
            </w:tcBorders>
          </w:tcPr>
          <w:p w14:paraId="1FFB84DE" w14:textId="2F9D4DDF" w:rsidR="00C8339C" w:rsidRPr="009D671B" w:rsidRDefault="00C8339C" w:rsidP="002E1BFB">
            <w:pPr>
              <w:spacing w:line="360" w:lineRule="auto"/>
              <w:rPr>
                <w:rFonts w:ascii="Arial" w:hAnsi="Arial" w:cs="Arial"/>
                <w:sz w:val="21"/>
                <w:szCs w:val="21"/>
              </w:rPr>
            </w:pPr>
            <w:r w:rsidRPr="009D671B">
              <w:rPr>
                <w:rFonts w:ascii="Arial" w:hAnsi="Arial" w:cs="Arial"/>
                <w:sz w:val="21"/>
                <w:szCs w:val="21"/>
              </w:rPr>
              <w:t>R</w:t>
            </w:r>
            <w:r w:rsidRPr="009D671B">
              <w:rPr>
                <w:rFonts w:ascii="Arial" w:hAnsi="Arial" w:cs="Arial" w:hint="eastAsia"/>
                <w:sz w:val="21"/>
                <w:szCs w:val="21"/>
              </w:rPr>
              <w:t>ooftop PV system</w:t>
            </w:r>
            <w:r w:rsidR="0055404F" w:rsidRPr="009D671B">
              <w:rPr>
                <w:rFonts w:ascii="Arial" w:hAnsi="Arial" w:cs="Arial" w:hint="eastAsia"/>
                <w:sz w:val="21"/>
                <w:szCs w:val="21"/>
              </w:rPr>
              <w:t xml:space="preserve"> [1</w:t>
            </w:r>
            <w:r w:rsidR="009D671B">
              <w:rPr>
                <w:rFonts w:ascii="Arial" w:hAnsi="Arial" w:cs="Arial" w:hint="eastAsia"/>
                <w:sz w:val="21"/>
                <w:szCs w:val="21"/>
              </w:rPr>
              <w:t>,2</w:t>
            </w:r>
            <w:r w:rsidR="0055404F" w:rsidRPr="009D671B">
              <w:rPr>
                <w:rFonts w:ascii="Arial" w:hAnsi="Arial" w:cs="Arial" w:hint="eastAsia"/>
                <w:sz w:val="21"/>
                <w:szCs w:val="21"/>
              </w:rPr>
              <w:t>]</w:t>
            </w:r>
          </w:p>
        </w:tc>
        <w:tc>
          <w:tcPr>
            <w:tcW w:w="2070" w:type="dxa"/>
            <w:tcBorders>
              <w:top w:val="single" w:sz="4" w:space="0" w:color="auto"/>
            </w:tcBorders>
          </w:tcPr>
          <w:p w14:paraId="0F24F0EC" w14:textId="79CB6FEE"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20 years</w:t>
            </w:r>
          </w:p>
        </w:tc>
        <w:tc>
          <w:tcPr>
            <w:tcW w:w="2880" w:type="dxa"/>
            <w:tcBorders>
              <w:top w:val="single" w:sz="4" w:space="0" w:color="auto"/>
            </w:tcBorders>
          </w:tcPr>
          <w:p w14:paraId="173B5106" w14:textId="6EF2DF30"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570 US$/kWp</w:t>
            </w:r>
          </w:p>
        </w:tc>
      </w:tr>
      <w:tr w:rsidR="00C8339C" w14:paraId="5F071100" w14:textId="77777777" w:rsidTr="00D90D5B">
        <w:tc>
          <w:tcPr>
            <w:tcW w:w="4585" w:type="dxa"/>
          </w:tcPr>
          <w:p w14:paraId="14AFCC71" w14:textId="4D98193E" w:rsidR="00C8339C" w:rsidRPr="009D671B" w:rsidRDefault="00C8339C" w:rsidP="002E1BFB">
            <w:pPr>
              <w:spacing w:line="360" w:lineRule="auto"/>
              <w:rPr>
                <w:rFonts w:ascii="Arial" w:hAnsi="Arial" w:cs="Arial"/>
                <w:sz w:val="21"/>
                <w:szCs w:val="21"/>
              </w:rPr>
            </w:pPr>
            <w:r w:rsidRPr="009D671B">
              <w:rPr>
                <w:rFonts w:ascii="Arial" w:hAnsi="Arial" w:cs="Arial" w:hint="eastAsia"/>
                <w:sz w:val="21"/>
                <w:szCs w:val="21"/>
              </w:rPr>
              <w:t>Lithium battery</w:t>
            </w:r>
            <w:r w:rsidR="0055404F" w:rsidRPr="009D671B">
              <w:rPr>
                <w:rFonts w:ascii="Arial" w:hAnsi="Arial" w:cs="Arial" w:hint="eastAsia"/>
                <w:sz w:val="21"/>
                <w:szCs w:val="21"/>
              </w:rPr>
              <w:t xml:space="preserve"> [</w:t>
            </w:r>
            <w:r w:rsidR="009D671B">
              <w:rPr>
                <w:rFonts w:ascii="Arial" w:hAnsi="Arial" w:cs="Arial" w:hint="eastAsia"/>
                <w:sz w:val="21"/>
                <w:szCs w:val="21"/>
              </w:rPr>
              <w:t>3,4</w:t>
            </w:r>
            <w:r w:rsidR="0055404F" w:rsidRPr="009D671B">
              <w:rPr>
                <w:rFonts w:ascii="Arial" w:hAnsi="Arial" w:cs="Arial" w:hint="eastAsia"/>
                <w:sz w:val="21"/>
                <w:szCs w:val="21"/>
              </w:rPr>
              <w:t>]</w:t>
            </w:r>
          </w:p>
        </w:tc>
        <w:tc>
          <w:tcPr>
            <w:tcW w:w="2070" w:type="dxa"/>
          </w:tcPr>
          <w:p w14:paraId="3742C8B8" w14:textId="7E48D529"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10 years</w:t>
            </w:r>
          </w:p>
        </w:tc>
        <w:tc>
          <w:tcPr>
            <w:tcW w:w="2880" w:type="dxa"/>
          </w:tcPr>
          <w:p w14:paraId="181B0121" w14:textId="647EB469"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140 US$/kWh</w:t>
            </w:r>
          </w:p>
        </w:tc>
      </w:tr>
      <w:tr w:rsidR="00C8339C" w14:paraId="3E095506" w14:textId="77777777" w:rsidTr="00D90D5B">
        <w:tc>
          <w:tcPr>
            <w:tcW w:w="4585" w:type="dxa"/>
          </w:tcPr>
          <w:p w14:paraId="5A4C9618" w14:textId="62BCD28E" w:rsidR="00C8339C" w:rsidRPr="009D671B" w:rsidRDefault="00C8339C" w:rsidP="002E1BFB">
            <w:pPr>
              <w:spacing w:line="360" w:lineRule="auto"/>
              <w:rPr>
                <w:rFonts w:ascii="Arial" w:hAnsi="Arial" w:cs="Arial"/>
                <w:sz w:val="21"/>
                <w:szCs w:val="21"/>
              </w:rPr>
            </w:pPr>
            <w:r w:rsidRPr="009D671B">
              <w:rPr>
                <w:rFonts w:ascii="Arial" w:hAnsi="Arial" w:cs="Arial" w:hint="eastAsia"/>
                <w:sz w:val="21"/>
                <w:szCs w:val="21"/>
              </w:rPr>
              <w:t>Electrolyser</w:t>
            </w:r>
            <w:r w:rsidR="0055404F" w:rsidRPr="009D671B">
              <w:rPr>
                <w:rFonts w:ascii="Arial" w:hAnsi="Arial" w:cs="Arial" w:hint="eastAsia"/>
                <w:sz w:val="21"/>
                <w:szCs w:val="21"/>
              </w:rPr>
              <w:t xml:space="preserve"> [</w:t>
            </w:r>
            <w:r w:rsidR="004526D9">
              <w:rPr>
                <w:rFonts w:ascii="Arial" w:hAnsi="Arial" w:cs="Arial" w:hint="eastAsia"/>
                <w:sz w:val="21"/>
                <w:szCs w:val="21"/>
              </w:rPr>
              <w:t>5</w:t>
            </w:r>
            <w:r w:rsidR="0055404F" w:rsidRPr="009D671B">
              <w:rPr>
                <w:rFonts w:ascii="Arial" w:hAnsi="Arial" w:cs="Arial" w:hint="eastAsia"/>
                <w:sz w:val="21"/>
                <w:szCs w:val="21"/>
              </w:rPr>
              <w:t>]</w:t>
            </w:r>
          </w:p>
        </w:tc>
        <w:tc>
          <w:tcPr>
            <w:tcW w:w="2070" w:type="dxa"/>
          </w:tcPr>
          <w:p w14:paraId="47270743" w14:textId="13FEDBCD"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20 years</w:t>
            </w:r>
          </w:p>
        </w:tc>
        <w:tc>
          <w:tcPr>
            <w:tcW w:w="2880" w:type="dxa"/>
          </w:tcPr>
          <w:p w14:paraId="3F4E6870" w14:textId="6DEE5C7C"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280 US$/</w:t>
            </w:r>
            <w:r w:rsidR="00E16E55">
              <w:rPr>
                <w:rFonts w:ascii="Arial" w:hAnsi="Arial" w:cs="Arial" w:hint="eastAsia"/>
                <w:sz w:val="21"/>
                <w:szCs w:val="21"/>
              </w:rPr>
              <w:t>kW</w:t>
            </w:r>
          </w:p>
        </w:tc>
      </w:tr>
      <w:tr w:rsidR="00C8339C" w14:paraId="3A6E95B5" w14:textId="77777777" w:rsidTr="00D90D5B">
        <w:tc>
          <w:tcPr>
            <w:tcW w:w="4585" w:type="dxa"/>
          </w:tcPr>
          <w:p w14:paraId="7BA7253F" w14:textId="27DE4AC8" w:rsidR="00C8339C" w:rsidRPr="009D671B" w:rsidRDefault="00C8339C" w:rsidP="002E1BFB">
            <w:pPr>
              <w:spacing w:line="360" w:lineRule="auto"/>
              <w:rPr>
                <w:rFonts w:ascii="Arial" w:hAnsi="Arial" w:cs="Arial"/>
                <w:sz w:val="21"/>
                <w:szCs w:val="21"/>
              </w:rPr>
            </w:pPr>
            <w:r w:rsidRPr="009D671B">
              <w:rPr>
                <w:rFonts w:ascii="Arial" w:hAnsi="Arial" w:cs="Arial" w:hint="eastAsia"/>
                <w:sz w:val="21"/>
                <w:szCs w:val="21"/>
              </w:rPr>
              <w:t>Hydrogen storage tank</w:t>
            </w:r>
            <w:r w:rsidR="0055404F" w:rsidRPr="009D671B">
              <w:rPr>
                <w:rFonts w:ascii="Arial" w:hAnsi="Arial" w:cs="Arial" w:hint="eastAsia"/>
                <w:sz w:val="21"/>
                <w:szCs w:val="21"/>
              </w:rPr>
              <w:t xml:space="preserve"> [</w:t>
            </w:r>
            <w:r w:rsidR="004526D9">
              <w:rPr>
                <w:rFonts w:ascii="Arial" w:hAnsi="Arial" w:cs="Arial" w:hint="eastAsia"/>
                <w:sz w:val="21"/>
                <w:szCs w:val="21"/>
              </w:rPr>
              <w:t>5</w:t>
            </w:r>
            <w:r w:rsidR="0055404F" w:rsidRPr="009D671B">
              <w:rPr>
                <w:rFonts w:ascii="Arial" w:hAnsi="Arial" w:cs="Arial" w:hint="eastAsia"/>
                <w:sz w:val="21"/>
                <w:szCs w:val="21"/>
              </w:rPr>
              <w:t>]</w:t>
            </w:r>
          </w:p>
        </w:tc>
        <w:tc>
          <w:tcPr>
            <w:tcW w:w="2070" w:type="dxa"/>
          </w:tcPr>
          <w:p w14:paraId="564CDE0B" w14:textId="730CBBA8"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20 years</w:t>
            </w:r>
          </w:p>
        </w:tc>
        <w:tc>
          <w:tcPr>
            <w:tcW w:w="2880" w:type="dxa"/>
          </w:tcPr>
          <w:p w14:paraId="5DEF2516" w14:textId="3B88343F"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420 US$/kg</w:t>
            </w:r>
          </w:p>
        </w:tc>
      </w:tr>
      <w:tr w:rsidR="00C8339C" w14:paraId="084A189A" w14:textId="77777777" w:rsidTr="00D90D5B">
        <w:tc>
          <w:tcPr>
            <w:tcW w:w="4585" w:type="dxa"/>
          </w:tcPr>
          <w:p w14:paraId="17CF06C1" w14:textId="7291A580" w:rsidR="00C8339C" w:rsidRPr="009D671B" w:rsidRDefault="00C8339C" w:rsidP="002E1BFB">
            <w:pPr>
              <w:spacing w:line="360" w:lineRule="auto"/>
              <w:rPr>
                <w:rFonts w:ascii="Arial" w:hAnsi="Arial" w:cs="Arial"/>
                <w:sz w:val="21"/>
                <w:szCs w:val="21"/>
              </w:rPr>
            </w:pPr>
            <w:r w:rsidRPr="009D671B">
              <w:rPr>
                <w:rFonts w:ascii="Arial" w:hAnsi="Arial" w:cs="Arial" w:hint="eastAsia"/>
                <w:sz w:val="21"/>
                <w:szCs w:val="21"/>
              </w:rPr>
              <w:t>Hydrogen-oxygen fuel cell</w:t>
            </w:r>
            <w:r w:rsidR="0055404F" w:rsidRPr="009D671B">
              <w:rPr>
                <w:rFonts w:ascii="Arial" w:hAnsi="Arial" w:cs="Arial" w:hint="eastAsia"/>
                <w:sz w:val="21"/>
                <w:szCs w:val="21"/>
              </w:rPr>
              <w:t xml:space="preserve"> [</w:t>
            </w:r>
            <w:r w:rsidR="004526D9">
              <w:rPr>
                <w:rFonts w:ascii="Arial" w:hAnsi="Arial" w:cs="Arial" w:hint="eastAsia"/>
                <w:sz w:val="21"/>
                <w:szCs w:val="21"/>
              </w:rPr>
              <w:t>5</w:t>
            </w:r>
            <w:r w:rsidR="0055404F" w:rsidRPr="009D671B">
              <w:rPr>
                <w:rFonts w:ascii="Arial" w:hAnsi="Arial" w:cs="Arial" w:hint="eastAsia"/>
                <w:sz w:val="21"/>
                <w:szCs w:val="21"/>
              </w:rPr>
              <w:t>]</w:t>
            </w:r>
          </w:p>
        </w:tc>
        <w:tc>
          <w:tcPr>
            <w:tcW w:w="2070" w:type="dxa"/>
          </w:tcPr>
          <w:p w14:paraId="7C42E2B7" w14:textId="22A0F5B5"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20 years</w:t>
            </w:r>
          </w:p>
        </w:tc>
        <w:tc>
          <w:tcPr>
            <w:tcW w:w="2880" w:type="dxa"/>
          </w:tcPr>
          <w:p w14:paraId="2D00870F" w14:textId="7AEE7AF2" w:rsidR="00C8339C" w:rsidRPr="00E54A3F" w:rsidRDefault="00E16E55" w:rsidP="002E1BFB">
            <w:pPr>
              <w:spacing w:line="360" w:lineRule="auto"/>
              <w:rPr>
                <w:rFonts w:ascii="Arial" w:hAnsi="Arial" w:cs="Arial"/>
                <w:sz w:val="21"/>
                <w:szCs w:val="21"/>
              </w:rPr>
            </w:pPr>
            <w:r>
              <w:rPr>
                <w:rFonts w:ascii="Arial" w:hAnsi="Arial" w:cs="Arial" w:hint="eastAsia"/>
                <w:sz w:val="21"/>
                <w:szCs w:val="21"/>
              </w:rPr>
              <w:t>840 US$/</w:t>
            </w:r>
            <w:r w:rsidR="00D90D5B">
              <w:rPr>
                <w:rFonts w:ascii="Arial" w:hAnsi="Arial" w:cs="Arial" w:hint="eastAsia"/>
                <w:sz w:val="21"/>
                <w:szCs w:val="21"/>
              </w:rPr>
              <w:t>kW</w:t>
            </w:r>
          </w:p>
        </w:tc>
      </w:tr>
      <w:tr w:rsidR="00C8339C" w14:paraId="4DF200B1" w14:textId="77777777" w:rsidTr="00D90D5B">
        <w:tc>
          <w:tcPr>
            <w:tcW w:w="4585" w:type="dxa"/>
          </w:tcPr>
          <w:p w14:paraId="50E71937" w14:textId="7D6355FC" w:rsidR="00C8339C" w:rsidRDefault="00C8339C" w:rsidP="002E1BFB">
            <w:pPr>
              <w:spacing w:line="360" w:lineRule="auto"/>
              <w:rPr>
                <w:rFonts w:ascii="Arial" w:hAnsi="Arial" w:cs="Arial"/>
                <w:sz w:val="21"/>
                <w:szCs w:val="21"/>
              </w:rPr>
            </w:pPr>
            <w:r>
              <w:rPr>
                <w:rFonts w:ascii="Arial" w:hAnsi="Arial" w:cs="Arial" w:hint="eastAsia"/>
                <w:sz w:val="21"/>
                <w:szCs w:val="21"/>
              </w:rPr>
              <w:t>EV charger</w:t>
            </w:r>
          </w:p>
        </w:tc>
        <w:tc>
          <w:tcPr>
            <w:tcW w:w="2070" w:type="dxa"/>
          </w:tcPr>
          <w:p w14:paraId="4CBF4638" w14:textId="08D6FBD9"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10 years</w:t>
            </w:r>
          </w:p>
        </w:tc>
        <w:tc>
          <w:tcPr>
            <w:tcW w:w="2880" w:type="dxa"/>
          </w:tcPr>
          <w:p w14:paraId="60F5BA1E" w14:textId="6E97540B" w:rsidR="00C8339C" w:rsidRPr="00E54A3F" w:rsidRDefault="00D90D5B" w:rsidP="002E1BFB">
            <w:pPr>
              <w:spacing w:line="360" w:lineRule="auto"/>
              <w:rPr>
                <w:rFonts w:ascii="Arial" w:hAnsi="Arial" w:cs="Arial"/>
                <w:sz w:val="21"/>
                <w:szCs w:val="21"/>
              </w:rPr>
            </w:pPr>
            <w:r>
              <w:rPr>
                <w:rFonts w:ascii="Arial" w:hAnsi="Arial" w:cs="Arial" w:hint="eastAsia"/>
                <w:sz w:val="21"/>
                <w:szCs w:val="21"/>
              </w:rPr>
              <w:t>180 US$/unit</w:t>
            </w:r>
          </w:p>
        </w:tc>
      </w:tr>
      <w:tr w:rsidR="00C8339C" w14:paraId="119397DA" w14:textId="77777777" w:rsidTr="00D90D5B">
        <w:tc>
          <w:tcPr>
            <w:tcW w:w="4585" w:type="dxa"/>
          </w:tcPr>
          <w:p w14:paraId="6EC9BC74" w14:textId="75D31346" w:rsidR="00C8339C" w:rsidRDefault="0055404F" w:rsidP="002E1BFB">
            <w:pPr>
              <w:spacing w:line="360" w:lineRule="auto"/>
              <w:rPr>
                <w:rFonts w:ascii="Arial" w:hAnsi="Arial" w:cs="Arial"/>
                <w:sz w:val="21"/>
                <w:szCs w:val="21"/>
              </w:rPr>
            </w:pPr>
            <w:bookmarkStart w:id="2" w:name="_Hlk214377136"/>
            <w:r w:rsidRPr="0055404F">
              <w:rPr>
                <w:rFonts w:ascii="Arial" w:hAnsi="Arial" w:cs="Arial"/>
                <w:sz w:val="20"/>
                <w:szCs w:val="20"/>
              </w:rPr>
              <w:t xml:space="preserve">Underground </w:t>
            </w:r>
            <w:r>
              <w:rPr>
                <w:rFonts w:ascii="Arial" w:hAnsi="Arial" w:cs="Arial" w:hint="eastAsia"/>
                <w:sz w:val="20"/>
                <w:szCs w:val="20"/>
              </w:rPr>
              <w:t>p</w:t>
            </w:r>
            <w:r w:rsidRPr="0055404F">
              <w:rPr>
                <w:rFonts w:ascii="Arial" w:hAnsi="Arial" w:cs="Arial"/>
                <w:sz w:val="20"/>
                <w:szCs w:val="20"/>
              </w:rPr>
              <w:t xml:space="preserve">it </w:t>
            </w:r>
            <w:r>
              <w:rPr>
                <w:rFonts w:ascii="Arial" w:hAnsi="Arial" w:cs="Arial" w:hint="eastAsia"/>
                <w:sz w:val="20"/>
                <w:szCs w:val="20"/>
              </w:rPr>
              <w:t>t</w:t>
            </w:r>
            <w:r w:rsidRPr="0055404F">
              <w:rPr>
                <w:rFonts w:ascii="Arial" w:hAnsi="Arial" w:cs="Arial"/>
                <w:sz w:val="20"/>
                <w:szCs w:val="20"/>
              </w:rPr>
              <w:t xml:space="preserve">hermal </w:t>
            </w:r>
            <w:r>
              <w:rPr>
                <w:rFonts w:ascii="Arial" w:hAnsi="Arial" w:cs="Arial" w:hint="eastAsia"/>
                <w:sz w:val="20"/>
                <w:szCs w:val="20"/>
              </w:rPr>
              <w:t>e</w:t>
            </w:r>
            <w:r w:rsidRPr="0055404F">
              <w:rPr>
                <w:rFonts w:ascii="Arial" w:hAnsi="Arial" w:cs="Arial"/>
                <w:sz w:val="20"/>
                <w:szCs w:val="20"/>
              </w:rPr>
              <w:t xml:space="preserve">nergy </w:t>
            </w:r>
            <w:r>
              <w:rPr>
                <w:rFonts w:ascii="Arial" w:hAnsi="Arial" w:cs="Arial" w:hint="eastAsia"/>
                <w:sz w:val="20"/>
                <w:szCs w:val="20"/>
              </w:rPr>
              <w:t>s</w:t>
            </w:r>
            <w:r w:rsidRPr="0055404F">
              <w:rPr>
                <w:rFonts w:ascii="Arial" w:hAnsi="Arial" w:cs="Arial"/>
                <w:sz w:val="20"/>
                <w:szCs w:val="20"/>
              </w:rPr>
              <w:t>torage</w:t>
            </w:r>
            <w:bookmarkEnd w:id="2"/>
          </w:p>
        </w:tc>
        <w:tc>
          <w:tcPr>
            <w:tcW w:w="2070" w:type="dxa"/>
          </w:tcPr>
          <w:p w14:paraId="4C4F97AD" w14:textId="53E683BE" w:rsidR="00C8339C" w:rsidRPr="00E54A3F" w:rsidRDefault="0055404F" w:rsidP="002E1BFB">
            <w:pPr>
              <w:spacing w:line="360" w:lineRule="auto"/>
              <w:rPr>
                <w:rFonts w:ascii="Arial" w:hAnsi="Arial" w:cs="Arial"/>
                <w:sz w:val="21"/>
                <w:szCs w:val="21"/>
              </w:rPr>
            </w:pPr>
            <w:r>
              <w:rPr>
                <w:rFonts w:ascii="Arial" w:hAnsi="Arial" w:cs="Arial" w:hint="eastAsia"/>
                <w:sz w:val="21"/>
                <w:szCs w:val="21"/>
              </w:rPr>
              <w:t>20 years</w:t>
            </w:r>
          </w:p>
        </w:tc>
        <w:tc>
          <w:tcPr>
            <w:tcW w:w="2880" w:type="dxa"/>
          </w:tcPr>
          <w:p w14:paraId="247AAEE0" w14:textId="20EE5CFB" w:rsidR="00C8339C" w:rsidRPr="00E54A3F" w:rsidRDefault="00D90D5B" w:rsidP="002E1BFB">
            <w:pPr>
              <w:spacing w:line="360" w:lineRule="auto"/>
              <w:rPr>
                <w:rFonts w:ascii="Arial" w:hAnsi="Arial" w:cs="Arial"/>
                <w:sz w:val="21"/>
                <w:szCs w:val="21"/>
              </w:rPr>
            </w:pPr>
            <w:r>
              <w:rPr>
                <w:rFonts w:ascii="Arial" w:hAnsi="Arial" w:cs="Arial" w:hint="eastAsia"/>
                <w:sz w:val="21"/>
                <w:szCs w:val="21"/>
              </w:rPr>
              <w:t>250 US$/kWh</w:t>
            </w:r>
          </w:p>
        </w:tc>
      </w:tr>
    </w:tbl>
    <w:p w14:paraId="29E232D9" w14:textId="77777777" w:rsidR="008566E8" w:rsidRDefault="008566E8" w:rsidP="00ED257B">
      <w:pPr>
        <w:spacing w:line="360" w:lineRule="auto"/>
        <w:rPr>
          <w:rFonts w:ascii="Arial" w:hAnsi="Arial" w:cs="Arial"/>
          <w:sz w:val="24"/>
        </w:rPr>
        <w:sectPr w:rsidR="008566E8" w:rsidSect="002E1BFB">
          <w:pgSz w:w="11906" w:h="16838"/>
          <w:pgMar w:top="1440" w:right="1080" w:bottom="1440" w:left="1080" w:header="851" w:footer="992" w:gutter="0"/>
          <w:cols w:space="425"/>
          <w:docGrid w:type="lines" w:linePitch="312"/>
        </w:sectPr>
      </w:pPr>
    </w:p>
    <w:p w14:paraId="7B2E3DDB" w14:textId="7BB76040" w:rsidR="001F6A5F" w:rsidRDefault="008566E8" w:rsidP="00ED257B">
      <w:pPr>
        <w:spacing w:line="360" w:lineRule="auto"/>
        <w:rPr>
          <w:rFonts w:ascii="Arial" w:hAnsi="Arial" w:cs="Arial"/>
          <w:b/>
          <w:bCs/>
          <w:sz w:val="24"/>
        </w:rPr>
      </w:pPr>
      <w:r>
        <w:rPr>
          <w:rFonts w:ascii="Arial" w:hAnsi="Arial" w:cs="Arial" w:hint="eastAsia"/>
          <w:b/>
          <w:bCs/>
          <w:sz w:val="24"/>
        </w:rPr>
        <w:lastRenderedPageBreak/>
        <w:t>Supplementary References</w:t>
      </w:r>
    </w:p>
    <w:p w14:paraId="72A882AC" w14:textId="3891E9D3" w:rsidR="008566E8" w:rsidRDefault="008E5168" w:rsidP="00CC5CA9">
      <w:pPr>
        <w:pStyle w:val="reference"/>
        <w:numPr>
          <w:ilvl w:val="0"/>
          <w:numId w:val="2"/>
        </w:numPr>
        <w:ind w:firstLineChars="0"/>
      </w:pPr>
      <w:r>
        <w:rPr>
          <w:rFonts w:hint="eastAsia"/>
        </w:rPr>
        <w:t>Cui</w:t>
      </w:r>
      <w:r w:rsidR="009D671B" w:rsidRPr="009D671B">
        <w:rPr>
          <w:rFonts w:hint="eastAsia"/>
        </w:rPr>
        <w:t xml:space="preserve">, </w:t>
      </w:r>
      <w:r>
        <w:rPr>
          <w:rFonts w:hint="eastAsia"/>
        </w:rPr>
        <w:t>Y.</w:t>
      </w:r>
      <w:r w:rsidR="009D671B" w:rsidRPr="009D671B">
        <w:rPr>
          <w:rFonts w:hint="eastAsia"/>
        </w:rPr>
        <w:t>, Ji D</w:t>
      </w:r>
      <w:r>
        <w:rPr>
          <w:rFonts w:hint="eastAsia"/>
        </w:rPr>
        <w:t>.</w:t>
      </w:r>
      <w:r w:rsidR="009D671B" w:rsidRPr="009D671B">
        <w:rPr>
          <w:rFonts w:hint="eastAsia"/>
        </w:rPr>
        <w:t>, Liu W</w:t>
      </w:r>
      <w:r>
        <w:rPr>
          <w:rFonts w:hint="eastAsia"/>
        </w:rPr>
        <w:t>.</w:t>
      </w:r>
      <w:r w:rsidR="009D671B" w:rsidRPr="009D671B">
        <w:rPr>
          <w:rFonts w:hint="eastAsia"/>
        </w:rPr>
        <w:t>, Cheng Y</w:t>
      </w:r>
      <w:r>
        <w:rPr>
          <w:rFonts w:hint="eastAsia"/>
        </w:rPr>
        <w:t>.</w:t>
      </w:r>
      <w:r w:rsidR="009D671B" w:rsidRPr="009D671B">
        <w:rPr>
          <w:rFonts w:hint="eastAsia"/>
        </w:rPr>
        <w:t xml:space="preserve">, </w:t>
      </w:r>
      <w:r>
        <w:rPr>
          <w:rFonts w:hint="eastAsia"/>
        </w:rPr>
        <w:t>&amp;</w:t>
      </w:r>
      <w:r w:rsidR="009D671B" w:rsidRPr="009D671B">
        <w:rPr>
          <w:rFonts w:hint="eastAsia"/>
        </w:rPr>
        <w:t xml:space="preserve"> Cai L. Research on the </w:t>
      </w:r>
      <w:r>
        <w:rPr>
          <w:rFonts w:hint="eastAsia"/>
        </w:rPr>
        <w:t>c</w:t>
      </w:r>
      <w:r w:rsidR="009D671B" w:rsidRPr="009D671B">
        <w:rPr>
          <w:rFonts w:hint="eastAsia"/>
        </w:rPr>
        <w:t xml:space="preserve">ost of </w:t>
      </w:r>
      <w:r>
        <w:rPr>
          <w:rFonts w:hint="eastAsia"/>
        </w:rPr>
        <w:t>d</w:t>
      </w:r>
      <w:r w:rsidR="009D671B" w:rsidRPr="009D671B">
        <w:rPr>
          <w:rFonts w:hint="eastAsia"/>
        </w:rPr>
        <w:t xml:space="preserve">istributed </w:t>
      </w:r>
      <w:r>
        <w:rPr>
          <w:rFonts w:hint="eastAsia"/>
        </w:rPr>
        <w:t>p</w:t>
      </w:r>
      <w:r w:rsidR="009D671B" w:rsidRPr="009D671B">
        <w:rPr>
          <w:rFonts w:hint="eastAsia"/>
        </w:rPr>
        <w:t xml:space="preserve">hotovoltaic </w:t>
      </w:r>
      <w:r>
        <w:rPr>
          <w:rFonts w:hint="eastAsia"/>
        </w:rPr>
        <w:t>p</w:t>
      </w:r>
      <w:r w:rsidR="009D671B" w:rsidRPr="009D671B">
        <w:rPr>
          <w:rFonts w:hint="eastAsia"/>
        </w:rPr>
        <w:t xml:space="preserve">lant of China </w:t>
      </w:r>
      <w:r>
        <w:rPr>
          <w:rFonts w:hint="eastAsia"/>
        </w:rPr>
        <w:t>b</w:t>
      </w:r>
      <w:r w:rsidR="009D671B" w:rsidRPr="009D671B">
        <w:rPr>
          <w:rFonts w:hint="eastAsia"/>
        </w:rPr>
        <w:t xml:space="preserve">ased on </w:t>
      </w:r>
      <w:r>
        <w:rPr>
          <w:rFonts w:hint="eastAsia"/>
        </w:rPr>
        <w:t>w</w:t>
      </w:r>
      <w:r w:rsidR="009D671B" w:rsidRPr="009D671B">
        <w:rPr>
          <w:rFonts w:hint="eastAsia"/>
        </w:rPr>
        <w:t xml:space="preserve">hole </w:t>
      </w:r>
      <w:r>
        <w:rPr>
          <w:rFonts w:hint="eastAsia"/>
        </w:rPr>
        <w:t>l</w:t>
      </w:r>
      <w:r w:rsidR="009D671B" w:rsidRPr="009D671B">
        <w:rPr>
          <w:rFonts w:hint="eastAsia"/>
        </w:rPr>
        <w:t xml:space="preserve">ife </w:t>
      </w:r>
      <w:r>
        <w:rPr>
          <w:rFonts w:hint="eastAsia"/>
        </w:rPr>
        <w:t>c</w:t>
      </w:r>
      <w:r w:rsidR="009D671B" w:rsidRPr="009D671B">
        <w:rPr>
          <w:rFonts w:hint="eastAsia"/>
        </w:rPr>
        <w:t xml:space="preserve">ycle </w:t>
      </w:r>
      <w:r>
        <w:rPr>
          <w:rFonts w:hint="eastAsia"/>
        </w:rPr>
        <w:t>p</w:t>
      </w:r>
      <w:r w:rsidR="009D671B" w:rsidRPr="009D671B">
        <w:rPr>
          <w:rFonts w:hint="eastAsia"/>
        </w:rPr>
        <w:t>erspective</w:t>
      </w:r>
      <w:r>
        <w:rPr>
          <w:rFonts w:hint="eastAsia"/>
        </w:rPr>
        <w:t>.</w:t>
      </w:r>
      <w:r w:rsidR="009D671B" w:rsidRPr="001E726E">
        <w:rPr>
          <w:rFonts w:hint="eastAsia"/>
          <w:i/>
          <w:iCs/>
        </w:rPr>
        <w:t xml:space="preserve"> IEEE Access</w:t>
      </w:r>
      <w:r w:rsidR="009D671B" w:rsidRPr="009D671B">
        <w:rPr>
          <w:rFonts w:hint="eastAsia"/>
        </w:rPr>
        <w:t xml:space="preserve"> </w:t>
      </w:r>
      <w:r w:rsidR="009D671B" w:rsidRPr="008E5168">
        <w:rPr>
          <w:rFonts w:hint="eastAsia"/>
          <w:b/>
          <w:bCs/>
        </w:rPr>
        <w:t>7</w:t>
      </w:r>
      <w:r w:rsidR="009D671B" w:rsidRPr="009D671B">
        <w:rPr>
          <w:rFonts w:hint="eastAsia"/>
        </w:rPr>
        <w:t>: 89379-</w:t>
      </w:r>
      <w:r w:rsidRPr="009D671B">
        <w:rPr>
          <w:rFonts w:hint="eastAsia"/>
        </w:rPr>
        <w:t>893</w:t>
      </w:r>
      <w:r w:rsidR="009D671B" w:rsidRPr="009D671B">
        <w:rPr>
          <w:rFonts w:hint="eastAsia"/>
        </w:rPr>
        <w:t>89</w:t>
      </w:r>
      <w:r>
        <w:rPr>
          <w:rFonts w:hint="eastAsia"/>
        </w:rPr>
        <w:t xml:space="preserve"> (2019)</w:t>
      </w:r>
      <w:r w:rsidR="009D671B" w:rsidRPr="009D671B">
        <w:rPr>
          <w:rFonts w:hint="eastAsia"/>
        </w:rPr>
        <w:t>.</w:t>
      </w:r>
    </w:p>
    <w:p w14:paraId="08B0C9D0" w14:textId="4B6403AA" w:rsidR="009D671B" w:rsidRPr="00CC5CA9" w:rsidRDefault="009D671B" w:rsidP="00CC5CA9">
      <w:pPr>
        <w:pStyle w:val="a9"/>
        <w:numPr>
          <w:ilvl w:val="0"/>
          <w:numId w:val="2"/>
        </w:numPr>
        <w:spacing w:line="240" w:lineRule="auto"/>
        <w:jc w:val="both"/>
        <w:rPr>
          <w:rFonts w:ascii="Arial" w:hAnsi="Arial" w:cs="Arial"/>
          <w:sz w:val="20"/>
          <w:szCs w:val="20"/>
        </w:rPr>
      </w:pPr>
      <w:r w:rsidRPr="00CC5CA9">
        <w:rPr>
          <w:rFonts w:ascii="Arial" w:hAnsi="Arial" w:cs="Arial" w:hint="eastAsia"/>
          <w:sz w:val="20"/>
          <w:szCs w:val="20"/>
        </w:rPr>
        <w:t>Wang, K</w:t>
      </w:r>
      <w:r w:rsidR="008E5168" w:rsidRPr="00CC5CA9">
        <w:rPr>
          <w:rFonts w:ascii="Arial" w:hAnsi="Arial" w:cs="Arial" w:hint="eastAsia"/>
          <w:sz w:val="20"/>
          <w:szCs w:val="20"/>
        </w:rPr>
        <w:t>. et al</w:t>
      </w:r>
      <w:r w:rsidRPr="00CC5CA9">
        <w:rPr>
          <w:rFonts w:ascii="Arial" w:hAnsi="Arial" w:cs="Arial" w:hint="eastAsia"/>
          <w:sz w:val="20"/>
          <w:szCs w:val="20"/>
        </w:rPr>
        <w:t xml:space="preserve">. Full </w:t>
      </w:r>
      <w:r w:rsidR="008E5168" w:rsidRPr="00CC5CA9">
        <w:rPr>
          <w:rFonts w:ascii="Arial" w:hAnsi="Arial" w:cs="Arial" w:hint="eastAsia"/>
          <w:sz w:val="20"/>
          <w:szCs w:val="20"/>
        </w:rPr>
        <w:t>l</w:t>
      </w:r>
      <w:r w:rsidRPr="00CC5CA9">
        <w:rPr>
          <w:rFonts w:ascii="Arial" w:hAnsi="Arial" w:cs="Arial" w:hint="eastAsia"/>
          <w:sz w:val="20"/>
          <w:szCs w:val="20"/>
        </w:rPr>
        <w:t xml:space="preserve">ife </w:t>
      </w:r>
      <w:r w:rsidR="008E5168" w:rsidRPr="00CC5CA9">
        <w:rPr>
          <w:rFonts w:ascii="Arial" w:hAnsi="Arial" w:cs="Arial" w:hint="eastAsia"/>
          <w:sz w:val="20"/>
          <w:szCs w:val="20"/>
        </w:rPr>
        <w:t>c</w:t>
      </w:r>
      <w:r w:rsidRPr="00CC5CA9">
        <w:rPr>
          <w:rFonts w:ascii="Arial" w:hAnsi="Arial" w:cs="Arial" w:hint="eastAsia"/>
          <w:sz w:val="20"/>
          <w:szCs w:val="20"/>
        </w:rPr>
        <w:t xml:space="preserve">ycle </w:t>
      </w:r>
      <w:r w:rsidR="008E5168" w:rsidRPr="00CC5CA9">
        <w:rPr>
          <w:rFonts w:ascii="Arial" w:hAnsi="Arial" w:cs="Arial" w:hint="eastAsia"/>
          <w:sz w:val="20"/>
          <w:szCs w:val="20"/>
        </w:rPr>
        <w:t>m</w:t>
      </w:r>
      <w:r w:rsidRPr="00CC5CA9">
        <w:rPr>
          <w:rFonts w:ascii="Arial" w:hAnsi="Arial" w:cs="Arial" w:hint="eastAsia"/>
          <w:sz w:val="20"/>
          <w:szCs w:val="20"/>
        </w:rPr>
        <w:t xml:space="preserve">anagement of </w:t>
      </w:r>
      <w:r w:rsidR="008E5168" w:rsidRPr="00CC5CA9">
        <w:rPr>
          <w:rFonts w:ascii="Arial" w:hAnsi="Arial" w:cs="Arial" w:hint="eastAsia"/>
          <w:sz w:val="20"/>
          <w:szCs w:val="20"/>
        </w:rPr>
        <w:t>p</w:t>
      </w:r>
      <w:r w:rsidRPr="00CC5CA9">
        <w:rPr>
          <w:rFonts w:ascii="Arial" w:hAnsi="Arial" w:cs="Arial" w:hint="eastAsia"/>
          <w:sz w:val="20"/>
          <w:szCs w:val="20"/>
        </w:rPr>
        <w:t xml:space="preserve">ower </w:t>
      </w:r>
      <w:r w:rsidR="008E5168" w:rsidRPr="00CC5CA9">
        <w:rPr>
          <w:rFonts w:ascii="Arial" w:hAnsi="Arial" w:cs="Arial" w:hint="eastAsia"/>
          <w:sz w:val="20"/>
          <w:szCs w:val="20"/>
        </w:rPr>
        <w:t>s</w:t>
      </w:r>
      <w:r w:rsidRPr="00CC5CA9">
        <w:rPr>
          <w:rFonts w:ascii="Arial" w:hAnsi="Arial" w:cs="Arial" w:hint="eastAsia"/>
          <w:sz w:val="20"/>
          <w:szCs w:val="20"/>
        </w:rPr>
        <w:t xml:space="preserve">ystem </w:t>
      </w:r>
      <w:r w:rsidR="008E5168" w:rsidRPr="00CC5CA9">
        <w:rPr>
          <w:rFonts w:ascii="Arial" w:hAnsi="Arial" w:cs="Arial" w:hint="eastAsia"/>
          <w:sz w:val="20"/>
          <w:szCs w:val="20"/>
        </w:rPr>
        <w:t>i</w:t>
      </w:r>
      <w:r w:rsidRPr="00CC5CA9">
        <w:rPr>
          <w:rFonts w:ascii="Arial" w:hAnsi="Arial" w:cs="Arial" w:hint="eastAsia"/>
          <w:sz w:val="20"/>
          <w:szCs w:val="20"/>
        </w:rPr>
        <w:t xml:space="preserve">ntegrated </w:t>
      </w:r>
      <w:r w:rsidR="008E5168" w:rsidRPr="00CC5CA9">
        <w:rPr>
          <w:rFonts w:ascii="Arial" w:hAnsi="Arial" w:cs="Arial" w:hint="eastAsia"/>
          <w:sz w:val="20"/>
          <w:szCs w:val="20"/>
        </w:rPr>
        <w:t>w</w:t>
      </w:r>
      <w:r w:rsidRPr="00CC5CA9">
        <w:rPr>
          <w:rFonts w:ascii="Arial" w:hAnsi="Arial" w:cs="Arial" w:hint="eastAsia"/>
          <w:sz w:val="20"/>
          <w:szCs w:val="20"/>
        </w:rPr>
        <w:t xml:space="preserve">ith </w:t>
      </w:r>
      <w:r w:rsidR="008E5168" w:rsidRPr="00CC5CA9">
        <w:rPr>
          <w:rFonts w:ascii="Arial" w:hAnsi="Arial" w:cs="Arial" w:hint="eastAsia"/>
          <w:sz w:val="20"/>
          <w:szCs w:val="20"/>
        </w:rPr>
        <w:t>r</w:t>
      </w:r>
      <w:r w:rsidRPr="00CC5CA9">
        <w:rPr>
          <w:rFonts w:ascii="Arial" w:hAnsi="Arial" w:cs="Arial" w:hint="eastAsia"/>
          <w:sz w:val="20"/>
          <w:szCs w:val="20"/>
        </w:rPr>
        <w:t xml:space="preserve">enewable </w:t>
      </w:r>
      <w:r w:rsidR="008E5168" w:rsidRPr="00CC5CA9">
        <w:rPr>
          <w:rFonts w:ascii="Arial" w:hAnsi="Arial" w:cs="Arial" w:hint="eastAsia"/>
          <w:sz w:val="20"/>
          <w:szCs w:val="20"/>
        </w:rPr>
        <w:t>e</w:t>
      </w:r>
      <w:r w:rsidRPr="00CC5CA9">
        <w:rPr>
          <w:rFonts w:ascii="Arial" w:hAnsi="Arial" w:cs="Arial" w:hint="eastAsia"/>
          <w:sz w:val="20"/>
          <w:szCs w:val="20"/>
        </w:rPr>
        <w:t xml:space="preserve">nergy: Concepts, </w:t>
      </w:r>
      <w:r w:rsidR="008E5168" w:rsidRPr="00CC5CA9">
        <w:rPr>
          <w:rFonts w:ascii="Arial" w:hAnsi="Arial" w:cs="Arial" w:hint="eastAsia"/>
          <w:sz w:val="20"/>
          <w:szCs w:val="20"/>
        </w:rPr>
        <w:t>d</w:t>
      </w:r>
      <w:r w:rsidRPr="00CC5CA9">
        <w:rPr>
          <w:rFonts w:ascii="Arial" w:hAnsi="Arial" w:cs="Arial" w:hint="eastAsia"/>
          <w:sz w:val="20"/>
          <w:szCs w:val="20"/>
        </w:rPr>
        <w:t xml:space="preserve">evelopments and </w:t>
      </w:r>
      <w:r w:rsidR="008E5168" w:rsidRPr="00CC5CA9">
        <w:rPr>
          <w:rFonts w:ascii="Arial" w:hAnsi="Arial" w:cs="Arial" w:hint="eastAsia"/>
          <w:sz w:val="20"/>
          <w:szCs w:val="20"/>
        </w:rPr>
        <w:t>p</w:t>
      </w:r>
      <w:r w:rsidRPr="00CC5CA9">
        <w:rPr>
          <w:rFonts w:ascii="Arial" w:hAnsi="Arial" w:cs="Arial" w:hint="eastAsia"/>
          <w:sz w:val="20"/>
          <w:szCs w:val="20"/>
        </w:rPr>
        <w:t>erspectives</w:t>
      </w:r>
      <w:r w:rsidR="008E5168" w:rsidRPr="00CC5CA9">
        <w:rPr>
          <w:rFonts w:ascii="Arial" w:hAnsi="Arial" w:cs="Arial" w:hint="eastAsia"/>
          <w:sz w:val="20"/>
          <w:szCs w:val="20"/>
        </w:rPr>
        <w:t>.</w:t>
      </w:r>
      <w:r w:rsidRPr="00CC5CA9">
        <w:rPr>
          <w:rFonts w:ascii="Arial" w:hAnsi="Arial" w:cs="Arial" w:hint="eastAsia"/>
          <w:sz w:val="20"/>
          <w:szCs w:val="20"/>
        </w:rPr>
        <w:t xml:space="preserve"> </w:t>
      </w:r>
      <w:r w:rsidRPr="00CC5CA9">
        <w:rPr>
          <w:rFonts w:ascii="Arial" w:hAnsi="Arial" w:cs="Arial" w:hint="eastAsia"/>
          <w:i/>
          <w:iCs/>
          <w:sz w:val="20"/>
          <w:szCs w:val="20"/>
        </w:rPr>
        <w:t>Frontiers in Energy Research</w:t>
      </w:r>
      <w:r w:rsidRPr="00CC5CA9">
        <w:rPr>
          <w:rFonts w:ascii="Arial" w:hAnsi="Arial" w:cs="Arial" w:hint="eastAsia"/>
          <w:sz w:val="20"/>
          <w:szCs w:val="20"/>
        </w:rPr>
        <w:t xml:space="preserve"> </w:t>
      </w:r>
      <w:r w:rsidRPr="00CC5CA9">
        <w:rPr>
          <w:rFonts w:ascii="Arial" w:hAnsi="Arial" w:cs="Arial" w:hint="eastAsia"/>
          <w:b/>
          <w:bCs/>
          <w:sz w:val="20"/>
          <w:szCs w:val="20"/>
        </w:rPr>
        <w:t>9</w:t>
      </w:r>
      <w:r w:rsidR="008E5168" w:rsidRPr="00CC5CA9">
        <w:rPr>
          <w:rFonts w:ascii="Arial" w:hAnsi="Arial" w:cs="Arial" w:hint="eastAsia"/>
          <w:sz w:val="20"/>
          <w:szCs w:val="20"/>
        </w:rPr>
        <w:t>, 680355 (2021)</w:t>
      </w:r>
      <w:r w:rsidRPr="00CC5CA9">
        <w:rPr>
          <w:rFonts w:ascii="Arial" w:hAnsi="Arial" w:cs="Arial" w:hint="eastAsia"/>
          <w:sz w:val="20"/>
          <w:szCs w:val="20"/>
        </w:rPr>
        <w:t>.</w:t>
      </w:r>
    </w:p>
    <w:p w14:paraId="2651498A" w14:textId="4E62F36A" w:rsidR="009D671B" w:rsidRPr="00CC5CA9" w:rsidRDefault="009D671B" w:rsidP="00CC5CA9">
      <w:pPr>
        <w:pStyle w:val="a9"/>
        <w:numPr>
          <w:ilvl w:val="0"/>
          <w:numId w:val="2"/>
        </w:numPr>
        <w:spacing w:line="240" w:lineRule="auto"/>
        <w:jc w:val="both"/>
        <w:rPr>
          <w:rFonts w:ascii="Arial" w:hAnsi="Arial" w:cs="Arial"/>
          <w:sz w:val="20"/>
          <w:szCs w:val="20"/>
        </w:rPr>
      </w:pPr>
      <w:r w:rsidRPr="00CC5CA9">
        <w:rPr>
          <w:rFonts w:ascii="Arial" w:hAnsi="Arial" w:cs="Arial" w:hint="eastAsia"/>
          <w:sz w:val="20"/>
          <w:szCs w:val="20"/>
        </w:rPr>
        <w:t xml:space="preserve">Zhang, </w:t>
      </w:r>
      <w:r w:rsidR="008E5168" w:rsidRPr="00CC5CA9">
        <w:rPr>
          <w:rFonts w:ascii="Arial" w:hAnsi="Arial" w:cs="Arial" w:hint="eastAsia"/>
          <w:sz w:val="20"/>
          <w:szCs w:val="20"/>
        </w:rPr>
        <w:t>Y.</w:t>
      </w:r>
      <w:r w:rsidRPr="00CC5CA9">
        <w:rPr>
          <w:rFonts w:ascii="Arial" w:hAnsi="Arial" w:cs="Arial" w:hint="eastAsia"/>
          <w:sz w:val="20"/>
          <w:szCs w:val="20"/>
        </w:rPr>
        <w:t xml:space="preserve">, </w:t>
      </w:r>
      <w:r w:rsidR="008E5168" w:rsidRPr="00CC5CA9">
        <w:rPr>
          <w:rFonts w:ascii="Arial" w:hAnsi="Arial" w:cs="Arial" w:hint="eastAsia"/>
          <w:sz w:val="20"/>
          <w:szCs w:val="20"/>
        </w:rPr>
        <w:t>Ma T.</w:t>
      </w:r>
      <w:r w:rsidRPr="00CC5CA9">
        <w:rPr>
          <w:rFonts w:ascii="Arial" w:hAnsi="Arial" w:cs="Arial" w:hint="eastAsia"/>
          <w:sz w:val="20"/>
          <w:szCs w:val="20"/>
        </w:rPr>
        <w:t>, Campana</w:t>
      </w:r>
      <w:r w:rsidR="008E5168" w:rsidRPr="00CC5CA9">
        <w:rPr>
          <w:rFonts w:ascii="Arial" w:hAnsi="Arial" w:cs="Arial" w:hint="eastAsia"/>
          <w:sz w:val="20"/>
          <w:szCs w:val="20"/>
        </w:rPr>
        <w:t xml:space="preserve"> P. E.</w:t>
      </w:r>
      <w:r w:rsidRPr="00CC5CA9">
        <w:rPr>
          <w:rFonts w:ascii="Arial" w:hAnsi="Arial" w:cs="Arial" w:hint="eastAsia"/>
          <w:sz w:val="20"/>
          <w:szCs w:val="20"/>
        </w:rPr>
        <w:t>,</w:t>
      </w:r>
      <w:r w:rsidR="008E5168" w:rsidRPr="00CC5CA9">
        <w:rPr>
          <w:rFonts w:ascii="Arial" w:hAnsi="Arial" w:cs="Arial" w:hint="eastAsia"/>
          <w:sz w:val="20"/>
          <w:szCs w:val="20"/>
        </w:rPr>
        <w:t xml:space="preserve"> </w:t>
      </w:r>
      <w:r w:rsidRPr="00CC5CA9">
        <w:rPr>
          <w:rFonts w:ascii="Arial" w:hAnsi="Arial" w:cs="Arial" w:hint="eastAsia"/>
          <w:sz w:val="20"/>
          <w:szCs w:val="20"/>
        </w:rPr>
        <w:t>Yamaguchi</w:t>
      </w:r>
      <w:r w:rsidR="008E5168" w:rsidRPr="00CC5CA9">
        <w:rPr>
          <w:rFonts w:ascii="Arial" w:hAnsi="Arial" w:cs="Arial" w:hint="eastAsia"/>
          <w:sz w:val="20"/>
          <w:szCs w:val="20"/>
        </w:rPr>
        <w:t xml:space="preserve"> Y.</w:t>
      </w:r>
      <w:r w:rsidRPr="00CC5CA9">
        <w:rPr>
          <w:rFonts w:ascii="Arial" w:hAnsi="Arial" w:cs="Arial" w:hint="eastAsia"/>
          <w:sz w:val="20"/>
          <w:szCs w:val="20"/>
        </w:rPr>
        <w:t xml:space="preserve">, </w:t>
      </w:r>
      <w:r w:rsidR="008E5168" w:rsidRPr="00CC5CA9">
        <w:rPr>
          <w:rFonts w:ascii="Arial" w:hAnsi="Arial" w:cs="Arial" w:hint="eastAsia"/>
          <w:sz w:val="20"/>
          <w:szCs w:val="20"/>
        </w:rPr>
        <w:t>&amp;</w:t>
      </w:r>
      <w:r w:rsidRPr="00CC5CA9">
        <w:rPr>
          <w:rFonts w:ascii="Arial" w:hAnsi="Arial" w:cs="Arial" w:hint="eastAsia"/>
          <w:sz w:val="20"/>
          <w:szCs w:val="20"/>
        </w:rPr>
        <w:t xml:space="preserve"> Dai</w:t>
      </w:r>
      <w:r w:rsidR="008E5168" w:rsidRPr="00CC5CA9">
        <w:rPr>
          <w:rFonts w:ascii="Arial" w:hAnsi="Arial" w:cs="Arial" w:hint="eastAsia"/>
          <w:sz w:val="20"/>
          <w:szCs w:val="20"/>
        </w:rPr>
        <w:t xml:space="preserve"> Y</w:t>
      </w:r>
      <w:r w:rsidRPr="00CC5CA9">
        <w:rPr>
          <w:rFonts w:ascii="Arial" w:hAnsi="Arial" w:cs="Arial" w:hint="eastAsia"/>
          <w:sz w:val="20"/>
          <w:szCs w:val="20"/>
        </w:rPr>
        <w:t>. A techno-economic sizing method for grid-connected household photovoltaic battery systems</w:t>
      </w:r>
      <w:r w:rsidR="008E5168" w:rsidRPr="00CC5CA9">
        <w:rPr>
          <w:rFonts w:ascii="Arial" w:hAnsi="Arial" w:cs="Arial" w:hint="eastAsia"/>
          <w:sz w:val="20"/>
          <w:szCs w:val="20"/>
        </w:rPr>
        <w:t>.</w:t>
      </w:r>
      <w:r w:rsidR="008E5168" w:rsidRPr="00CC5CA9">
        <w:rPr>
          <w:rFonts w:ascii="Arial" w:hAnsi="Arial" w:cs="Arial" w:hint="eastAsia"/>
          <w:i/>
          <w:iCs/>
          <w:sz w:val="20"/>
          <w:szCs w:val="20"/>
        </w:rPr>
        <w:t xml:space="preserve"> </w:t>
      </w:r>
      <w:r w:rsidRPr="00CC5CA9">
        <w:rPr>
          <w:rFonts w:ascii="Arial" w:hAnsi="Arial" w:cs="Arial" w:hint="eastAsia"/>
          <w:i/>
          <w:iCs/>
          <w:sz w:val="20"/>
          <w:szCs w:val="20"/>
        </w:rPr>
        <w:t>Applied Energy</w:t>
      </w:r>
      <w:r w:rsidRPr="00CC5CA9">
        <w:rPr>
          <w:rFonts w:ascii="Arial" w:hAnsi="Arial" w:cs="Arial" w:hint="eastAsia"/>
          <w:sz w:val="20"/>
          <w:szCs w:val="20"/>
        </w:rPr>
        <w:t xml:space="preserve"> </w:t>
      </w:r>
      <w:r w:rsidRPr="00CC5CA9">
        <w:rPr>
          <w:rFonts w:ascii="Arial" w:hAnsi="Arial" w:cs="Arial" w:hint="eastAsia"/>
          <w:b/>
          <w:bCs/>
          <w:sz w:val="20"/>
          <w:szCs w:val="20"/>
        </w:rPr>
        <w:t>269</w:t>
      </w:r>
      <w:r w:rsidR="008E5168" w:rsidRPr="00CC5CA9">
        <w:rPr>
          <w:rFonts w:ascii="Arial" w:hAnsi="Arial" w:cs="Arial" w:hint="eastAsia"/>
          <w:sz w:val="20"/>
          <w:szCs w:val="20"/>
        </w:rPr>
        <w:t>, 115106 (2020).</w:t>
      </w:r>
    </w:p>
    <w:p w14:paraId="5E21578A" w14:textId="4AC947FD" w:rsidR="009D671B" w:rsidRPr="00CC5CA9" w:rsidRDefault="009D671B" w:rsidP="00CC5CA9">
      <w:pPr>
        <w:pStyle w:val="a9"/>
        <w:numPr>
          <w:ilvl w:val="0"/>
          <w:numId w:val="2"/>
        </w:numPr>
        <w:spacing w:line="240" w:lineRule="auto"/>
        <w:jc w:val="both"/>
        <w:rPr>
          <w:rFonts w:ascii="Arial" w:hAnsi="Arial" w:cs="Arial"/>
          <w:sz w:val="20"/>
          <w:szCs w:val="20"/>
        </w:rPr>
      </w:pPr>
      <w:r w:rsidRPr="00CC5CA9">
        <w:rPr>
          <w:rFonts w:ascii="Arial" w:hAnsi="Arial" w:cs="Arial" w:hint="eastAsia"/>
          <w:sz w:val="20"/>
          <w:szCs w:val="20"/>
        </w:rPr>
        <w:t>Rosati, A</w:t>
      </w:r>
      <w:r w:rsidR="008E5168" w:rsidRPr="00CC5CA9">
        <w:rPr>
          <w:rFonts w:ascii="Arial" w:hAnsi="Arial" w:cs="Arial" w:hint="eastAsia"/>
          <w:sz w:val="20"/>
          <w:szCs w:val="20"/>
        </w:rPr>
        <w:t>.</w:t>
      </w:r>
      <w:r w:rsidRPr="00CC5CA9">
        <w:rPr>
          <w:rFonts w:ascii="Arial" w:hAnsi="Arial" w:cs="Arial" w:hint="eastAsia"/>
          <w:sz w:val="20"/>
          <w:szCs w:val="20"/>
        </w:rPr>
        <w:t>, Facci</w:t>
      </w:r>
      <w:r w:rsidR="008E5168" w:rsidRPr="00CC5CA9">
        <w:rPr>
          <w:rFonts w:ascii="Arial" w:hAnsi="Arial" w:cs="Arial" w:hint="eastAsia"/>
          <w:sz w:val="20"/>
          <w:szCs w:val="20"/>
        </w:rPr>
        <w:t xml:space="preserve"> A. L.</w:t>
      </w:r>
      <w:r w:rsidRPr="00CC5CA9">
        <w:rPr>
          <w:rFonts w:ascii="Arial" w:hAnsi="Arial" w:cs="Arial" w:hint="eastAsia"/>
          <w:sz w:val="20"/>
          <w:szCs w:val="20"/>
        </w:rPr>
        <w:t xml:space="preserve">, </w:t>
      </w:r>
      <w:r w:rsidR="008E5168" w:rsidRPr="00CC5CA9">
        <w:rPr>
          <w:rFonts w:ascii="Arial" w:hAnsi="Arial" w:cs="Arial" w:hint="eastAsia"/>
          <w:sz w:val="20"/>
          <w:szCs w:val="20"/>
        </w:rPr>
        <w:t>&amp;</w:t>
      </w:r>
      <w:r w:rsidRPr="00CC5CA9">
        <w:rPr>
          <w:rFonts w:ascii="Arial" w:hAnsi="Arial" w:cs="Arial" w:hint="eastAsia"/>
          <w:sz w:val="20"/>
          <w:szCs w:val="20"/>
        </w:rPr>
        <w:t xml:space="preserve"> Ubertini</w:t>
      </w:r>
      <w:r w:rsidR="008E5168" w:rsidRPr="00CC5CA9">
        <w:rPr>
          <w:rFonts w:ascii="Arial" w:hAnsi="Arial" w:cs="Arial" w:hint="eastAsia"/>
          <w:sz w:val="20"/>
          <w:szCs w:val="20"/>
        </w:rPr>
        <w:t xml:space="preserve"> S</w:t>
      </w:r>
      <w:r w:rsidRPr="00CC5CA9">
        <w:rPr>
          <w:rFonts w:ascii="Arial" w:hAnsi="Arial" w:cs="Arial" w:hint="eastAsia"/>
          <w:sz w:val="20"/>
          <w:szCs w:val="20"/>
        </w:rPr>
        <w:t>. Techno-economic analysis of battery electricity storage towards self-sufficient buildings</w:t>
      </w:r>
      <w:r w:rsidR="008E5168" w:rsidRPr="00CC5CA9">
        <w:rPr>
          <w:rFonts w:ascii="Arial" w:hAnsi="Arial" w:cs="Arial" w:hint="eastAsia"/>
          <w:sz w:val="20"/>
          <w:szCs w:val="20"/>
        </w:rPr>
        <w:t xml:space="preserve">. </w:t>
      </w:r>
      <w:r w:rsidRPr="00CC5CA9">
        <w:rPr>
          <w:rFonts w:ascii="Arial" w:hAnsi="Arial" w:cs="Arial" w:hint="eastAsia"/>
          <w:i/>
          <w:iCs/>
          <w:sz w:val="20"/>
          <w:szCs w:val="20"/>
        </w:rPr>
        <w:t>Energy Conversion and Management</w:t>
      </w:r>
      <w:r w:rsidRPr="00CC5CA9">
        <w:rPr>
          <w:rFonts w:ascii="Arial" w:hAnsi="Arial" w:cs="Arial" w:hint="eastAsia"/>
          <w:sz w:val="20"/>
          <w:szCs w:val="20"/>
        </w:rPr>
        <w:t xml:space="preserve"> </w:t>
      </w:r>
      <w:r w:rsidRPr="00CC5CA9">
        <w:rPr>
          <w:rFonts w:ascii="Arial" w:hAnsi="Arial" w:cs="Arial" w:hint="eastAsia"/>
          <w:b/>
          <w:bCs/>
          <w:sz w:val="20"/>
          <w:szCs w:val="20"/>
        </w:rPr>
        <w:t>256</w:t>
      </w:r>
      <w:r w:rsidR="008E5168" w:rsidRPr="00CC5CA9">
        <w:rPr>
          <w:rFonts w:ascii="Arial" w:hAnsi="Arial" w:cs="Arial" w:hint="eastAsia"/>
          <w:sz w:val="20"/>
          <w:szCs w:val="20"/>
        </w:rPr>
        <w:t>, 115313 (2022).</w:t>
      </w:r>
      <w:r w:rsidRPr="00CC5CA9">
        <w:rPr>
          <w:rFonts w:ascii="Arial" w:hAnsi="Arial" w:cs="Arial" w:hint="eastAsia"/>
          <w:sz w:val="20"/>
          <w:szCs w:val="20"/>
        </w:rPr>
        <w:t xml:space="preserve"> </w:t>
      </w:r>
    </w:p>
    <w:p w14:paraId="3D0A45D2" w14:textId="70FFE5EE" w:rsidR="009D671B" w:rsidRPr="00CC5CA9" w:rsidRDefault="009D671B" w:rsidP="00CC5CA9">
      <w:pPr>
        <w:pStyle w:val="a9"/>
        <w:numPr>
          <w:ilvl w:val="0"/>
          <w:numId w:val="2"/>
        </w:numPr>
        <w:spacing w:line="240" w:lineRule="auto"/>
        <w:jc w:val="both"/>
        <w:rPr>
          <w:rFonts w:ascii="Arial" w:hAnsi="Arial" w:cs="Arial"/>
          <w:sz w:val="20"/>
          <w:szCs w:val="20"/>
        </w:rPr>
      </w:pPr>
      <w:r w:rsidRPr="00CC5CA9">
        <w:rPr>
          <w:rFonts w:ascii="Arial" w:hAnsi="Arial" w:cs="Arial"/>
          <w:sz w:val="20"/>
          <w:szCs w:val="20"/>
        </w:rPr>
        <w:t xml:space="preserve">Wang, Y. et al. Synergistic planning of an integrated energy system containing hydrogen storage with the coupled use of electric-thermal energy. </w:t>
      </w:r>
      <w:r w:rsidRPr="00CC5CA9">
        <w:rPr>
          <w:rFonts w:ascii="Arial" w:hAnsi="Arial" w:cs="Arial"/>
          <w:i/>
          <w:iCs/>
          <w:sz w:val="20"/>
          <w:szCs w:val="20"/>
        </w:rPr>
        <w:t>International Journal of Hydrogen Energy</w:t>
      </w:r>
      <w:r w:rsidRPr="00CC5CA9">
        <w:rPr>
          <w:rFonts w:ascii="Arial" w:hAnsi="Arial" w:cs="Arial"/>
          <w:sz w:val="20"/>
          <w:szCs w:val="20"/>
        </w:rPr>
        <w:t xml:space="preserve"> </w:t>
      </w:r>
      <w:r w:rsidRPr="00CC5CA9">
        <w:rPr>
          <w:rFonts w:ascii="Arial" w:hAnsi="Arial" w:cs="Arial"/>
          <w:b/>
          <w:bCs/>
          <w:sz w:val="20"/>
          <w:szCs w:val="20"/>
        </w:rPr>
        <w:t>48</w:t>
      </w:r>
      <w:r w:rsidRPr="00CC5CA9">
        <w:rPr>
          <w:rFonts w:ascii="Arial" w:hAnsi="Arial" w:cs="Arial"/>
          <w:sz w:val="20"/>
          <w:szCs w:val="20"/>
        </w:rPr>
        <w:t xml:space="preserve">, 15154–15178 (2023). </w:t>
      </w:r>
    </w:p>
    <w:sectPr w:rsidR="009D671B" w:rsidRPr="00CC5CA9" w:rsidSect="002E1BF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617C1" w14:textId="77777777" w:rsidR="004543A9" w:rsidRDefault="004543A9" w:rsidP="002E1BFB">
      <w:pPr>
        <w:spacing w:after="0" w:line="240" w:lineRule="auto"/>
        <w:rPr>
          <w:rFonts w:hint="eastAsia"/>
        </w:rPr>
      </w:pPr>
      <w:r>
        <w:separator/>
      </w:r>
    </w:p>
  </w:endnote>
  <w:endnote w:type="continuationSeparator" w:id="0">
    <w:p w14:paraId="28E85E9F" w14:textId="77777777" w:rsidR="004543A9" w:rsidRDefault="004543A9" w:rsidP="002E1BFB">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D176" w14:textId="77777777" w:rsidR="003855D9" w:rsidRDefault="003855D9">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519088"/>
      <w:docPartObj>
        <w:docPartGallery w:val="Page Numbers (Bottom of Page)"/>
        <w:docPartUnique/>
      </w:docPartObj>
    </w:sdtPr>
    <w:sdtContent>
      <w:p w14:paraId="4266CD24" w14:textId="2361C989" w:rsidR="003855D9" w:rsidRDefault="003855D9">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45863986" w14:textId="77777777" w:rsidR="003855D9" w:rsidRDefault="003855D9">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D867" w14:textId="77777777" w:rsidR="003855D9" w:rsidRDefault="003855D9">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CCE09" w14:textId="77777777" w:rsidR="004543A9" w:rsidRDefault="004543A9" w:rsidP="002E1BFB">
      <w:pPr>
        <w:spacing w:after="0" w:line="240" w:lineRule="auto"/>
        <w:rPr>
          <w:rFonts w:hint="eastAsia"/>
        </w:rPr>
      </w:pPr>
      <w:r>
        <w:separator/>
      </w:r>
    </w:p>
  </w:footnote>
  <w:footnote w:type="continuationSeparator" w:id="0">
    <w:p w14:paraId="3C463B95" w14:textId="77777777" w:rsidR="004543A9" w:rsidRDefault="004543A9" w:rsidP="002E1BFB">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439D" w14:textId="77777777" w:rsidR="003855D9" w:rsidRDefault="003855D9">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61C9" w14:textId="77777777" w:rsidR="003855D9" w:rsidRDefault="003855D9">
    <w:pPr>
      <w:pStyle w:val="a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AC95B" w14:textId="77777777" w:rsidR="003855D9" w:rsidRDefault="003855D9">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76862"/>
    <w:multiLevelType w:val="hybridMultilevel"/>
    <w:tmpl w:val="36E0BB36"/>
    <w:lvl w:ilvl="0" w:tplc="5DC2673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AE740F4"/>
    <w:multiLevelType w:val="hybridMultilevel"/>
    <w:tmpl w:val="353E120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63522819">
    <w:abstractNumId w:val="1"/>
  </w:num>
  <w:num w:numId="2" w16cid:durableId="147678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F96"/>
    <w:rsid w:val="00023A45"/>
    <w:rsid w:val="00030085"/>
    <w:rsid w:val="00030FD3"/>
    <w:rsid w:val="000D49D5"/>
    <w:rsid w:val="001B4351"/>
    <w:rsid w:val="001E726E"/>
    <w:rsid w:val="001F6A5F"/>
    <w:rsid w:val="002E1BFB"/>
    <w:rsid w:val="00341F74"/>
    <w:rsid w:val="00343F78"/>
    <w:rsid w:val="003855D9"/>
    <w:rsid w:val="003F432C"/>
    <w:rsid w:val="004029B1"/>
    <w:rsid w:val="004526D9"/>
    <w:rsid w:val="004543A9"/>
    <w:rsid w:val="00463E79"/>
    <w:rsid w:val="0046732C"/>
    <w:rsid w:val="004F79A5"/>
    <w:rsid w:val="005446EA"/>
    <w:rsid w:val="0055404F"/>
    <w:rsid w:val="005B749F"/>
    <w:rsid w:val="006B5F96"/>
    <w:rsid w:val="006E44DF"/>
    <w:rsid w:val="00777774"/>
    <w:rsid w:val="00786A2C"/>
    <w:rsid w:val="00795FA5"/>
    <w:rsid w:val="007C1C51"/>
    <w:rsid w:val="00822F58"/>
    <w:rsid w:val="008566E8"/>
    <w:rsid w:val="00886173"/>
    <w:rsid w:val="008E5168"/>
    <w:rsid w:val="00982648"/>
    <w:rsid w:val="009D57DE"/>
    <w:rsid w:val="009D671B"/>
    <w:rsid w:val="00A82852"/>
    <w:rsid w:val="00B87850"/>
    <w:rsid w:val="00C8339C"/>
    <w:rsid w:val="00CC5CA9"/>
    <w:rsid w:val="00D90D5B"/>
    <w:rsid w:val="00DC3031"/>
    <w:rsid w:val="00E16E55"/>
    <w:rsid w:val="00E54A3F"/>
    <w:rsid w:val="00ED257B"/>
    <w:rsid w:val="00F50192"/>
    <w:rsid w:val="00FD1D3B"/>
    <w:rsid w:val="00FD2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3335A2"/>
  <w15:chartTrackingRefBased/>
  <w15:docId w15:val="{C62F82CC-07E0-43BA-9777-2C145F70F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B5F96"/>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B5F96"/>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B5F96"/>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6B5F96"/>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B5F96"/>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6B5F96"/>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B5F96"/>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B5F96"/>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6B5F96"/>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B5F96"/>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B5F96"/>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6B5F96"/>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B5F96"/>
    <w:rPr>
      <w:rFonts w:cstheme="majorBidi"/>
      <w:color w:val="2F5496" w:themeColor="accent1" w:themeShade="BF"/>
      <w:sz w:val="28"/>
      <w:szCs w:val="28"/>
    </w:rPr>
  </w:style>
  <w:style w:type="character" w:customStyle="1" w:styleId="50">
    <w:name w:val="标题 5 字符"/>
    <w:basedOn w:val="a0"/>
    <w:link w:val="5"/>
    <w:uiPriority w:val="9"/>
    <w:semiHidden/>
    <w:rsid w:val="006B5F96"/>
    <w:rPr>
      <w:rFonts w:cstheme="majorBidi"/>
      <w:color w:val="2F5496" w:themeColor="accent1" w:themeShade="BF"/>
      <w:sz w:val="24"/>
    </w:rPr>
  </w:style>
  <w:style w:type="character" w:customStyle="1" w:styleId="60">
    <w:name w:val="标题 6 字符"/>
    <w:basedOn w:val="a0"/>
    <w:link w:val="6"/>
    <w:uiPriority w:val="9"/>
    <w:semiHidden/>
    <w:rsid w:val="006B5F96"/>
    <w:rPr>
      <w:rFonts w:cstheme="majorBidi"/>
      <w:b/>
      <w:bCs/>
      <w:color w:val="2F5496" w:themeColor="accent1" w:themeShade="BF"/>
    </w:rPr>
  </w:style>
  <w:style w:type="character" w:customStyle="1" w:styleId="70">
    <w:name w:val="标题 7 字符"/>
    <w:basedOn w:val="a0"/>
    <w:link w:val="7"/>
    <w:uiPriority w:val="9"/>
    <w:semiHidden/>
    <w:rsid w:val="006B5F96"/>
    <w:rPr>
      <w:rFonts w:cstheme="majorBidi"/>
      <w:b/>
      <w:bCs/>
      <w:color w:val="595959" w:themeColor="text1" w:themeTint="A6"/>
    </w:rPr>
  </w:style>
  <w:style w:type="character" w:customStyle="1" w:styleId="80">
    <w:name w:val="标题 8 字符"/>
    <w:basedOn w:val="a0"/>
    <w:link w:val="8"/>
    <w:uiPriority w:val="9"/>
    <w:semiHidden/>
    <w:rsid w:val="006B5F96"/>
    <w:rPr>
      <w:rFonts w:cstheme="majorBidi"/>
      <w:color w:val="595959" w:themeColor="text1" w:themeTint="A6"/>
    </w:rPr>
  </w:style>
  <w:style w:type="character" w:customStyle="1" w:styleId="90">
    <w:name w:val="标题 9 字符"/>
    <w:basedOn w:val="a0"/>
    <w:link w:val="9"/>
    <w:uiPriority w:val="9"/>
    <w:semiHidden/>
    <w:rsid w:val="006B5F96"/>
    <w:rPr>
      <w:rFonts w:eastAsiaTheme="majorEastAsia" w:cstheme="majorBidi"/>
      <w:color w:val="595959" w:themeColor="text1" w:themeTint="A6"/>
    </w:rPr>
  </w:style>
  <w:style w:type="paragraph" w:styleId="a3">
    <w:name w:val="Title"/>
    <w:basedOn w:val="a"/>
    <w:next w:val="a"/>
    <w:link w:val="a4"/>
    <w:uiPriority w:val="10"/>
    <w:qFormat/>
    <w:rsid w:val="006B5F96"/>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B5F9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B5F9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B5F9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B5F96"/>
    <w:pPr>
      <w:spacing w:before="160"/>
      <w:jc w:val="center"/>
    </w:pPr>
    <w:rPr>
      <w:i/>
      <w:iCs/>
      <w:color w:val="404040" w:themeColor="text1" w:themeTint="BF"/>
    </w:rPr>
  </w:style>
  <w:style w:type="character" w:customStyle="1" w:styleId="a8">
    <w:name w:val="引用 字符"/>
    <w:basedOn w:val="a0"/>
    <w:link w:val="a7"/>
    <w:uiPriority w:val="29"/>
    <w:rsid w:val="006B5F96"/>
    <w:rPr>
      <w:i/>
      <w:iCs/>
      <w:color w:val="404040" w:themeColor="text1" w:themeTint="BF"/>
    </w:rPr>
  </w:style>
  <w:style w:type="paragraph" w:styleId="a9">
    <w:name w:val="List Paragraph"/>
    <w:basedOn w:val="a"/>
    <w:uiPriority w:val="34"/>
    <w:qFormat/>
    <w:rsid w:val="006B5F96"/>
    <w:pPr>
      <w:ind w:left="720"/>
      <w:contextualSpacing/>
    </w:pPr>
  </w:style>
  <w:style w:type="character" w:styleId="aa">
    <w:name w:val="Intense Emphasis"/>
    <w:basedOn w:val="a0"/>
    <w:uiPriority w:val="21"/>
    <w:qFormat/>
    <w:rsid w:val="006B5F96"/>
    <w:rPr>
      <w:i/>
      <w:iCs/>
      <w:color w:val="2F5496" w:themeColor="accent1" w:themeShade="BF"/>
    </w:rPr>
  </w:style>
  <w:style w:type="paragraph" w:styleId="ab">
    <w:name w:val="Intense Quote"/>
    <w:basedOn w:val="a"/>
    <w:next w:val="a"/>
    <w:link w:val="ac"/>
    <w:uiPriority w:val="30"/>
    <w:qFormat/>
    <w:rsid w:val="006B5F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B5F96"/>
    <w:rPr>
      <w:i/>
      <w:iCs/>
      <w:color w:val="2F5496" w:themeColor="accent1" w:themeShade="BF"/>
    </w:rPr>
  </w:style>
  <w:style w:type="character" w:styleId="ad">
    <w:name w:val="Intense Reference"/>
    <w:basedOn w:val="a0"/>
    <w:uiPriority w:val="32"/>
    <w:qFormat/>
    <w:rsid w:val="006B5F96"/>
    <w:rPr>
      <w:b/>
      <w:bCs/>
      <w:smallCaps/>
      <w:color w:val="2F5496" w:themeColor="accent1" w:themeShade="BF"/>
      <w:spacing w:val="5"/>
    </w:rPr>
  </w:style>
  <w:style w:type="paragraph" w:styleId="ae">
    <w:name w:val="header"/>
    <w:basedOn w:val="a"/>
    <w:link w:val="af"/>
    <w:uiPriority w:val="99"/>
    <w:unhideWhenUsed/>
    <w:rsid w:val="002E1BFB"/>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2E1BFB"/>
    <w:rPr>
      <w:sz w:val="18"/>
      <w:szCs w:val="18"/>
    </w:rPr>
  </w:style>
  <w:style w:type="paragraph" w:styleId="af0">
    <w:name w:val="footer"/>
    <w:basedOn w:val="a"/>
    <w:link w:val="af1"/>
    <w:uiPriority w:val="99"/>
    <w:unhideWhenUsed/>
    <w:rsid w:val="002E1BFB"/>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2E1BFB"/>
    <w:rPr>
      <w:sz w:val="18"/>
      <w:szCs w:val="18"/>
    </w:rPr>
  </w:style>
  <w:style w:type="table" w:styleId="af2">
    <w:name w:val="Table Grid"/>
    <w:basedOn w:val="a1"/>
    <w:uiPriority w:val="39"/>
    <w:rsid w:val="00A82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
    <w:link w:val="reference0"/>
    <w:qFormat/>
    <w:rsid w:val="001B4351"/>
    <w:pPr>
      <w:spacing w:line="240" w:lineRule="auto"/>
      <w:ind w:left="200" w:hangingChars="200" w:hanging="200"/>
      <w:jc w:val="both"/>
    </w:pPr>
    <w:rPr>
      <w:rFonts w:ascii="Arial" w:hAnsi="Arial" w:cs="Arial"/>
      <w:sz w:val="20"/>
      <w:szCs w:val="20"/>
    </w:rPr>
  </w:style>
  <w:style w:type="character" w:customStyle="1" w:styleId="reference0">
    <w:name w:val="reference 字符"/>
    <w:basedOn w:val="a0"/>
    <w:link w:val="reference"/>
    <w:rsid w:val="001B4351"/>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DF33E-6FBA-4706-B01E-0206FF5C8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1436</Words>
  <Characters>8522</Characters>
  <Application>Microsoft Office Word</Application>
  <DocSecurity>0</DocSecurity>
  <Lines>146</Lines>
  <Paragraphs>59</Paragraphs>
  <ScaleCrop>false</ScaleCrop>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Bowen Guan</dc:creator>
  <cp:keywords/>
  <dc:description/>
  <cp:lastModifiedBy>鑫 付</cp:lastModifiedBy>
  <cp:revision>6</cp:revision>
  <dcterms:created xsi:type="dcterms:W3CDTF">2025-11-30T13:46:00Z</dcterms:created>
  <dcterms:modified xsi:type="dcterms:W3CDTF">2025-12-01T07:39:00Z</dcterms:modified>
</cp:coreProperties>
</file>