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66F49" w14:textId="77777777" w:rsidR="00617BCF" w:rsidRDefault="00617BCF" w:rsidP="00617BCF">
      <w:pPr>
        <w:pStyle w:val="Heading1"/>
      </w:pPr>
      <w:r>
        <w:t>Extended Data Figures</w:t>
      </w:r>
    </w:p>
    <w:p w14:paraId="7DA81D94" w14:textId="77777777" w:rsidR="00617BCF" w:rsidRDefault="00617BCF" w:rsidP="00617BCF">
      <w:pPr>
        <w:keepNext/>
      </w:pPr>
      <w:r>
        <w:rPr>
          <w:noProof/>
        </w:rPr>
        <w:drawing>
          <wp:inline distT="0" distB="0" distL="0" distR="0" wp14:anchorId="511B100D" wp14:editId="1643A7CE">
            <wp:extent cx="5400040" cy="5600065"/>
            <wp:effectExtent l="0" t="0" r="0" b="635"/>
            <wp:docPr id="65432068" name="Picture 1" descr="A table of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32068" name="Picture 1" descr="A table of text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60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3C3B5" w14:textId="77777777" w:rsidR="00617BCF" w:rsidRPr="00536B53" w:rsidRDefault="00617BCF" w:rsidP="00617BCF">
      <w:pPr>
        <w:pStyle w:val="Caption"/>
        <w:rPr>
          <w:i w:val="0"/>
          <w:iCs w:val="0"/>
          <w:color w:val="auto"/>
          <w:sz w:val="24"/>
          <w:szCs w:val="24"/>
        </w:rPr>
      </w:pPr>
      <w:r>
        <w:rPr>
          <w:b/>
          <w:i w:val="0"/>
          <w:color w:val="auto"/>
          <w:sz w:val="24"/>
          <w:szCs w:val="24"/>
        </w:rPr>
        <w:t>Extended Data Figure 1</w:t>
      </w:r>
      <w:r w:rsidRPr="009F4465">
        <w:rPr>
          <w:b/>
          <w:i w:val="0"/>
          <w:color w:val="auto"/>
          <w:sz w:val="24"/>
          <w:szCs w:val="24"/>
        </w:rPr>
        <w:t>.</w:t>
      </w:r>
      <w:r w:rsidRPr="0045503C">
        <w:rPr>
          <w:i w:val="0"/>
          <w:iCs w:val="0"/>
          <w:color w:val="auto"/>
          <w:sz w:val="24"/>
          <w:szCs w:val="24"/>
        </w:rPr>
        <w:t xml:space="preserve"> </w:t>
      </w:r>
      <w:r w:rsidRPr="004B6C7F">
        <w:rPr>
          <w:i w:val="0"/>
          <w:iCs w:val="0"/>
          <w:color w:val="auto"/>
          <w:sz w:val="24"/>
          <w:szCs w:val="24"/>
        </w:rPr>
        <w:t xml:space="preserve">Comparing </w:t>
      </w:r>
      <w:r>
        <w:rPr>
          <w:i w:val="0"/>
          <w:iCs w:val="0"/>
          <w:color w:val="auto"/>
          <w:sz w:val="24"/>
          <w:szCs w:val="24"/>
        </w:rPr>
        <w:t>N</w:t>
      </w:r>
      <w:r w:rsidRPr="004B6C7F">
        <w:rPr>
          <w:i w:val="0"/>
          <w:iCs w:val="0"/>
          <w:color w:val="auto"/>
          <w:sz w:val="24"/>
          <w:szCs w:val="24"/>
        </w:rPr>
        <w:t xml:space="preserve"> operating spaces based on potential and viable yield thresholds across representative crop</w:t>
      </w:r>
      <w:r>
        <w:rPr>
          <w:i w:val="0"/>
          <w:iCs w:val="0"/>
          <w:color w:val="auto"/>
          <w:sz w:val="24"/>
          <w:szCs w:val="24"/>
        </w:rPr>
        <w:t>-</w:t>
      </w:r>
      <w:r w:rsidRPr="004B6C7F">
        <w:rPr>
          <w:i w:val="0"/>
          <w:iCs w:val="0"/>
          <w:color w:val="auto"/>
          <w:sz w:val="24"/>
          <w:szCs w:val="24"/>
        </w:rPr>
        <w:t>climate systems.</w:t>
      </w:r>
      <w:r>
        <w:rPr>
          <w:i w:val="0"/>
          <w:iCs w:val="0"/>
          <w:color w:val="auto"/>
          <w:sz w:val="24"/>
          <w:szCs w:val="24"/>
        </w:rPr>
        <w:t xml:space="preserve"> </w:t>
      </w:r>
      <w:r w:rsidRPr="002A0A55">
        <w:rPr>
          <w:i w:val="0"/>
          <w:iCs w:val="0"/>
          <w:color w:val="auto"/>
          <w:sz w:val="24"/>
          <w:szCs w:val="24"/>
        </w:rPr>
        <w:t>Nitrogen input</w:t>
      </w:r>
      <w:r>
        <w:rPr>
          <w:i w:val="0"/>
          <w:iCs w:val="0"/>
          <w:color w:val="auto"/>
          <w:sz w:val="24"/>
          <w:szCs w:val="24"/>
        </w:rPr>
        <w:t xml:space="preserve">-yield </w:t>
      </w:r>
      <w:r w:rsidRPr="002A0A55">
        <w:rPr>
          <w:i w:val="0"/>
          <w:iCs w:val="0"/>
          <w:color w:val="auto"/>
          <w:sz w:val="24"/>
          <w:szCs w:val="24"/>
        </w:rPr>
        <w:t xml:space="preserve">configurations for selected national systems are shown relative to both water-limited potential yields (top panel) </w:t>
      </w:r>
      <w:r>
        <w:rPr>
          <w:i w:val="0"/>
          <w:iCs w:val="0"/>
          <w:color w:val="auto"/>
          <w:sz w:val="24"/>
          <w:szCs w:val="24"/>
        </w:rPr>
        <w:t>and the viable threshold</w:t>
      </w:r>
      <w:r w:rsidRPr="002A0A55">
        <w:rPr>
          <w:i w:val="0"/>
          <w:iCs w:val="0"/>
          <w:color w:val="auto"/>
          <w:sz w:val="24"/>
          <w:szCs w:val="24"/>
        </w:rPr>
        <w:t xml:space="preserve"> (bottom panel). Each cell represents a crop</w:t>
      </w:r>
      <w:r>
        <w:rPr>
          <w:i w:val="0"/>
          <w:iCs w:val="0"/>
          <w:color w:val="auto"/>
          <w:sz w:val="24"/>
          <w:szCs w:val="24"/>
        </w:rPr>
        <w:t>-</w:t>
      </w:r>
      <w:r w:rsidRPr="002A0A55">
        <w:rPr>
          <w:i w:val="0"/>
          <w:iCs w:val="0"/>
          <w:color w:val="auto"/>
          <w:sz w:val="24"/>
          <w:szCs w:val="24"/>
        </w:rPr>
        <w:t>climate</w:t>
      </w:r>
      <w:r>
        <w:rPr>
          <w:i w:val="0"/>
          <w:iCs w:val="0"/>
          <w:color w:val="auto"/>
          <w:sz w:val="24"/>
          <w:szCs w:val="24"/>
        </w:rPr>
        <w:t>-</w:t>
      </w:r>
      <w:r w:rsidRPr="002A0A55">
        <w:rPr>
          <w:i w:val="0"/>
          <w:iCs w:val="0"/>
          <w:color w:val="auto"/>
          <w:sz w:val="24"/>
          <w:szCs w:val="24"/>
        </w:rPr>
        <w:t>country combination classified by operating space</w:t>
      </w:r>
      <w:r>
        <w:rPr>
          <w:i w:val="0"/>
          <w:iCs w:val="0"/>
          <w:color w:val="auto"/>
          <w:sz w:val="24"/>
          <w:szCs w:val="24"/>
        </w:rPr>
        <w:t>. Required fertilisers (*) correspond to both manure and synthetic fertiliser inputs.</w:t>
      </w:r>
    </w:p>
    <w:p w14:paraId="1AF7C3DC" w14:textId="77777777" w:rsidR="00617BCF" w:rsidRPr="00F83576" w:rsidRDefault="00617BCF" w:rsidP="00617BCF"/>
    <w:p w14:paraId="2E217EE1" w14:textId="77777777" w:rsidR="00617BCF" w:rsidRDefault="00617BCF" w:rsidP="00617BCF">
      <w:pPr>
        <w:keepNext/>
      </w:pPr>
      <w:r>
        <w:rPr>
          <w:noProof/>
        </w:rPr>
        <w:lastRenderedPageBreak/>
        <w:drawing>
          <wp:inline distT="0" distB="0" distL="0" distR="0" wp14:anchorId="3C893E96" wp14:editId="7A4F3607">
            <wp:extent cx="5400040" cy="4319905"/>
            <wp:effectExtent l="0" t="0" r="0" b="4445"/>
            <wp:docPr id="2096017877" name="Picture 2" descr="A diagram of a global economic impac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017877" name="Picture 2" descr="A diagram of a global economic impac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D3ACE" w14:textId="77777777" w:rsidR="00617BCF" w:rsidRPr="00753871" w:rsidRDefault="00617BCF" w:rsidP="00617BCF">
      <w:pPr>
        <w:pStyle w:val="Caption"/>
        <w:rPr>
          <w:i w:val="0"/>
          <w:iCs w:val="0"/>
          <w:color w:val="auto"/>
          <w:sz w:val="24"/>
          <w:szCs w:val="24"/>
        </w:rPr>
      </w:pPr>
      <w:r w:rsidRPr="00753871">
        <w:rPr>
          <w:b/>
          <w:bCs/>
          <w:i w:val="0"/>
          <w:iCs w:val="0"/>
          <w:color w:val="auto"/>
          <w:sz w:val="24"/>
          <w:szCs w:val="24"/>
        </w:rPr>
        <w:t xml:space="preserve">Extended Data Figure </w:t>
      </w:r>
      <w:r>
        <w:rPr>
          <w:b/>
          <w:bCs/>
          <w:i w:val="0"/>
          <w:iCs w:val="0"/>
          <w:color w:val="auto"/>
          <w:sz w:val="24"/>
          <w:szCs w:val="24"/>
        </w:rPr>
        <w:t>2</w:t>
      </w:r>
      <w:r w:rsidRPr="00753871">
        <w:rPr>
          <w:b/>
          <w:bCs/>
          <w:i w:val="0"/>
          <w:iCs w:val="0"/>
          <w:color w:val="auto"/>
          <w:sz w:val="24"/>
          <w:szCs w:val="24"/>
        </w:rPr>
        <w:t>.</w:t>
      </w:r>
      <w:r w:rsidRPr="00753871">
        <w:rPr>
          <w:i w:val="0"/>
          <w:iCs w:val="0"/>
          <w:color w:val="auto"/>
          <w:sz w:val="24"/>
          <w:szCs w:val="24"/>
        </w:rPr>
        <w:t xml:space="preserve"> </w:t>
      </w:r>
      <w:r>
        <w:rPr>
          <w:i w:val="0"/>
          <w:iCs w:val="0"/>
          <w:color w:val="auto"/>
          <w:sz w:val="24"/>
          <w:szCs w:val="24"/>
        </w:rPr>
        <w:t xml:space="preserve">Perturbations of the safe threshold. </w:t>
      </w:r>
      <w:r w:rsidRPr="00FF790B">
        <w:rPr>
          <w:i w:val="0"/>
          <w:iCs w:val="0"/>
          <w:color w:val="auto"/>
          <w:sz w:val="24"/>
          <w:szCs w:val="24"/>
        </w:rPr>
        <w:t>(a) Distribution of countries across the four operating spaces as the critical input is modified by ±</w:t>
      </w:r>
      <w:r>
        <w:rPr>
          <w:i w:val="0"/>
          <w:iCs w:val="0"/>
          <w:color w:val="auto"/>
          <w:sz w:val="24"/>
          <w:szCs w:val="24"/>
        </w:rPr>
        <w:t>5</w:t>
      </w:r>
      <w:r w:rsidRPr="00FF790B">
        <w:rPr>
          <w:i w:val="0"/>
          <w:iCs w:val="0"/>
          <w:color w:val="auto"/>
          <w:sz w:val="24"/>
          <w:szCs w:val="24"/>
        </w:rPr>
        <w:t>0 %. (b) Number of unique country</w:t>
      </w:r>
      <w:r>
        <w:rPr>
          <w:i w:val="0"/>
          <w:iCs w:val="0"/>
          <w:color w:val="auto"/>
          <w:sz w:val="24"/>
          <w:szCs w:val="24"/>
        </w:rPr>
        <w:t>-</w:t>
      </w:r>
      <w:r w:rsidRPr="00FF790B">
        <w:rPr>
          <w:i w:val="0"/>
          <w:iCs w:val="0"/>
          <w:color w:val="auto"/>
          <w:sz w:val="24"/>
          <w:szCs w:val="24"/>
        </w:rPr>
        <w:t xml:space="preserve">year entries into the </w:t>
      </w:r>
      <w:r w:rsidRPr="00FF790B">
        <w:rPr>
          <w:color w:val="auto"/>
          <w:sz w:val="24"/>
          <w:szCs w:val="24"/>
        </w:rPr>
        <w:t>Right</w:t>
      </w:r>
      <w:r w:rsidRPr="00FF790B">
        <w:rPr>
          <w:i w:val="0"/>
          <w:iCs w:val="0"/>
          <w:color w:val="auto"/>
          <w:sz w:val="24"/>
          <w:szCs w:val="24"/>
        </w:rPr>
        <w:t xml:space="preserve"> space across the range of modifiers, and (c) spatial examples for low (0.</w:t>
      </w:r>
      <w:r>
        <w:rPr>
          <w:i w:val="0"/>
          <w:iCs w:val="0"/>
          <w:color w:val="auto"/>
          <w:sz w:val="24"/>
          <w:szCs w:val="24"/>
        </w:rPr>
        <w:t>5x</w:t>
      </w:r>
      <w:r w:rsidRPr="00FF790B">
        <w:rPr>
          <w:i w:val="0"/>
          <w:iCs w:val="0"/>
          <w:color w:val="auto"/>
          <w:sz w:val="24"/>
          <w:szCs w:val="24"/>
        </w:rPr>
        <w:t>), baseline (1</w:t>
      </w:r>
      <w:r>
        <w:rPr>
          <w:i w:val="0"/>
          <w:iCs w:val="0"/>
          <w:color w:val="auto"/>
          <w:sz w:val="24"/>
          <w:szCs w:val="24"/>
        </w:rPr>
        <w:t>x</w:t>
      </w:r>
      <w:r w:rsidRPr="00FF790B">
        <w:rPr>
          <w:i w:val="0"/>
          <w:iCs w:val="0"/>
          <w:color w:val="auto"/>
          <w:sz w:val="24"/>
          <w:szCs w:val="24"/>
        </w:rPr>
        <w:t>), and high (1.</w:t>
      </w:r>
      <w:r>
        <w:rPr>
          <w:i w:val="0"/>
          <w:iCs w:val="0"/>
          <w:color w:val="auto"/>
          <w:sz w:val="24"/>
          <w:szCs w:val="24"/>
        </w:rPr>
        <w:t>5x</w:t>
      </w:r>
      <w:r w:rsidRPr="00FF790B">
        <w:rPr>
          <w:i w:val="0"/>
          <w:iCs w:val="0"/>
          <w:color w:val="auto"/>
          <w:sz w:val="24"/>
          <w:szCs w:val="24"/>
        </w:rPr>
        <w:t xml:space="preserve">) thresholds. While increasing </w:t>
      </w:r>
      <w:r>
        <w:rPr>
          <w:i w:val="0"/>
          <w:iCs w:val="0"/>
          <w:color w:val="auto"/>
          <w:sz w:val="24"/>
          <w:szCs w:val="24"/>
        </w:rPr>
        <w:t>critical inputs</w:t>
      </w:r>
      <w:r w:rsidRPr="00FF790B">
        <w:rPr>
          <w:i w:val="0"/>
          <w:iCs w:val="0"/>
          <w:color w:val="auto"/>
          <w:sz w:val="24"/>
          <w:szCs w:val="24"/>
        </w:rPr>
        <w:t xml:space="preserve"> expands the </w:t>
      </w:r>
      <w:r w:rsidRPr="00FF790B">
        <w:rPr>
          <w:color w:val="auto"/>
          <w:sz w:val="24"/>
          <w:szCs w:val="24"/>
        </w:rPr>
        <w:t>Right</w:t>
      </w:r>
      <w:r w:rsidRPr="00FF790B">
        <w:rPr>
          <w:i w:val="0"/>
          <w:iCs w:val="0"/>
          <w:color w:val="auto"/>
          <w:sz w:val="24"/>
          <w:szCs w:val="24"/>
        </w:rPr>
        <w:t xml:space="preserve"> space slightly, fewer than 5% of all country</w:t>
      </w:r>
      <w:r>
        <w:rPr>
          <w:i w:val="0"/>
          <w:iCs w:val="0"/>
          <w:color w:val="auto"/>
          <w:sz w:val="24"/>
          <w:szCs w:val="24"/>
        </w:rPr>
        <w:t>-</w:t>
      </w:r>
      <w:r w:rsidRPr="00FF790B">
        <w:rPr>
          <w:i w:val="0"/>
          <w:iCs w:val="0"/>
          <w:color w:val="auto"/>
          <w:sz w:val="24"/>
          <w:szCs w:val="24"/>
        </w:rPr>
        <w:t>years enter it even under generous assumptions</w:t>
      </w:r>
      <w:r>
        <w:rPr>
          <w:i w:val="0"/>
          <w:iCs w:val="0"/>
          <w:color w:val="auto"/>
          <w:sz w:val="24"/>
          <w:szCs w:val="24"/>
        </w:rPr>
        <w:t>.</w:t>
      </w:r>
    </w:p>
    <w:p w14:paraId="5495CC19" w14:textId="77777777" w:rsidR="00617BCF" w:rsidRDefault="00617BCF" w:rsidP="00617BCF">
      <w:pPr>
        <w:keepNext/>
      </w:pPr>
      <w:r>
        <w:rPr>
          <w:noProof/>
        </w:rPr>
        <w:lastRenderedPageBreak/>
        <w:drawing>
          <wp:inline distT="0" distB="0" distL="0" distR="0" wp14:anchorId="5136C8D4" wp14:editId="4C15C5B9">
            <wp:extent cx="5400040" cy="5400040"/>
            <wp:effectExtent l="0" t="0" r="0" b="0"/>
            <wp:docPr id="1696288074" name="Picture 3" descr="A graph showing different countries/reg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288074" name="Picture 3" descr="A graph showing different countries/region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3BE11" w14:textId="77777777" w:rsidR="00617BCF" w:rsidRDefault="00617BCF" w:rsidP="00617BCF">
      <w:r w:rsidRPr="000C6AF8">
        <w:rPr>
          <w:b/>
          <w:bCs/>
        </w:rPr>
        <w:t xml:space="preserve">Extended Data Figure </w:t>
      </w:r>
      <w:r>
        <w:rPr>
          <w:b/>
          <w:bCs/>
        </w:rPr>
        <w:t>3</w:t>
      </w:r>
      <w:r w:rsidRPr="000C6AF8">
        <w:rPr>
          <w:b/>
          <w:bCs/>
        </w:rPr>
        <w:t xml:space="preserve">. </w:t>
      </w:r>
      <w:r w:rsidRPr="000C6AF8">
        <w:t xml:space="preserve">Perturbation to the viable threshold. (a) Countries classified within the </w:t>
      </w:r>
      <w:r w:rsidRPr="000C6AF8">
        <w:rPr>
          <w:i/>
          <w:iCs/>
        </w:rPr>
        <w:t>Right</w:t>
      </w:r>
      <w:r w:rsidRPr="000C6AF8">
        <w:t xml:space="preserve"> (safe &amp; viable) space when viable </w:t>
      </w:r>
      <w:r>
        <w:t>N</w:t>
      </w:r>
      <w:r w:rsidRPr="000C6AF8">
        <w:t xml:space="preserve"> use is defined at different yield percentiles (40</w:t>
      </w:r>
      <w:r w:rsidRPr="000C6AF8">
        <w:rPr>
          <w:vertAlign w:val="superscript"/>
        </w:rPr>
        <w:t>th</w:t>
      </w:r>
      <w:r>
        <w:t>-</w:t>
      </w:r>
      <w:r w:rsidRPr="000C6AF8">
        <w:t>90</w:t>
      </w:r>
      <w:r w:rsidRPr="000C6AF8">
        <w:rPr>
          <w:vertAlign w:val="superscript"/>
        </w:rPr>
        <w:t>th</w:t>
      </w:r>
      <w:r w:rsidRPr="000C6AF8">
        <w:t>). (b) Global share of country</w:t>
      </w:r>
      <w:r>
        <w:t>-</w:t>
      </w:r>
      <w:r w:rsidRPr="000C6AF8">
        <w:t xml:space="preserve">year combinations across the four operating spaces for each percentile definition. Results show that while the number of countries reaching the </w:t>
      </w:r>
      <w:r w:rsidRPr="000C6AF8">
        <w:rPr>
          <w:i/>
          <w:iCs/>
        </w:rPr>
        <w:t>Right</w:t>
      </w:r>
      <w:r w:rsidRPr="000C6AF8">
        <w:t xml:space="preserve"> space changes slightly with percentile choice, the overall dominance of wasteful (unsafe &amp; unviable) and constrained (safe &amp; unviable) conditions remains consistent.</w:t>
      </w:r>
    </w:p>
    <w:p w14:paraId="1D5F43A2" w14:textId="77777777" w:rsidR="00617BCF" w:rsidRDefault="00617BCF" w:rsidP="00617BCF"/>
    <w:p w14:paraId="6AB24CD4" w14:textId="77777777" w:rsidR="00617BCF" w:rsidRDefault="00617BCF" w:rsidP="00617BCF"/>
    <w:p w14:paraId="553A5CF2" w14:textId="77777777" w:rsidR="00617BCF" w:rsidRDefault="00617BCF" w:rsidP="00617BCF"/>
    <w:p w14:paraId="3B0C9A63" w14:textId="77777777" w:rsidR="00617BCF" w:rsidRDefault="00617BCF" w:rsidP="00617BCF">
      <w:pPr>
        <w:keepNext/>
      </w:pPr>
      <w:r>
        <w:rPr>
          <w:noProof/>
        </w:rPr>
        <w:lastRenderedPageBreak/>
        <w:drawing>
          <wp:inline distT="0" distB="0" distL="0" distR="0" wp14:anchorId="06BE9A07" wp14:editId="5927BD42">
            <wp:extent cx="5400040" cy="5400040"/>
            <wp:effectExtent l="0" t="0" r="0" b="0"/>
            <wp:docPr id="484556678" name="Picture 3" descr="A map of the world with different contine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556678" name="Picture 3" descr="A map of the world with different continen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BA613" w14:textId="77777777" w:rsidR="00617BCF" w:rsidRDefault="00617BCF" w:rsidP="00617BCF">
      <w:r w:rsidRPr="000C6AF8">
        <w:rPr>
          <w:b/>
          <w:bCs/>
        </w:rPr>
        <w:t xml:space="preserve">Extended Data Figure </w:t>
      </w:r>
      <w:r>
        <w:rPr>
          <w:b/>
          <w:bCs/>
        </w:rPr>
        <w:t>4</w:t>
      </w:r>
      <w:r w:rsidRPr="000C6AF8">
        <w:rPr>
          <w:b/>
          <w:bCs/>
        </w:rPr>
        <w:t>.</w:t>
      </w:r>
      <w:r>
        <w:rPr>
          <w:b/>
          <w:bCs/>
        </w:rPr>
        <w:t xml:space="preserve"> </w:t>
      </w:r>
      <w:r>
        <w:t xml:space="preserve">Spatial variation, and differences, between using dynamic (a) and static (b) critical N inputs in classifying operating spaces for the period 1961-2022. </w:t>
      </w:r>
    </w:p>
    <w:p w14:paraId="216F0623" w14:textId="77777777" w:rsidR="00617BCF" w:rsidRDefault="00617BCF" w:rsidP="00617BCF">
      <w:pPr>
        <w:keepNext/>
      </w:pPr>
      <w:r>
        <w:rPr>
          <w:noProof/>
        </w:rPr>
        <w:lastRenderedPageBreak/>
        <w:drawing>
          <wp:inline distT="0" distB="0" distL="0" distR="0" wp14:anchorId="64946816" wp14:editId="2C6A0F67">
            <wp:extent cx="5400040" cy="5400040"/>
            <wp:effectExtent l="0" t="0" r="0" b="0"/>
            <wp:docPr id="1950846726" name="Picture 4" descr="A chart of different types of nitrogen inpu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846726" name="Picture 4" descr="A chart of different types of nitrogen inpu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B4176" w14:textId="77777777" w:rsidR="00617BCF" w:rsidRDefault="00617BCF" w:rsidP="00617BCF">
      <w:r w:rsidRPr="000C6AF8">
        <w:rPr>
          <w:b/>
          <w:bCs/>
        </w:rPr>
        <w:t xml:space="preserve">Extended Data Figure </w:t>
      </w:r>
      <w:r>
        <w:rPr>
          <w:b/>
          <w:bCs/>
        </w:rPr>
        <w:t>5</w:t>
      </w:r>
      <w:r w:rsidRPr="000C6AF8">
        <w:rPr>
          <w:b/>
          <w:bCs/>
        </w:rPr>
        <w:t>.</w:t>
      </w:r>
      <w:r>
        <w:rPr>
          <w:b/>
          <w:bCs/>
        </w:rPr>
        <w:t xml:space="preserve"> </w:t>
      </w:r>
      <w:r>
        <w:t>Comparison of the number of total occurrences (a) and unique occurrences (b) in all four operating spaces between static and dynamic critical N inputs.</w:t>
      </w:r>
    </w:p>
    <w:p w14:paraId="2A27F65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BCF"/>
    <w:rsid w:val="002978F5"/>
    <w:rsid w:val="003852CF"/>
    <w:rsid w:val="004E780C"/>
    <w:rsid w:val="00617BCF"/>
    <w:rsid w:val="0087759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8E43C"/>
  <w15:chartTrackingRefBased/>
  <w15:docId w15:val="{16899D40-6180-4FC6-B70F-B36D5A5CC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BCF"/>
    <w:pPr>
      <w:spacing w:line="259" w:lineRule="auto"/>
    </w:pPr>
    <w:rPr>
      <w:rFonts w:ascii="Arial" w:hAnsi="Arial" w:cs="Arial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BC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BC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BC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BC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BC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BC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BC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BC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BC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B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B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B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B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B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B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B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B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B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B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17B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BC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17B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BCF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17B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BCF"/>
    <w:pPr>
      <w:spacing w:line="278" w:lineRule="auto"/>
      <w:ind w:left="720"/>
      <w:contextualSpacing/>
    </w:pPr>
    <w:rPr>
      <w:rFonts w:asciiTheme="minorHAnsi" w:hAnsiTheme="minorHAnsi" w:cstheme="minorBidi"/>
      <w:lang w:val="en-US"/>
    </w:rPr>
  </w:style>
  <w:style w:type="character" w:styleId="IntenseEmphasis">
    <w:name w:val="Intense Emphasis"/>
    <w:basedOn w:val="DefaultParagraphFont"/>
    <w:uiPriority w:val="21"/>
    <w:qFormat/>
    <w:rsid w:val="00617B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B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B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BCF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617BCF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266</Words>
  <Characters>1650</Characters>
  <Application>Microsoft Office Word</Application>
  <DocSecurity>0</DocSecurity>
  <Lines>28</Lines>
  <Paragraphs>6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2025-12-02T13:51:00Z</dcterms:created>
  <dcterms:modified xsi:type="dcterms:W3CDTF">2025-12-02T13:52:00Z</dcterms:modified>
</cp:coreProperties>
</file>