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C5F6" w14:textId="70DEE31F" w:rsidR="002265C9" w:rsidRDefault="002265C9" w:rsidP="002265C9">
      <w:pPr>
        <w:spacing w:after="0" w:line="240" w:lineRule="auto"/>
        <w:jc w:val="both"/>
        <w:rPr>
          <w:b/>
          <w:iCs/>
          <w:color w:val="0E2841"/>
          <w:lang w:val="en-US"/>
        </w:rPr>
      </w:pPr>
      <w:r>
        <w:rPr>
          <w:b/>
          <w:iCs/>
          <w:color w:val="0E2841"/>
          <w:lang w:val="en-US"/>
        </w:rPr>
        <w:t xml:space="preserve">Tables </w:t>
      </w:r>
    </w:p>
    <w:p w14:paraId="5E14841F" w14:textId="77777777" w:rsidR="002265C9" w:rsidRDefault="002265C9" w:rsidP="002265C9">
      <w:pPr>
        <w:spacing w:after="0" w:line="360" w:lineRule="auto"/>
        <w:jc w:val="both"/>
        <w:rPr>
          <w:b/>
          <w:lang w:val="en-US"/>
        </w:rPr>
      </w:pPr>
    </w:p>
    <w:p w14:paraId="4F7768A1" w14:textId="13E54854" w:rsidR="002265C9" w:rsidRPr="00B3668B" w:rsidRDefault="002265C9" w:rsidP="002265C9">
      <w:pPr>
        <w:spacing w:after="0" w:line="360" w:lineRule="auto"/>
        <w:jc w:val="both"/>
        <w:rPr>
          <w:b/>
          <w:lang w:val="en-US"/>
        </w:rPr>
      </w:pPr>
      <w:r w:rsidRPr="00B3668B">
        <w:rPr>
          <w:b/>
          <w:lang w:val="en-US"/>
        </w:rPr>
        <w:t xml:space="preserve">Species-Specific Growth Models Inform Sustainable Management of </w:t>
      </w:r>
      <w:r w:rsidRPr="00B3668B">
        <w:rPr>
          <w:b/>
          <w:i/>
          <w:iCs/>
          <w:lang w:val="en-US"/>
        </w:rPr>
        <w:t>Rhizophora mangle</w:t>
      </w:r>
      <w:r w:rsidRPr="00B3668B">
        <w:rPr>
          <w:b/>
          <w:lang w:val="en-US"/>
        </w:rPr>
        <w:t xml:space="preserve"> in the Colombian Caribbean</w:t>
      </w:r>
    </w:p>
    <w:p w14:paraId="32F5D0CA" w14:textId="77777777" w:rsidR="002265C9" w:rsidRPr="004C76A5" w:rsidRDefault="002265C9" w:rsidP="002265C9">
      <w:pPr>
        <w:spacing w:line="276" w:lineRule="auto"/>
        <w:jc w:val="both"/>
        <w:rPr>
          <w:bCs/>
        </w:rPr>
      </w:pPr>
      <w:proofErr w:type="spellStart"/>
      <w:r w:rsidRPr="004C76A5">
        <w:rPr>
          <w:bCs/>
        </w:rPr>
        <w:t>Wetlands</w:t>
      </w:r>
      <w:proofErr w:type="spellEnd"/>
      <w:r w:rsidRPr="004C76A5">
        <w:rPr>
          <w:bCs/>
        </w:rPr>
        <w:t xml:space="preserve"> </w:t>
      </w:r>
      <w:proofErr w:type="spellStart"/>
      <w:r w:rsidRPr="004C76A5">
        <w:rPr>
          <w:bCs/>
        </w:rPr>
        <w:t>Ecology</w:t>
      </w:r>
      <w:proofErr w:type="spellEnd"/>
      <w:r w:rsidRPr="004C76A5">
        <w:rPr>
          <w:bCs/>
        </w:rPr>
        <w:t xml:space="preserve"> and Management</w:t>
      </w:r>
    </w:p>
    <w:p w14:paraId="1B57A93B" w14:textId="77777777" w:rsidR="002265C9" w:rsidRPr="00CD28CF" w:rsidRDefault="002265C9" w:rsidP="002265C9">
      <w:pPr>
        <w:spacing w:line="360" w:lineRule="auto"/>
        <w:jc w:val="both"/>
        <w:rPr>
          <w:vertAlign w:val="superscript"/>
        </w:rPr>
      </w:pPr>
      <w:r w:rsidRPr="00CD28CF">
        <w:t>David Valderrama</w:t>
      </w:r>
      <w:r w:rsidRPr="00CD28CF">
        <w:rPr>
          <w:vertAlign w:val="superscript"/>
        </w:rPr>
        <w:t>1</w:t>
      </w:r>
      <w:r w:rsidRPr="00CD28CF">
        <w:t>, Jaime Polanía</w:t>
      </w:r>
      <w:r w:rsidRPr="00CD28CF">
        <w:rPr>
          <w:vertAlign w:val="superscript"/>
        </w:rPr>
        <w:t>1</w:t>
      </w:r>
      <w:r w:rsidRPr="00CD28CF">
        <w:t>, Valeria Aguiar</w:t>
      </w:r>
      <w:r w:rsidRPr="00CD28CF">
        <w:rPr>
          <w:vertAlign w:val="superscript"/>
        </w:rPr>
        <w:t>1</w:t>
      </w:r>
      <w:r w:rsidRPr="00CD28CF">
        <w:t>, Sergio Orrego</w:t>
      </w:r>
      <w:r w:rsidRPr="00CD28CF">
        <w:rPr>
          <w:vertAlign w:val="superscript"/>
        </w:rPr>
        <w:t>1</w:t>
      </w:r>
    </w:p>
    <w:p w14:paraId="0D03F9BA" w14:textId="77777777" w:rsidR="002265C9" w:rsidRDefault="002265C9" w:rsidP="002265C9">
      <w:pPr>
        <w:spacing w:line="276" w:lineRule="auto"/>
        <w:jc w:val="both"/>
      </w:pPr>
      <w:r w:rsidRPr="00CD28CF">
        <w:rPr>
          <w:vertAlign w:val="superscript"/>
        </w:rPr>
        <w:t>1</w:t>
      </w:r>
      <w:r w:rsidRPr="00CD28CF">
        <w:t xml:space="preserve"> </w:t>
      </w:r>
      <w:proofErr w:type="gramStart"/>
      <w:r w:rsidRPr="00CD28CF">
        <w:t>Departamento</w:t>
      </w:r>
      <w:proofErr w:type="gramEnd"/>
      <w:r w:rsidRPr="00CD28CF">
        <w:t xml:space="preserve"> de Ciencias Forestales, Universidad Nacional de Colombia, sede Medellín, Carrera 65 No 59A – 110, Medellín, Colombia</w:t>
      </w:r>
    </w:p>
    <w:p w14:paraId="6C901E5F" w14:textId="77777777" w:rsidR="002265C9" w:rsidRPr="002F0B75" w:rsidRDefault="002265C9" w:rsidP="002265C9">
      <w:pPr>
        <w:spacing w:line="276" w:lineRule="auto"/>
        <w:jc w:val="both"/>
        <w:rPr>
          <w:lang w:val="en-US"/>
        </w:rPr>
      </w:pPr>
      <w:r w:rsidRPr="002F0B75">
        <w:rPr>
          <w:b/>
          <w:bCs/>
          <w:lang w:val="en-US"/>
        </w:rPr>
        <w:t xml:space="preserve">Corresponding author: </w:t>
      </w:r>
      <w:r w:rsidRPr="002F0B75">
        <w:rPr>
          <w:lang w:val="en-US"/>
        </w:rPr>
        <w:t>David Valderrama</w:t>
      </w:r>
    </w:p>
    <w:p w14:paraId="6FEA1F7D" w14:textId="77777777" w:rsidR="002265C9" w:rsidRPr="002F0B75" w:rsidRDefault="002265C9" w:rsidP="002265C9">
      <w:pPr>
        <w:spacing w:line="276" w:lineRule="auto"/>
        <w:jc w:val="both"/>
        <w:rPr>
          <w:lang w:val="en-US"/>
        </w:rPr>
      </w:pPr>
      <w:r w:rsidRPr="008051AB">
        <w:rPr>
          <w:lang w:val="en-US"/>
        </w:rPr>
        <w:t xml:space="preserve">E-mail address: </w:t>
      </w:r>
      <w:hyperlink r:id="rId6">
        <w:r w:rsidRPr="008051AB">
          <w:rPr>
            <w:color w:val="467886"/>
            <w:u w:val="single"/>
            <w:lang w:val="en-US"/>
          </w:rPr>
          <w:t>dvalderramaca@unal.edu.co</w:t>
        </w:r>
      </w:hyperlink>
    </w:p>
    <w:p w14:paraId="2043433E" w14:textId="77777777" w:rsidR="002265C9" w:rsidRDefault="002265C9" w:rsidP="002265C9">
      <w:pPr>
        <w:spacing w:after="0" w:line="240" w:lineRule="auto"/>
        <w:jc w:val="both"/>
        <w:rPr>
          <w:b/>
          <w:iCs/>
          <w:color w:val="0E2841"/>
          <w:lang w:val="en-US"/>
        </w:rPr>
      </w:pPr>
    </w:p>
    <w:p w14:paraId="3C558DF1" w14:textId="22904639" w:rsidR="002265C9" w:rsidRPr="001F03C6" w:rsidRDefault="002265C9" w:rsidP="002265C9">
      <w:pPr>
        <w:spacing w:after="0" w:line="240" w:lineRule="auto"/>
        <w:jc w:val="both"/>
        <w:rPr>
          <w:iCs/>
          <w:lang w:val="en-US"/>
        </w:rPr>
      </w:pPr>
      <w:r w:rsidRPr="001F03C6">
        <w:rPr>
          <w:b/>
          <w:iCs/>
          <w:color w:val="0E2841"/>
          <w:lang w:val="en-US"/>
        </w:rPr>
        <w:t xml:space="preserve">Table 1. </w:t>
      </w:r>
      <w:r w:rsidRPr="001F03C6">
        <w:rPr>
          <w:iCs/>
          <w:lang w:val="en-US"/>
        </w:rPr>
        <w:t>Estimated parameters for diameter growth and diameter-height models for R. mangle</w:t>
      </w:r>
    </w:p>
    <w:tbl>
      <w:tblPr>
        <w:tblpPr w:leftFromText="141" w:rightFromText="141" w:vertAnchor="text" w:tblpY="511"/>
        <w:tblW w:w="9253" w:type="dxa"/>
        <w:tblLayout w:type="fixed"/>
        <w:tblLook w:val="0400" w:firstRow="0" w:lastRow="0" w:firstColumn="0" w:lastColumn="0" w:noHBand="0" w:noVBand="1"/>
      </w:tblPr>
      <w:tblGrid>
        <w:gridCol w:w="1020"/>
        <w:gridCol w:w="1020"/>
        <w:gridCol w:w="1374"/>
        <w:gridCol w:w="960"/>
        <w:gridCol w:w="1271"/>
        <w:gridCol w:w="1211"/>
        <w:gridCol w:w="10"/>
        <w:gridCol w:w="1283"/>
        <w:gridCol w:w="10"/>
        <w:gridCol w:w="1084"/>
        <w:gridCol w:w="10"/>
      </w:tblGrid>
      <w:tr w:rsidR="002265C9" w:rsidRPr="00652E9E" w14:paraId="706A5067" w14:textId="77777777" w:rsidTr="00246993">
        <w:trPr>
          <w:trHeight w:val="288"/>
        </w:trPr>
        <w:tc>
          <w:tcPr>
            <w:tcW w:w="1020" w:type="dxa"/>
            <w:tcBorders>
              <w:top w:val="single" w:sz="4" w:space="0" w:color="000000"/>
              <w:bottom w:val="single" w:sz="4" w:space="0" w:color="000000"/>
            </w:tcBorders>
            <w:vAlign w:val="bottom"/>
          </w:tcPr>
          <w:p w14:paraId="3933248D" w14:textId="77777777" w:rsidR="002265C9" w:rsidRPr="00652E9E" w:rsidRDefault="002265C9" w:rsidP="00246993">
            <w:pPr>
              <w:spacing w:after="0"/>
              <w:rPr>
                <w:color w:val="000000"/>
                <w:sz w:val="20"/>
                <w:szCs w:val="20"/>
              </w:rPr>
            </w:pPr>
            <w:proofErr w:type="spellStart"/>
            <w:r w:rsidRPr="00652E9E">
              <w:rPr>
                <w:color w:val="000000"/>
                <w:sz w:val="20"/>
                <w:szCs w:val="20"/>
              </w:rPr>
              <w:t>Model</w:t>
            </w:r>
            <w:proofErr w:type="spellEnd"/>
          </w:p>
        </w:tc>
        <w:tc>
          <w:tcPr>
            <w:tcW w:w="3354" w:type="dxa"/>
            <w:gridSpan w:val="3"/>
            <w:tcBorders>
              <w:top w:val="single" w:sz="4" w:space="0" w:color="000000"/>
              <w:bottom w:val="single" w:sz="4" w:space="0" w:color="000000"/>
            </w:tcBorders>
            <w:vAlign w:val="bottom"/>
          </w:tcPr>
          <w:p w14:paraId="7A0E126E" w14:textId="77777777" w:rsidR="002265C9" w:rsidRPr="00652E9E" w:rsidRDefault="002265C9" w:rsidP="00246993">
            <w:pPr>
              <w:spacing w:after="0"/>
              <w:jc w:val="center"/>
              <w:rPr>
                <w:color w:val="000000"/>
                <w:sz w:val="20"/>
                <w:szCs w:val="20"/>
              </w:rPr>
            </w:pPr>
            <w:proofErr w:type="spellStart"/>
            <w:r w:rsidRPr="00652E9E">
              <w:rPr>
                <w:color w:val="000000"/>
                <w:sz w:val="20"/>
                <w:szCs w:val="20"/>
              </w:rPr>
              <w:t>Fixed</w:t>
            </w:r>
            <w:proofErr w:type="spellEnd"/>
            <w:r w:rsidRPr="00652E9E">
              <w:rPr>
                <w:color w:val="000000"/>
                <w:sz w:val="20"/>
                <w:szCs w:val="20"/>
              </w:rPr>
              <w:t xml:space="preserve"> </w:t>
            </w:r>
            <w:proofErr w:type="spellStart"/>
            <w:r w:rsidRPr="00652E9E">
              <w:rPr>
                <w:color w:val="000000"/>
                <w:sz w:val="20"/>
                <w:szCs w:val="20"/>
              </w:rPr>
              <w:t>effects</w:t>
            </w:r>
            <w:proofErr w:type="spellEnd"/>
          </w:p>
        </w:tc>
        <w:tc>
          <w:tcPr>
            <w:tcW w:w="2492" w:type="dxa"/>
            <w:gridSpan w:val="3"/>
            <w:tcBorders>
              <w:top w:val="single" w:sz="4" w:space="0" w:color="000000"/>
            </w:tcBorders>
            <w:vAlign w:val="bottom"/>
          </w:tcPr>
          <w:p w14:paraId="08E604AB" w14:textId="77777777" w:rsidR="002265C9" w:rsidRPr="00652E9E" w:rsidRDefault="002265C9" w:rsidP="00246993">
            <w:pPr>
              <w:spacing w:after="0"/>
              <w:jc w:val="center"/>
              <w:rPr>
                <w:color w:val="000000"/>
                <w:sz w:val="20"/>
                <w:szCs w:val="20"/>
              </w:rPr>
            </w:pPr>
            <w:proofErr w:type="spellStart"/>
            <w:r w:rsidRPr="00652E9E">
              <w:rPr>
                <w:color w:val="000000"/>
                <w:sz w:val="20"/>
                <w:szCs w:val="20"/>
              </w:rPr>
              <w:t>Random</w:t>
            </w:r>
            <w:proofErr w:type="spellEnd"/>
            <w:r w:rsidRPr="00652E9E">
              <w:rPr>
                <w:color w:val="000000"/>
                <w:sz w:val="20"/>
                <w:szCs w:val="20"/>
              </w:rPr>
              <w:t xml:space="preserve"> </w:t>
            </w:r>
            <w:proofErr w:type="spellStart"/>
            <w:r w:rsidRPr="00652E9E">
              <w:rPr>
                <w:color w:val="000000"/>
                <w:sz w:val="20"/>
                <w:szCs w:val="20"/>
              </w:rPr>
              <w:t>effects</w:t>
            </w:r>
            <w:proofErr w:type="spellEnd"/>
          </w:p>
        </w:tc>
        <w:tc>
          <w:tcPr>
            <w:tcW w:w="1293" w:type="dxa"/>
            <w:gridSpan w:val="2"/>
            <w:tcBorders>
              <w:top w:val="single" w:sz="4" w:space="0" w:color="000000"/>
            </w:tcBorders>
            <w:vAlign w:val="center"/>
          </w:tcPr>
          <w:p w14:paraId="7B4DCD96" w14:textId="77777777" w:rsidR="002265C9" w:rsidRPr="00652E9E" w:rsidRDefault="002265C9" w:rsidP="00246993">
            <w:pPr>
              <w:spacing w:after="0"/>
              <w:jc w:val="center"/>
              <w:rPr>
                <w:color w:val="000000"/>
                <w:sz w:val="20"/>
                <w:szCs w:val="20"/>
              </w:rPr>
            </w:pPr>
            <w:proofErr w:type="spellStart"/>
            <w:r w:rsidRPr="00652E9E">
              <w:rPr>
                <w:color w:val="000000"/>
                <w:sz w:val="20"/>
                <w:szCs w:val="20"/>
              </w:rPr>
              <w:t>Correlation</w:t>
            </w:r>
            <w:proofErr w:type="spellEnd"/>
            <w:r w:rsidRPr="00652E9E">
              <w:rPr>
                <w:color w:val="000000"/>
                <w:sz w:val="20"/>
                <w:szCs w:val="20"/>
              </w:rPr>
              <w:t xml:space="preserve"> </w:t>
            </w:r>
            <w:proofErr w:type="spellStart"/>
            <w:r w:rsidRPr="00652E9E">
              <w:rPr>
                <w:color w:val="000000"/>
                <w:sz w:val="20"/>
                <w:szCs w:val="20"/>
              </w:rPr>
              <w:t>structure</w:t>
            </w:r>
            <w:proofErr w:type="spellEnd"/>
          </w:p>
        </w:tc>
        <w:tc>
          <w:tcPr>
            <w:tcW w:w="1094" w:type="dxa"/>
            <w:gridSpan w:val="2"/>
            <w:tcBorders>
              <w:top w:val="single" w:sz="4" w:space="0" w:color="000000"/>
            </w:tcBorders>
            <w:vAlign w:val="center"/>
          </w:tcPr>
          <w:p w14:paraId="72D4FFE8" w14:textId="77777777" w:rsidR="002265C9" w:rsidRPr="00652E9E" w:rsidRDefault="002265C9" w:rsidP="00246993">
            <w:pPr>
              <w:spacing w:after="0"/>
              <w:jc w:val="center"/>
              <w:rPr>
                <w:sz w:val="20"/>
                <w:szCs w:val="20"/>
              </w:rPr>
            </w:pPr>
            <w:proofErr w:type="spellStart"/>
            <w:r w:rsidRPr="00652E9E">
              <w:rPr>
                <w:color w:val="000000"/>
                <w:sz w:val="20"/>
                <w:szCs w:val="20"/>
              </w:rPr>
              <w:t>Variance</w:t>
            </w:r>
            <w:proofErr w:type="spellEnd"/>
            <w:r w:rsidRPr="00652E9E">
              <w:rPr>
                <w:color w:val="000000"/>
                <w:sz w:val="20"/>
                <w:szCs w:val="20"/>
              </w:rPr>
              <w:t xml:space="preserve"> </w:t>
            </w:r>
            <w:proofErr w:type="spellStart"/>
            <w:r w:rsidRPr="00652E9E">
              <w:rPr>
                <w:color w:val="000000"/>
                <w:sz w:val="20"/>
                <w:szCs w:val="20"/>
              </w:rPr>
              <w:t>structure</w:t>
            </w:r>
            <w:proofErr w:type="spellEnd"/>
          </w:p>
        </w:tc>
      </w:tr>
      <w:tr w:rsidR="002265C9" w:rsidRPr="00652E9E" w14:paraId="29D30C98" w14:textId="77777777" w:rsidTr="00246993">
        <w:trPr>
          <w:gridAfter w:val="1"/>
          <w:wAfter w:w="10" w:type="dxa"/>
          <w:trHeight w:val="288"/>
        </w:trPr>
        <w:tc>
          <w:tcPr>
            <w:tcW w:w="1020" w:type="dxa"/>
            <w:vMerge w:val="restart"/>
            <w:tcBorders>
              <w:top w:val="single" w:sz="4" w:space="0" w:color="000000"/>
            </w:tcBorders>
            <w:tcMar>
              <w:left w:w="70" w:type="dxa"/>
              <w:right w:w="70" w:type="dxa"/>
            </w:tcMar>
            <w:vAlign w:val="bottom"/>
          </w:tcPr>
          <w:p w14:paraId="399B79A0" w14:textId="77777777" w:rsidR="002265C9" w:rsidRPr="00652E9E" w:rsidRDefault="002265C9" w:rsidP="00246993">
            <w:pPr>
              <w:spacing w:after="0"/>
              <w:jc w:val="center"/>
              <w:rPr>
                <w:color w:val="000000"/>
                <w:sz w:val="20"/>
                <w:szCs w:val="20"/>
              </w:rPr>
            </w:pPr>
            <w:proofErr w:type="spellStart"/>
            <w:r w:rsidRPr="00652E9E">
              <w:rPr>
                <w:color w:val="000000"/>
                <w:sz w:val="20"/>
                <w:szCs w:val="20"/>
              </w:rPr>
              <w:t>Diameter</w:t>
            </w:r>
            <w:proofErr w:type="spellEnd"/>
            <w:r w:rsidRPr="00652E9E">
              <w:rPr>
                <w:color w:val="000000"/>
                <w:sz w:val="20"/>
                <w:szCs w:val="20"/>
              </w:rPr>
              <w:t xml:space="preserve"> </w:t>
            </w:r>
            <w:proofErr w:type="spellStart"/>
            <w:r w:rsidRPr="00652E9E">
              <w:rPr>
                <w:color w:val="000000"/>
                <w:sz w:val="20"/>
                <w:szCs w:val="20"/>
              </w:rPr>
              <w:t>growth</w:t>
            </w:r>
            <w:proofErr w:type="spellEnd"/>
            <w:r w:rsidRPr="00652E9E">
              <w:rPr>
                <w:color w:val="000000"/>
                <w:sz w:val="20"/>
                <w:szCs w:val="20"/>
              </w:rPr>
              <w:t xml:space="preserve"> </w:t>
            </w:r>
          </w:p>
        </w:tc>
        <w:tc>
          <w:tcPr>
            <w:tcW w:w="1020" w:type="dxa"/>
            <w:tcBorders>
              <w:top w:val="single" w:sz="4" w:space="0" w:color="000000"/>
              <w:bottom w:val="single" w:sz="4" w:space="0" w:color="000000"/>
            </w:tcBorders>
            <w:tcMar>
              <w:left w:w="70" w:type="dxa"/>
              <w:right w:w="70" w:type="dxa"/>
            </w:tcMar>
            <w:vAlign w:val="bottom"/>
          </w:tcPr>
          <w:p w14:paraId="1C95D2DB" w14:textId="77777777" w:rsidR="002265C9" w:rsidRPr="00652E9E" w:rsidRDefault="002265C9" w:rsidP="00246993">
            <w:pPr>
              <w:jc w:val="center"/>
              <w:rPr>
                <w:color w:val="000000"/>
                <w:sz w:val="20"/>
                <w:szCs w:val="20"/>
              </w:rPr>
            </w:pPr>
            <w:bookmarkStart w:id="0" w:name="_heading=h.fcpdgbujwons" w:colFirst="0" w:colLast="0"/>
            <w:bookmarkEnd w:id="0"/>
            <m:oMathPara>
              <m:oMath>
                <m:r>
                  <w:rPr>
                    <w:rFonts w:ascii="Cambria Math" w:hAnsi="Cambria Math"/>
                  </w:rPr>
                  <m:t>η</m:t>
                </m:r>
              </m:oMath>
            </m:oMathPara>
          </w:p>
        </w:tc>
        <w:tc>
          <w:tcPr>
            <w:tcW w:w="1374" w:type="dxa"/>
            <w:tcBorders>
              <w:top w:val="single" w:sz="4" w:space="0" w:color="000000"/>
              <w:bottom w:val="single" w:sz="4" w:space="0" w:color="000000"/>
            </w:tcBorders>
            <w:tcMar>
              <w:left w:w="70" w:type="dxa"/>
              <w:right w:w="70" w:type="dxa"/>
            </w:tcMar>
            <w:vAlign w:val="bottom"/>
          </w:tcPr>
          <w:p w14:paraId="3AC6EC55" w14:textId="77777777" w:rsidR="002265C9" w:rsidRPr="00652E9E" w:rsidRDefault="002265C9" w:rsidP="00246993">
            <w:pPr>
              <w:jc w:val="cente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m</m:t>
                </m:r>
              </m:oMath>
            </m:oMathPara>
          </w:p>
        </w:tc>
        <w:tc>
          <w:tcPr>
            <w:tcW w:w="960" w:type="dxa"/>
            <w:tcBorders>
              <w:top w:val="single" w:sz="4" w:space="0" w:color="000000"/>
              <w:bottom w:val="single" w:sz="4" w:space="0" w:color="000000"/>
            </w:tcBorders>
            <w:tcMar>
              <w:left w:w="70" w:type="dxa"/>
              <w:right w:w="70" w:type="dxa"/>
            </w:tcMar>
            <w:vAlign w:val="bottom"/>
          </w:tcPr>
          <w:p w14:paraId="7C654B5F" w14:textId="77777777" w:rsidR="002265C9" w:rsidRPr="00652E9E" w:rsidRDefault="002265C9" w:rsidP="00246993">
            <w:pPr>
              <w:jc w:val="center"/>
              <w:rPr>
                <w:rFonts w:ascii="Cambria Math" w:eastAsia="Cambria Math" w:hAnsi="Cambria Math" w:cs="Cambria Math"/>
                <w:color w:val="000000"/>
                <w:sz w:val="20"/>
                <w:szCs w:val="20"/>
              </w:rPr>
            </w:pPr>
            <w:bookmarkStart w:id="1" w:name="_heading=h.1ehokl84upv4" w:colFirst="0" w:colLast="0"/>
            <w:bookmarkEnd w:id="1"/>
            <m:oMathPara>
              <m:oMath>
                <m:r>
                  <w:rPr>
                    <w:rFonts w:ascii="Cambria Math" w:hAnsi="Cambria Math"/>
                  </w:rPr>
                  <m:t>γ</m:t>
                </m:r>
              </m:oMath>
            </m:oMathPara>
          </w:p>
        </w:tc>
        <w:tc>
          <w:tcPr>
            <w:tcW w:w="1271" w:type="dxa"/>
            <w:tcBorders>
              <w:top w:val="single" w:sz="4" w:space="0" w:color="000000"/>
              <w:bottom w:val="single" w:sz="4" w:space="0" w:color="000000"/>
            </w:tcBorders>
            <w:tcMar>
              <w:left w:w="70" w:type="dxa"/>
              <w:right w:w="70" w:type="dxa"/>
            </w:tcMar>
            <w:vAlign w:val="bottom"/>
          </w:tcPr>
          <w:p w14:paraId="55097B30" w14:textId="77777777" w:rsidR="002265C9" w:rsidRPr="00652E9E" w:rsidRDefault="002265C9" w:rsidP="00246993">
            <w:pPr>
              <w:jc w:val="center"/>
              <w:rPr>
                <w:rFonts w:ascii="Cambria Math" w:eastAsia="Cambria Math" w:hAnsi="Cambria Math" w:cs="Cambria Math"/>
                <w:color w:val="000000"/>
                <w:sz w:val="20"/>
                <w:szCs w:val="20"/>
              </w:rPr>
            </w:pPr>
            <m:oMathPara>
              <m:oMath>
                <m:sSub>
                  <m:sSubPr>
                    <m:ctrlPr>
                      <w:rPr>
                        <w:rFonts w:ascii="Cambria Math" w:hAnsi="Cambria Math"/>
                      </w:rPr>
                    </m:ctrlPr>
                  </m:sSubPr>
                  <m:e>
                    <m:r>
                      <w:rPr>
                        <w:rFonts w:ascii="Cambria Math" w:hAnsi="Cambria Math"/>
                      </w:rPr>
                      <m:t>σ</m:t>
                    </m:r>
                  </m:e>
                  <m:sub>
                    <m:r>
                      <w:rPr>
                        <w:rFonts w:ascii="Cambria Math" w:hAnsi="Cambria Math"/>
                      </w:rPr>
                      <m:t>η</m:t>
                    </m:r>
                  </m:sub>
                </m:sSub>
              </m:oMath>
            </m:oMathPara>
          </w:p>
        </w:tc>
        <w:tc>
          <w:tcPr>
            <w:tcW w:w="1211" w:type="dxa"/>
            <w:tcBorders>
              <w:top w:val="single" w:sz="4" w:space="0" w:color="000000"/>
              <w:bottom w:val="single" w:sz="4" w:space="0" w:color="000000"/>
            </w:tcBorders>
            <w:tcMar>
              <w:left w:w="70" w:type="dxa"/>
              <w:right w:w="70" w:type="dxa"/>
            </w:tcMar>
            <w:vAlign w:val="bottom"/>
          </w:tcPr>
          <w:p w14:paraId="67C7CE0E" w14:textId="77777777" w:rsidR="002265C9" w:rsidRPr="00652E9E" w:rsidRDefault="002265C9" w:rsidP="0024699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hAnsi="Cambria Math"/>
                      </w:rPr>
                      <m:t>σ</m:t>
                    </m:r>
                  </m:e>
                  <m:sub>
                    <m:r>
                      <w:rPr>
                        <w:rFonts w:ascii="Cambria Math" w:eastAsia="Cambria Math" w:hAnsi="Cambria Math" w:cs="Cambria Math"/>
                        <w:color w:val="000000"/>
                        <w:sz w:val="20"/>
                        <w:szCs w:val="20"/>
                      </w:rPr>
                      <m:t>m</m:t>
                    </m:r>
                  </m:sub>
                </m:sSub>
              </m:oMath>
            </m:oMathPara>
          </w:p>
        </w:tc>
        <w:tc>
          <w:tcPr>
            <w:tcW w:w="1293" w:type="dxa"/>
            <w:gridSpan w:val="2"/>
            <w:tcBorders>
              <w:bottom w:val="single" w:sz="4" w:space="0" w:color="000000"/>
            </w:tcBorders>
            <w:tcMar>
              <w:left w:w="70" w:type="dxa"/>
              <w:right w:w="70" w:type="dxa"/>
            </w:tcMar>
            <w:vAlign w:val="bottom"/>
          </w:tcPr>
          <w:p w14:paraId="7738E552" w14:textId="77777777" w:rsidR="002265C9" w:rsidRPr="00652E9E" w:rsidRDefault="002265C9" w:rsidP="00246993">
            <w:pPr>
              <w:spacing w:after="0"/>
              <w:jc w:val="center"/>
              <w:rPr>
                <w:color w:val="000000"/>
                <w:sz w:val="20"/>
                <w:szCs w:val="20"/>
              </w:rPr>
            </w:pPr>
          </w:p>
        </w:tc>
        <w:tc>
          <w:tcPr>
            <w:tcW w:w="1094" w:type="dxa"/>
            <w:gridSpan w:val="2"/>
            <w:tcBorders>
              <w:bottom w:val="single" w:sz="4" w:space="0" w:color="000000"/>
            </w:tcBorders>
            <w:tcMar>
              <w:left w:w="70" w:type="dxa"/>
              <w:right w:w="70" w:type="dxa"/>
            </w:tcMar>
            <w:vAlign w:val="bottom"/>
          </w:tcPr>
          <w:p w14:paraId="5CC26CC1" w14:textId="77777777" w:rsidR="002265C9" w:rsidRPr="00652E9E" w:rsidRDefault="002265C9" w:rsidP="00246993">
            <w:pPr>
              <w:spacing w:after="0"/>
              <w:jc w:val="center"/>
              <w:rPr>
                <w:color w:val="000000"/>
                <w:sz w:val="20"/>
                <w:szCs w:val="20"/>
              </w:rPr>
            </w:pPr>
          </w:p>
        </w:tc>
      </w:tr>
      <w:tr w:rsidR="002265C9" w:rsidRPr="00652E9E" w14:paraId="15FFDE17" w14:textId="77777777" w:rsidTr="00246993">
        <w:trPr>
          <w:gridAfter w:val="1"/>
          <w:wAfter w:w="10" w:type="dxa"/>
          <w:trHeight w:val="288"/>
        </w:trPr>
        <w:tc>
          <w:tcPr>
            <w:tcW w:w="1020" w:type="dxa"/>
            <w:vMerge/>
            <w:tcBorders>
              <w:top w:val="single" w:sz="4" w:space="0" w:color="000000"/>
            </w:tcBorders>
            <w:tcMar>
              <w:left w:w="70" w:type="dxa"/>
              <w:right w:w="70" w:type="dxa"/>
            </w:tcMar>
            <w:vAlign w:val="bottom"/>
          </w:tcPr>
          <w:p w14:paraId="2096ECF3" w14:textId="77777777" w:rsidR="002265C9" w:rsidRPr="00652E9E" w:rsidRDefault="002265C9" w:rsidP="00246993">
            <w:pPr>
              <w:widowControl w:val="0"/>
              <w:pBdr>
                <w:top w:val="nil"/>
                <w:left w:val="nil"/>
                <w:bottom w:val="nil"/>
                <w:right w:val="nil"/>
                <w:between w:val="nil"/>
              </w:pBdr>
              <w:spacing w:after="0" w:line="276" w:lineRule="auto"/>
              <w:rPr>
                <w:color w:val="000000"/>
                <w:sz w:val="20"/>
                <w:szCs w:val="20"/>
              </w:rPr>
            </w:pPr>
          </w:p>
        </w:tc>
        <w:tc>
          <w:tcPr>
            <w:tcW w:w="1020" w:type="dxa"/>
            <w:tcBorders>
              <w:top w:val="single" w:sz="4" w:space="0" w:color="000000"/>
              <w:bottom w:val="single" w:sz="4" w:space="0" w:color="000000"/>
            </w:tcBorders>
            <w:vAlign w:val="bottom"/>
          </w:tcPr>
          <w:p w14:paraId="590CF5ED" w14:textId="77777777" w:rsidR="002265C9" w:rsidRPr="00652E9E" w:rsidRDefault="002265C9" w:rsidP="00246993">
            <w:pPr>
              <w:spacing w:after="0"/>
              <w:rPr>
                <w:color w:val="000000"/>
                <w:sz w:val="20"/>
                <w:szCs w:val="20"/>
              </w:rPr>
            </w:pPr>
            <w:r w:rsidRPr="00652E9E">
              <w:rPr>
                <w:color w:val="000000"/>
                <w:sz w:val="20"/>
                <w:szCs w:val="20"/>
              </w:rPr>
              <w:t>0.376***</w:t>
            </w:r>
          </w:p>
        </w:tc>
        <w:tc>
          <w:tcPr>
            <w:tcW w:w="1374" w:type="dxa"/>
            <w:tcBorders>
              <w:top w:val="single" w:sz="4" w:space="0" w:color="000000"/>
              <w:bottom w:val="single" w:sz="4" w:space="0" w:color="000000"/>
            </w:tcBorders>
            <w:vAlign w:val="bottom"/>
          </w:tcPr>
          <w:p w14:paraId="61436228" w14:textId="77777777" w:rsidR="002265C9" w:rsidRPr="00652E9E" w:rsidRDefault="002265C9" w:rsidP="00246993">
            <w:pPr>
              <w:spacing w:after="0"/>
              <w:rPr>
                <w:sz w:val="20"/>
                <w:szCs w:val="20"/>
              </w:rPr>
            </w:pPr>
            <w:r w:rsidRPr="00652E9E">
              <w:rPr>
                <w:sz w:val="20"/>
                <w:szCs w:val="20"/>
              </w:rPr>
              <w:t>0.571***</w:t>
            </w:r>
          </w:p>
        </w:tc>
        <w:tc>
          <w:tcPr>
            <w:tcW w:w="960" w:type="dxa"/>
            <w:tcBorders>
              <w:top w:val="single" w:sz="4" w:space="0" w:color="000000"/>
              <w:bottom w:val="single" w:sz="4" w:space="0" w:color="000000"/>
            </w:tcBorders>
            <w:vAlign w:val="bottom"/>
          </w:tcPr>
          <w:p w14:paraId="7119894C" w14:textId="77777777" w:rsidR="002265C9" w:rsidRPr="00652E9E" w:rsidRDefault="002265C9" w:rsidP="00246993">
            <w:pPr>
              <w:spacing w:after="0"/>
              <w:rPr>
                <w:sz w:val="20"/>
                <w:szCs w:val="20"/>
              </w:rPr>
            </w:pPr>
            <w:r w:rsidRPr="00652E9E">
              <w:rPr>
                <w:sz w:val="20"/>
                <w:szCs w:val="20"/>
              </w:rPr>
              <w:t>0.077***</w:t>
            </w:r>
          </w:p>
        </w:tc>
        <w:tc>
          <w:tcPr>
            <w:tcW w:w="1271" w:type="dxa"/>
            <w:tcBorders>
              <w:top w:val="single" w:sz="4" w:space="0" w:color="000000"/>
              <w:bottom w:val="single" w:sz="4" w:space="0" w:color="000000"/>
            </w:tcBorders>
            <w:vAlign w:val="bottom"/>
          </w:tcPr>
          <w:p w14:paraId="7BB5109B" w14:textId="77777777" w:rsidR="002265C9" w:rsidRPr="00652E9E" w:rsidRDefault="002265C9" w:rsidP="00246993">
            <w:pPr>
              <w:spacing w:after="0"/>
              <w:rPr>
                <w:sz w:val="20"/>
                <w:szCs w:val="20"/>
              </w:rPr>
            </w:pPr>
            <w:r w:rsidRPr="00652E9E">
              <w:rPr>
                <w:sz w:val="20"/>
                <w:szCs w:val="20"/>
              </w:rPr>
              <w:t>0.061</w:t>
            </w:r>
          </w:p>
        </w:tc>
        <w:tc>
          <w:tcPr>
            <w:tcW w:w="1211" w:type="dxa"/>
            <w:tcBorders>
              <w:top w:val="single" w:sz="4" w:space="0" w:color="000000"/>
              <w:bottom w:val="single" w:sz="4" w:space="0" w:color="000000"/>
            </w:tcBorders>
            <w:vAlign w:val="bottom"/>
          </w:tcPr>
          <w:p w14:paraId="6C4B0F01" w14:textId="77777777" w:rsidR="002265C9" w:rsidRPr="00652E9E" w:rsidRDefault="002265C9" w:rsidP="00246993">
            <w:pPr>
              <w:spacing w:after="0"/>
              <w:rPr>
                <w:sz w:val="20"/>
                <w:szCs w:val="20"/>
              </w:rPr>
            </w:pPr>
            <w:r w:rsidRPr="00652E9E">
              <w:rPr>
                <w:sz w:val="20"/>
                <w:szCs w:val="20"/>
              </w:rPr>
              <w:t>0.048</w:t>
            </w:r>
          </w:p>
        </w:tc>
        <w:tc>
          <w:tcPr>
            <w:tcW w:w="1293" w:type="dxa"/>
            <w:gridSpan w:val="2"/>
            <w:tcBorders>
              <w:top w:val="single" w:sz="4" w:space="0" w:color="000000"/>
              <w:bottom w:val="single" w:sz="4" w:space="0" w:color="000000"/>
            </w:tcBorders>
            <w:vAlign w:val="bottom"/>
          </w:tcPr>
          <w:p w14:paraId="168B8D94" w14:textId="77777777" w:rsidR="002265C9" w:rsidRPr="00652E9E" w:rsidRDefault="002265C9" w:rsidP="00246993">
            <w:pPr>
              <w:spacing w:after="0"/>
              <w:rPr>
                <w:rFonts w:ascii="Cambria Math" w:eastAsia="Cambria Math" w:hAnsi="Cambria Math" w:cs="Cambria Math"/>
                <w:i/>
                <w:color w:val="000000"/>
                <w:sz w:val="20"/>
                <w:szCs w:val="20"/>
              </w:rPr>
            </w:pPr>
            <w:proofErr w:type="gramStart"/>
            <w:r w:rsidRPr="00652E9E">
              <w:rPr>
                <w:color w:val="000000"/>
                <w:sz w:val="20"/>
                <w:szCs w:val="20"/>
              </w:rPr>
              <w:t>ARIMA(</w:t>
            </w:r>
            <w:proofErr w:type="gramEnd"/>
            <w:r w:rsidRPr="00652E9E">
              <w:rPr>
                <w:color w:val="000000"/>
                <w:sz w:val="20"/>
                <w:szCs w:val="20"/>
              </w:rPr>
              <w:t xml:space="preserve">1,1,0); </w:t>
            </w:r>
            <m:oMath>
              <m:r>
                <w:rPr>
                  <w:rFonts w:ascii="Cambria Math" w:eastAsia="Cambria Math" w:hAnsi="Cambria Math" w:cs="Cambria Math"/>
                  <w:color w:val="000000"/>
                  <w:sz w:val="20"/>
                  <w:szCs w:val="20"/>
                </w:rPr>
                <m:t>ϕ:0.28</m:t>
              </m:r>
            </m:oMath>
            <w:r w:rsidRPr="00652E9E">
              <w:rPr>
                <w:color w:val="000000"/>
                <w:sz w:val="20"/>
                <w:szCs w:val="20"/>
              </w:rPr>
              <w:t>***</w:t>
            </w:r>
          </w:p>
        </w:tc>
        <w:tc>
          <w:tcPr>
            <w:tcW w:w="1094" w:type="dxa"/>
            <w:gridSpan w:val="2"/>
            <w:tcBorders>
              <w:top w:val="single" w:sz="4" w:space="0" w:color="000000"/>
              <w:bottom w:val="single" w:sz="4" w:space="0" w:color="000000"/>
            </w:tcBorders>
            <w:vAlign w:val="bottom"/>
          </w:tcPr>
          <w:p w14:paraId="02C3361E" w14:textId="77777777" w:rsidR="002265C9" w:rsidRPr="00652E9E" w:rsidRDefault="002265C9" w:rsidP="00246993">
            <w:pPr>
              <w:spacing w:after="0"/>
              <w:rPr>
                <w:color w:val="000000"/>
                <w:sz w:val="20"/>
                <w:szCs w:val="20"/>
              </w:rPr>
            </w:pPr>
            <w:proofErr w:type="spellStart"/>
            <w:r w:rsidRPr="00652E9E">
              <w:rPr>
                <w:color w:val="000000"/>
                <w:sz w:val="20"/>
                <w:szCs w:val="20"/>
              </w:rPr>
              <w:t>VarConst</w:t>
            </w:r>
            <w:proofErr w:type="spellEnd"/>
          </w:p>
        </w:tc>
      </w:tr>
      <w:tr w:rsidR="002265C9" w:rsidRPr="00652E9E" w14:paraId="11CB9DF2" w14:textId="77777777" w:rsidTr="00246993">
        <w:trPr>
          <w:gridAfter w:val="1"/>
          <w:wAfter w:w="10" w:type="dxa"/>
          <w:trHeight w:val="288"/>
        </w:trPr>
        <w:tc>
          <w:tcPr>
            <w:tcW w:w="1020" w:type="dxa"/>
            <w:vMerge w:val="restart"/>
            <w:tcBorders>
              <w:top w:val="single" w:sz="4" w:space="0" w:color="000000"/>
            </w:tcBorders>
            <w:vAlign w:val="bottom"/>
          </w:tcPr>
          <w:p w14:paraId="13F7CCE3" w14:textId="77777777" w:rsidR="002265C9" w:rsidRPr="00652E9E" w:rsidRDefault="002265C9" w:rsidP="00246993">
            <w:pPr>
              <w:spacing w:after="0"/>
              <w:jc w:val="center"/>
              <w:rPr>
                <w:color w:val="000000"/>
                <w:sz w:val="20"/>
                <w:szCs w:val="20"/>
              </w:rPr>
            </w:pPr>
            <w:proofErr w:type="spellStart"/>
            <w:r w:rsidRPr="00652E9E">
              <w:rPr>
                <w:color w:val="000000"/>
                <w:sz w:val="20"/>
                <w:szCs w:val="20"/>
              </w:rPr>
              <w:t>Diameter</w:t>
            </w:r>
            <w:proofErr w:type="spellEnd"/>
            <w:r w:rsidRPr="00652E9E">
              <w:rPr>
                <w:color w:val="000000"/>
                <w:sz w:val="20"/>
                <w:szCs w:val="20"/>
              </w:rPr>
              <w:t xml:space="preserve"> - </w:t>
            </w:r>
            <w:proofErr w:type="spellStart"/>
            <w:r w:rsidRPr="00652E9E">
              <w:rPr>
                <w:color w:val="000000"/>
                <w:sz w:val="20"/>
                <w:szCs w:val="20"/>
              </w:rPr>
              <w:t>Height</w:t>
            </w:r>
            <w:proofErr w:type="spellEnd"/>
          </w:p>
        </w:tc>
        <w:tc>
          <w:tcPr>
            <w:tcW w:w="1020" w:type="dxa"/>
            <w:tcBorders>
              <w:top w:val="single" w:sz="4" w:space="0" w:color="000000"/>
              <w:bottom w:val="single" w:sz="4" w:space="0" w:color="000000"/>
            </w:tcBorders>
            <w:vAlign w:val="bottom"/>
          </w:tcPr>
          <w:p w14:paraId="247BD13F" w14:textId="77777777" w:rsidR="002265C9" w:rsidRPr="00652E9E" w:rsidRDefault="002265C9" w:rsidP="00246993">
            <w:pPr>
              <w:jc w:val="center"/>
              <w:rPr>
                <w:color w:val="000000"/>
                <w:sz w:val="20"/>
                <w:szCs w:val="20"/>
              </w:rPr>
            </w:pPr>
            <m:oMathPara>
              <m:oMath>
                <m:r>
                  <w:rPr>
                    <w:rFonts w:ascii="Cambria Math" w:hAnsi="Cambria Math"/>
                  </w:rPr>
                  <m:t>α</m:t>
                </m:r>
              </m:oMath>
            </m:oMathPara>
          </w:p>
        </w:tc>
        <w:tc>
          <w:tcPr>
            <w:tcW w:w="1374" w:type="dxa"/>
            <w:tcBorders>
              <w:top w:val="single" w:sz="4" w:space="0" w:color="000000"/>
              <w:bottom w:val="single" w:sz="4" w:space="0" w:color="000000"/>
            </w:tcBorders>
            <w:vAlign w:val="bottom"/>
          </w:tcPr>
          <w:p w14:paraId="3D171AE1" w14:textId="77777777" w:rsidR="002265C9" w:rsidRPr="00652E9E" w:rsidRDefault="002265C9" w:rsidP="00246993">
            <w:pPr>
              <w:jc w:val="center"/>
              <w:rPr>
                <w:color w:val="000000"/>
                <w:sz w:val="20"/>
                <w:szCs w:val="20"/>
              </w:rPr>
            </w:pPr>
            <m:oMathPara>
              <m:oMath>
                <m:r>
                  <w:rPr>
                    <w:rFonts w:ascii="Cambria Math" w:hAnsi="Cambria Math"/>
                  </w:rPr>
                  <m:t>β</m:t>
                </m:r>
              </m:oMath>
            </m:oMathPara>
          </w:p>
        </w:tc>
        <w:tc>
          <w:tcPr>
            <w:tcW w:w="960" w:type="dxa"/>
            <w:tcBorders>
              <w:top w:val="single" w:sz="4" w:space="0" w:color="000000"/>
              <w:bottom w:val="single" w:sz="4" w:space="0" w:color="000000"/>
            </w:tcBorders>
            <w:vAlign w:val="bottom"/>
          </w:tcPr>
          <w:p w14:paraId="3A6EFE09" w14:textId="77777777" w:rsidR="002265C9" w:rsidRPr="00652E9E" w:rsidRDefault="002265C9" w:rsidP="00246993">
            <w:pPr>
              <w:spacing w:after="0"/>
              <w:jc w:val="center"/>
              <w:rPr>
                <w:color w:val="000000"/>
                <w:sz w:val="20"/>
                <w:szCs w:val="20"/>
              </w:rPr>
            </w:pPr>
            <w:r w:rsidRPr="00652E9E">
              <w:rPr>
                <w:color w:val="000000"/>
                <w:sz w:val="20"/>
                <w:szCs w:val="20"/>
              </w:rPr>
              <w:t>-</w:t>
            </w:r>
          </w:p>
        </w:tc>
        <w:tc>
          <w:tcPr>
            <w:tcW w:w="1271" w:type="dxa"/>
            <w:tcBorders>
              <w:top w:val="single" w:sz="4" w:space="0" w:color="000000"/>
              <w:bottom w:val="single" w:sz="4" w:space="0" w:color="000000"/>
            </w:tcBorders>
            <w:vAlign w:val="bottom"/>
          </w:tcPr>
          <w:p w14:paraId="4F146002" w14:textId="77777777" w:rsidR="002265C9" w:rsidRPr="00652E9E" w:rsidRDefault="002265C9" w:rsidP="0024699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hAnsi="Cambria Math"/>
                      </w:rPr>
                      <m:t>σ</m:t>
                    </m:r>
                  </m:e>
                  <m:sub>
                    <m:r>
                      <w:rPr>
                        <w:rFonts w:ascii="Cambria Math" w:eastAsia="Cambria Math" w:hAnsi="Cambria Math" w:cs="Cambria Math"/>
                        <w:color w:val="000000"/>
                        <w:sz w:val="20"/>
                        <w:szCs w:val="20"/>
                      </w:rPr>
                      <m:t>αi</m:t>
                    </m:r>
                  </m:sub>
                </m:sSub>
                <m:r>
                  <w:rPr>
                    <w:rFonts w:ascii="Cambria Math" w:eastAsia="Cambria Math" w:hAnsi="Cambria Math" w:cs="Cambria Math"/>
                    <w:color w:val="000000"/>
                    <w:sz w:val="20"/>
                    <w:szCs w:val="20"/>
                  </w:rPr>
                  <m:t>/</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σ</m:t>
                    </m:r>
                  </m:e>
                  <m:sub>
                    <m:r>
                      <w:rPr>
                        <w:rFonts w:ascii="Cambria Math" w:eastAsia="Cambria Math" w:hAnsi="Cambria Math" w:cs="Cambria Math"/>
                        <w:color w:val="000000"/>
                        <w:sz w:val="20"/>
                        <w:szCs w:val="20"/>
                      </w:rPr>
                      <m:t>αj</m:t>
                    </m:r>
                  </m:sub>
                </m:sSub>
              </m:oMath>
            </m:oMathPara>
          </w:p>
        </w:tc>
        <w:tc>
          <w:tcPr>
            <w:tcW w:w="1211" w:type="dxa"/>
            <w:tcBorders>
              <w:top w:val="single" w:sz="4" w:space="0" w:color="000000"/>
              <w:bottom w:val="single" w:sz="4" w:space="0" w:color="000000"/>
            </w:tcBorders>
            <w:vAlign w:val="bottom"/>
          </w:tcPr>
          <w:p w14:paraId="5BB4042B" w14:textId="77777777" w:rsidR="002265C9" w:rsidRPr="00652E9E" w:rsidRDefault="002265C9" w:rsidP="0024699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hAnsi="Cambria Math"/>
                      </w:rPr>
                      <m:t>σ</m:t>
                    </m:r>
                  </m:e>
                  <m:sub>
                    <m:r>
                      <w:rPr>
                        <w:rFonts w:ascii="Cambria Math" w:eastAsia="Cambria Math" w:hAnsi="Cambria Math" w:cs="Cambria Math"/>
                        <w:color w:val="000000"/>
                        <w:sz w:val="20"/>
                        <w:szCs w:val="20"/>
                      </w:rPr>
                      <m:t>βi</m:t>
                    </m:r>
                  </m:sub>
                </m:sSub>
                <m:r>
                  <w:rPr>
                    <w:rFonts w:ascii="Cambria Math" w:eastAsia="Cambria Math" w:hAnsi="Cambria Math" w:cs="Cambria Math"/>
                    <w:color w:val="000000"/>
                    <w:sz w:val="20"/>
                    <w:szCs w:val="20"/>
                  </w:rPr>
                  <m:t>/</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σ</m:t>
                    </m:r>
                  </m:e>
                  <m:sub>
                    <m:r>
                      <w:rPr>
                        <w:rFonts w:ascii="Cambria Math" w:eastAsia="Cambria Math" w:hAnsi="Cambria Math" w:cs="Cambria Math"/>
                        <w:color w:val="000000"/>
                        <w:sz w:val="20"/>
                        <w:szCs w:val="20"/>
                      </w:rPr>
                      <m:t>βj</m:t>
                    </m:r>
                  </m:sub>
                </m:sSub>
              </m:oMath>
            </m:oMathPara>
          </w:p>
        </w:tc>
        <w:tc>
          <w:tcPr>
            <w:tcW w:w="1293" w:type="dxa"/>
            <w:gridSpan w:val="2"/>
            <w:vMerge w:val="restart"/>
            <w:tcBorders>
              <w:top w:val="single" w:sz="4" w:space="0" w:color="000000"/>
            </w:tcBorders>
            <w:vAlign w:val="bottom"/>
          </w:tcPr>
          <w:p w14:paraId="2410BE7D" w14:textId="77777777" w:rsidR="002265C9" w:rsidRPr="00652E9E" w:rsidRDefault="002265C9" w:rsidP="00246993">
            <w:pPr>
              <w:spacing w:after="0"/>
              <w:jc w:val="center"/>
              <w:rPr>
                <w:sz w:val="20"/>
                <w:szCs w:val="20"/>
              </w:rPr>
            </w:pPr>
            <w:r w:rsidRPr="00652E9E">
              <w:rPr>
                <w:color w:val="000000"/>
                <w:sz w:val="20"/>
                <w:szCs w:val="20"/>
              </w:rPr>
              <w:t>-</w:t>
            </w:r>
          </w:p>
        </w:tc>
        <w:tc>
          <w:tcPr>
            <w:tcW w:w="1094" w:type="dxa"/>
            <w:gridSpan w:val="2"/>
            <w:vMerge w:val="restart"/>
            <w:tcBorders>
              <w:top w:val="single" w:sz="4" w:space="0" w:color="000000"/>
            </w:tcBorders>
            <w:vAlign w:val="bottom"/>
          </w:tcPr>
          <w:p w14:paraId="31688539" w14:textId="77777777" w:rsidR="002265C9" w:rsidRPr="00652E9E" w:rsidRDefault="002265C9" w:rsidP="00246993">
            <w:pPr>
              <w:spacing w:after="0"/>
              <w:rPr>
                <w:sz w:val="20"/>
                <w:szCs w:val="20"/>
              </w:rPr>
            </w:pPr>
            <w:proofErr w:type="spellStart"/>
            <w:r w:rsidRPr="00652E9E">
              <w:rPr>
                <w:color w:val="000000"/>
                <w:sz w:val="20"/>
                <w:szCs w:val="20"/>
              </w:rPr>
              <w:t>VarPower</w:t>
            </w:r>
            <w:proofErr w:type="spellEnd"/>
            <w:r w:rsidRPr="00652E9E">
              <w:rPr>
                <w:color w:val="000000"/>
                <w:sz w:val="20"/>
                <w:szCs w:val="20"/>
              </w:rPr>
              <w:t xml:space="preserve">; </w:t>
            </w:r>
            <m:oMath>
              <m:r>
                <w:rPr>
                  <w:rFonts w:ascii="Cambria Math" w:eastAsia="Cambria Math" w:hAnsi="Cambria Math" w:cs="Cambria Math"/>
                  <w:color w:val="000000"/>
                  <w:sz w:val="20"/>
                  <w:szCs w:val="20"/>
                </w:rPr>
                <m:t>δ:1.32</m:t>
              </m:r>
            </m:oMath>
          </w:p>
        </w:tc>
      </w:tr>
      <w:tr w:rsidR="002265C9" w:rsidRPr="00652E9E" w14:paraId="54F08048" w14:textId="77777777" w:rsidTr="00246993">
        <w:trPr>
          <w:gridAfter w:val="1"/>
          <w:wAfter w:w="10" w:type="dxa"/>
          <w:trHeight w:val="288"/>
        </w:trPr>
        <w:tc>
          <w:tcPr>
            <w:tcW w:w="1020" w:type="dxa"/>
            <w:vMerge/>
            <w:tcBorders>
              <w:top w:val="single" w:sz="4" w:space="0" w:color="000000"/>
              <w:bottom w:val="single" w:sz="4" w:space="0" w:color="auto"/>
            </w:tcBorders>
            <w:vAlign w:val="bottom"/>
          </w:tcPr>
          <w:p w14:paraId="4B771645" w14:textId="77777777" w:rsidR="002265C9" w:rsidRPr="00652E9E" w:rsidRDefault="002265C9" w:rsidP="00246993">
            <w:pPr>
              <w:widowControl w:val="0"/>
              <w:pBdr>
                <w:top w:val="nil"/>
                <w:left w:val="nil"/>
                <w:bottom w:val="nil"/>
                <w:right w:val="nil"/>
                <w:between w:val="nil"/>
              </w:pBdr>
              <w:spacing w:after="0" w:line="276" w:lineRule="auto"/>
              <w:rPr>
                <w:sz w:val="20"/>
                <w:szCs w:val="20"/>
              </w:rPr>
            </w:pPr>
          </w:p>
        </w:tc>
        <w:tc>
          <w:tcPr>
            <w:tcW w:w="1020" w:type="dxa"/>
            <w:tcBorders>
              <w:top w:val="single" w:sz="4" w:space="0" w:color="000000"/>
              <w:bottom w:val="single" w:sz="4" w:space="0" w:color="000000"/>
            </w:tcBorders>
            <w:vAlign w:val="bottom"/>
          </w:tcPr>
          <w:p w14:paraId="329E283D" w14:textId="77777777" w:rsidR="002265C9" w:rsidRPr="00652E9E" w:rsidRDefault="002265C9" w:rsidP="00246993">
            <w:pPr>
              <w:spacing w:after="0" w:line="240" w:lineRule="auto"/>
              <w:rPr>
                <w:sz w:val="20"/>
                <w:szCs w:val="20"/>
              </w:rPr>
            </w:pPr>
            <w:r w:rsidRPr="00652E9E">
              <w:rPr>
                <w:sz w:val="20"/>
                <w:szCs w:val="20"/>
              </w:rPr>
              <w:t>15.593***</w:t>
            </w:r>
          </w:p>
        </w:tc>
        <w:tc>
          <w:tcPr>
            <w:tcW w:w="1374" w:type="dxa"/>
            <w:tcBorders>
              <w:top w:val="single" w:sz="4" w:space="0" w:color="000000"/>
              <w:bottom w:val="single" w:sz="4" w:space="0" w:color="000000"/>
            </w:tcBorders>
            <w:vAlign w:val="bottom"/>
          </w:tcPr>
          <w:p w14:paraId="787A7776" w14:textId="77777777" w:rsidR="002265C9" w:rsidRPr="00652E9E" w:rsidRDefault="002265C9" w:rsidP="00246993">
            <w:pPr>
              <w:spacing w:after="0" w:line="240" w:lineRule="auto"/>
              <w:rPr>
                <w:sz w:val="20"/>
                <w:szCs w:val="20"/>
              </w:rPr>
            </w:pPr>
            <w:r w:rsidRPr="00652E9E">
              <w:rPr>
                <w:sz w:val="20"/>
                <w:szCs w:val="20"/>
              </w:rPr>
              <w:t>7.535***</w:t>
            </w:r>
          </w:p>
        </w:tc>
        <w:tc>
          <w:tcPr>
            <w:tcW w:w="960" w:type="dxa"/>
            <w:tcBorders>
              <w:top w:val="single" w:sz="4" w:space="0" w:color="000000"/>
              <w:bottom w:val="single" w:sz="4" w:space="0" w:color="000000"/>
            </w:tcBorders>
            <w:vAlign w:val="bottom"/>
          </w:tcPr>
          <w:p w14:paraId="0D45D8C4" w14:textId="77777777" w:rsidR="002265C9" w:rsidRPr="00652E9E" w:rsidRDefault="002265C9" w:rsidP="00246993">
            <w:pPr>
              <w:spacing w:after="0" w:line="240" w:lineRule="auto"/>
              <w:jc w:val="center"/>
              <w:rPr>
                <w:sz w:val="20"/>
                <w:szCs w:val="20"/>
              </w:rPr>
            </w:pPr>
            <w:r w:rsidRPr="00652E9E">
              <w:rPr>
                <w:sz w:val="20"/>
                <w:szCs w:val="20"/>
              </w:rPr>
              <w:t>-</w:t>
            </w:r>
          </w:p>
        </w:tc>
        <w:tc>
          <w:tcPr>
            <w:tcW w:w="1271" w:type="dxa"/>
            <w:tcBorders>
              <w:top w:val="single" w:sz="4" w:space="0" w:color="000000"/>
              <w:bottom w:val="single" w:sz="4" w:space="0" w:color="000000"/>
            </w:tcBorders>
            <w:vAlign w:val="bottom"/>
          </w:tcPr>
          <w:p w14:paraId="4B998416" w14:textId="77777777" w:rsidR="002265C9" w:rsidRPr="00652E9E" w:rsidRDefault="002265C9" w:rsidP="00246993">
            <w:pPr>
              <w:spacing w:after="0" w:line="240" w:lineRule="auto"/>
              <w:rPr>
                <w:sz w:val="20"/>
                <w:szCs w:val="20"/>
              </w:rPr>
            </w:pPr>
            <w:r w:rsidRPr="00652E9E">
              <w:rPr>
                <w:sz w:val="20"/>
                <w:szCs w:val="20"/>
              </w:rPr>
              <w:t>1.215/1.118</w:t>
            </w:r>
          </w:p>
        </w:tc>
        <w:tc>
          <w:tcPr>
            <w:tcW w:w="1211" w:type="dxa"/>
            <w:tcBorders>
              <w:top w:val="single" w:sz="4" w:space="0" w:color="000000"/>
              <w:bottom w:val="single" w:sz="4" w:space="0" w:color="000000"/>
            </w:tcBorders>
            <w:vAlign w:val="bottom"/>
          </w:tcPr>
          <w:p w14:paraId="5B6D1243" w14:textId="77777777" w:rsidR="002265C9" w:rsidRPr="00652E9E" w:rsidRDefault="002265C9" w:rsidP="00246993">
            <w:pPr>
              <w:spacing w:after="0" w:line="240" w:lineRule="auto"/>
              <w:rPr>
                <w:sz w:val="20"/>
                <w:szCs w:val="20"/>
              </w:rPr>
            </w:pPr>
            <w:r w:rsidRPr="00652E9E">
              <w:rPr>
                <w:sz w:val="20"/>
                <w:szCs w:val="20"/>
              </w:rPr>
              <w:t>0.909/1.838</w:t>
            </w:r>
          </w:p>
        </w:tc>
        <w:tc>
          <w:tcPr>
            <w:tcW w:w="1293" w:type="dxa"/>
            <w:gridSpan w:val="2"/>
            <w:vMerge/>
            <w:tcBorders>
              <w:top w:val="single" w:sz="4" w:space="0" w:color="000000"/>
              <w:bottom w:val="single" w:sz="4" w:space="0" w:color="auto"/>
            </w:tcBorders>
            <w:vAlign w:val="bottom"/>
          </w:tcPr>
          <w:p w14:paraId="02627F1E" w14:textId="77777777" w:rsidR="002265C9" w:rsidRPr="00652E9E" w:rsidRDefault="002265C9" w:rsidP="00246993">
            <w:pPr>
              <w:widowControl w:val="0"/>
              <w:pBdr>
                <w:top w:val="nil"/>
                <w:left w:val="nil"/>
                <w:bottom w:val="nil"/>
                <w:right w:val="nil"/>
                <w:between w:val="nil"/>
              </w:pBdr>
              <w:spacing w:after="0" w:line="276" w:lineRule="auto"/>
              <w:rPr>
                <w:sz w:val="20"/>
                <w:szCs w:val="20"/>
              </w:rPr>
            </w:pPr>
          </w:p>
        </w:tc>
        <w:tc>
          <w:tcPr>
            <w:tcW w:w="1094" w:type="dxa"/>
            <w:gridSpan w:val="2"/>
            <w:vMerge/>
            <w:tcBorders>
              <w:top w:val="single" w:sz="4" w:space="0" w:color="000000"/>
              <w:bottom w:val="single" w:sz="4" w:space="0" w:color="auto"/>
            </w:tcBorders>
            <w:vAlign w:val="bottom"/>
          </w:tcPr>
          <w:p w14:paraId="17B34F28" w14:textId="77777777" w:rsidR="002265C9" w:rsidRPr="00652E9E" w:rsidRDefault="002265C9" w:rsidP="00246993">
            <w:pPr>
              <w:widowControl w:val="0"/>
              <w:pBdr>
                <w:top w:val="nil"/>
                <w:left w:val="nil"/>
                <w:bottom w:val="nil"/>
                <w:right w:val="nil"/>
                <w:between w:val="nil"/>
              </w:pBdr>
              <w:spacing w:after="0" w:line="276" w:lineRule="auto"/>
              <w:rPr>
                <w:sz w:val="20"/>
                <w:szCs w:val="20"/>
              </w:rPr>
            </w:pPr>
          </w:p>
        </w:tc>
      </w:tr>
    </w:tbl>
    <w:p w14:paraId="29763754" w14:textId="77777777" w:rsidR="002265C9" w:rsidRDefault="002265C9" w:rsidP="002265C9">
      <w:pPr>
        <w:spacing w:line="360" w:lineRule="auto"/>
        <w:jc w:val="both"/>
        <w:rPr>
          <w:color w:val="000000"/>
          <w:sz w:val="20"/>
          <w:szCs w:val="20"/>
          <w:lang w:val="en-US"/>
        </w:rPr>
      </w:pPr>
      <m:oMath>
        <m:sSub>
          <m:sSubPr>
            <m:ctrlPr>
              <w:rPr>
                <w:rFonts w:ascii="Cambria Math" w:hAnsi="Cambria Math"/>
              </w:rPr>
            </m:ctrlPr>
          </m:sSubPr>
          <m:e>
            <m:r>
              <w:rPr>
                <w:rFonts w:ascii="Cambria Math" w:hAnsi="Cambria Math"/>
              </w:rPr>
              <m:t>σ</m:t>
            </m:r>
          </m:e>
          <m:sub>
            <m:r>
              <w:rPr>
                <w:rFonts w:ascii="Cambria Math" w:hAnsi="Cambria Math"/>
              </w:rPr>
              <m:t>η</m:t>
            </m:r>
          </m:sub>
        </m:sSub>
      </m:oMath>
      <w:r w:rsidRPr="00652E9E">
        <w:rPr>
          <w:color w:val="000000"/>
          <w:sz w:val="20"/>
          <w:szCs w:val="20"/>
          <w:lang w:val="en-US"/>
        </w:rPr>
        <w:t xml:space="preserve"> and </w:t>
      </w:r>
      <m:oMath>
        <m:sSub>
          <m:sSubPr>
            <m:ctrlPr>
              <w:rPr>
                <w:rFonts w:ascii="Cambria Math" w:eastAsia="Cambria Math" w:hAnsi="Cambria Math" w:cs="Cambria Math"/>
                <w:color w:val="000000"/>
                <w:sz w:val="20"/>
                <w:szCs w:val="20"/>
              </w:rPr>
            </m:ctrlPr>
          </m:sSubPr>
          <m:e>
            <m:r>
              <w:rPr>
                <w:rFonts w:ascii="Cambria Math" w:hAnsi="Cambria Math"/>
              </w:rPr>
              <m:t>σ</m:t>
            </m:r>
          </m:e>
          <m:sub>
            <m:r>
              <w:rPr>
                <w:rFonts w:ascii="Cambria Math" w:eastAsia="Cambria Math" w:hAnsi="Cambria Math" w:cs="Cambria Math"/>
                <w:color w:val="000000"/>
                <w:sz w:val="20"/>
                <w:szCs w:val="20"/>
              </w:rPr>
              <m:t>m</m:t>
            </m:r>
          </m:sub>
        </m:sSub>
      </m:oMath>
      <w:r w:rsidRPr="00652E9E">
        <w:rPr>
          <w:color w:val="000000"/>
          <w:sz w:val="20"/>
          <w:szCs w:val="20"/>
          <w:lang w:val="en-US"/>
        </w:rPr>
        <w:t xml:space="preserve"> are the standard deviations of the random parameters </w:t>
      </w:r>
      <m:oMath>
        <m:r>
          <w:rPr>
            <w:rFonts w:ascii="Cambria Math" w:hAnsi="Cambria Math"/>
          </w:rPr>
          <m:t>η</m:t>
        </m:r>
      </m:oMath>
      <w:r w:rsidRPr="00652E9E">
        <w:rPr>
          <w:color w:val="000000"/>
          <w:sz w:val="20"/>
          <w:szCs w:val="20"/>
          <w:lang w:val="en-US"/>
        </w:rPr>
        <w:t xml:space="preserve"> y </w:t>
      </w:r>
      <m:oMath>
        <m:r>
          <w:rPr>
            <w:rFonts w:ascii="Cambria Math" w:eastAsia="Cambria Math" w:hAnsi="Cambria Math" w:cs="Cambria Math"/>
            <w:color w:val="000000"/>
            <w:sz w:val="20"/>
            <w:szCs w:val="20"/>
          </w:rPr>
          <m:t>m</m:t>
        </m:r>
      </m:oMath>
      <w:r w:rsidRPr="00652E9E">
        <w:rPr>
          <w:color w:val="000000"/>
          <w:sz w:val="20"/>
          <w:szCs w:val="20"/>
          <w:lang w:val="en-US"/>
        </w:rPr>
        <w:t xml:space="preserve"> of the diameter growth model, respectively; </w:t>
      </w:r>
      <m:oMath>
        <m:sSub>
          <m:sSubPr>
            <m:ctrlPr>
              <w:rPr>
                <w:rFonts w:ascii="Cambria Math" w:eastAsia="Cambria Math" w:hAnsi="Cambria Math" w:cs="Cambria Math"/>
                <w:color w:val="000000"/>
                <w:sz w:val="20"/>
                <w:szCs w:val="20"/>
              </w:rPr>
            </m:ctrlPr>
          </m:sSubPr>
          <m:e>
            <m:r>
              <w:rPr>
                <w:rFonts w:ascii="Cambria Math" w:hAnsi="Cambria Math"/>
              </w:rPr>
              <m:t>σ</m:t>
            </m:r>
          </m:e>
          <m:sub>
            <m:r>
              <w:rPr>
                <w:rFonts w:ascii="Cambria Math" w:eastAsia="Cambria Math" w:hAnsi="Cambria Math" w:cs="Cambria Math"/>
                <w:color w:val="000000"/>
                <w:sz w:val="20"/>
                <w:szCs w:val="20"/>
              </w:rPr>
              <m:t>αi</m:t>
            </m:r>
          </m:sub>
        </m:sSub>
        <m:r>
          <w:rPr>
            <w:rFonts w:ascii="Cambria Math" w:eastAsia="Cambria Math" w:hAnsi="Cambria Math" w:cs="Cambria Math"/>
            <w:color w:val="000000"/>
            <w:sz w:val="20"/>
            <w:szCs w:val="20"/>
            <w:lang w:val="en-US"/>
          </w:rPr>
          <m:t xml:space="preserve"> </m:t>
        </m:r>
        <m:r>
          <w:rPr>
            <w:rFonts w:ascii="Cambria Math" w:eastAsia="Cambria Math" w:hAnsi="Cambria Math" w:cs="Cambria Math"/>
            <w:color w:val="000000"/>
            <w:sz w:val="20"/>
            <w:szCs w:val="20"/>
          </w:rPr>
          <m:t>y</m:t>
        </m:r>
        <m:r>
          <w:rPr>
            <w:rFonts w:ascii="Cambria Math" w:eastAsia="Cambria Math" w:hAnsi="Cambria Math" w:cs="Cambria Math"/>
            <w:color w:val="000000"/>
            <w:sz w:val="20"/>
            <w:szCs w:val="20"/>
            <w:lang w:val="en-US"/>
          </w:rPr>
          <m:t xml:space="preserve"> </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σ</m:t>
            </m:r>
          </m:e>
          <m:sub>
            <m:r>
              <w:rPr>
                <w:rFonts w:ascii="Cambria Math" w:eastAsia="Cambria Math" w:hAnsi="Cambria Math" w:cs="Cambria Math"/>
                <w:color w:val="000000"/>
                <w:sz w:val="20"/>
                <w:szCs w:val="20"/>
              </w:rPr>
              <m:t>βi</m:t>
            </m:r>
          </m:sub>
        </m:sSub>
      </m:oMath>
      <w:r w:rsidRPr="00652E9E">
        <w:rPr>
          <w:color w:val="000000"/>
          <w:sz w:val="20"/>
          <w:szCs w:val="20"/>
          <w:lang w:val="en-US"/>
        </w:rPr>
        <w:t xml:space="preserve"> are the standard deviations at transect level of the random parameters </w:t>
      </w:r>
      <m:oMath>
        <m:r>
          <w:rPr>
            <w:rFonts w:ascii="Cambria Math" w:hAnsi="Cambria Math"/>
          </w:rPr>
          <m:t>α</m:t>
        </m:r>
      </m:oMath>
      <w:r w:rsidRPr="00652E9E">
        <w:rPr>
          <w:color w:val="000000"/>
          <w:sz w:val="20"/>
          <w:szCs w:val="20"/>
          <w:lang w:val="en-US"/>
        </w:rPr>
        <w:t xml:space="preserve"> and </w:t>
      </w:r>
      <m:oMath>
        <m:r>
          <w:rPr>
            <w:rFonts w:ascii="Cambria Math" w:hAnsi="Cambria Math"/>
          </w:rPr>
          <m:t>β</m:t>
        </m:r>
      </m:oMath>
      <w:r w:rsidRPr="00652E9E">
        <w:rPr>
          <w:color w:val="000000"/>
          <w:sz w:val="20"/>
          <w:szCs w:val="20"/>
          <w:lang w:val="en-US"/>
        </w:rPr>
        <w:t xml:space="preserve">, while </w:t>
      </w:r>
      <m:oMath>
        <m:sSub>
          <m:sSubPr>
            <m:ctrlPr>
              <w:rPr>
                <w:rFonts w:ascii="Cambria Math" w:eastAsia="Cambria Math" w:hAnsi="Cambria Math" w:cs="Cambria Math"/>
                <w:color w:val="000000"/>
                <w:sz w:val="20"/>
                <w:szCs w:val="20"/>
              </w:rPr>
            </m:ctrlPr>
          </m:sSubPr>
          <m:e>
            <m:r>
              <w:rPr>
                <w:rFonts w:ascii="Cambria Math" w:hAnsi="Cambria Math"/>
              </w:rPr>
              <m:t>σ</m:t>
            </m:r>
          </m:e>
          <m:sub>
            <m:r>
              <w:rPr>
                <w:rFonts w:ascii="Cambria Math" w:eastAsia="Cambria Math" w:hAnsi="Cambria Math" w:cs="Cambria Math"/>
                <w:color w:val="000000"/>
                <w:sz w:val="20"/>
                <w:szCs w:val="20"/>
              </w:rPr>
              <m:t>αj</m:t>
            </m:r>
          </m:sub>
        </m:sSub>
        <m:r>
          <w:rPr>
            <w:rFonts w:ascii="Cambria Math" w:eastAsia="Cambria Math" w:hAnsi="Cambria Math" w:cs="Cambria Math"/>
            <w:color w:val="000000"/>
            <w:sz w:val="20"/>
            <w:szCs w:val="20"/>
            <w:lang w:val="en-US"/>
          </w:rPr>
          <m:t xml:space="preserve"> </m:t>
        </m:r>
        <m:r>
          <w:rPr>
            <w:rFonts w:ascii="Cambria Math" w:eastAsia="Cambria Math" w:hAnsi="Cambria Math" w:cs="Cambria Math"/>
            <w:color w:val="000000"/>
            <w:sz w:val="20"/>
            <w:szCs w:val="20"/>
          </w:rPr>
          <m:t>y</m:t>
        </m:r>
        <m:r>
          <w:rPr>
            <w:rFonts w:ascii="Cambria Math" w:eastAsia="Cambria Math" w:hAnsi="Cambria Math" w:cs="Cambria Math"/>
            <w:color w:val="000000"/>
            <w:sz w:val="20"/>
            <w:szCs w:val="20"/>
            <w:lang w:val="en-US"/>
          </w:rPr>
          <m:t xml:space="preserve"> </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σ</m:t>
            </m:r>
          </m:e>
          <m:sub>
            <m:r>
              <w:rPr>
                <w:rFonts w:ascii="Cambria Math" w:eastAsia="Cambria Math" w:hAnsi="Cambria Math" w:cs="Cambria Math"/>
                <w:color w:val="000000"/>
                <w:sz w:val="20"/>
                <w:szCs w:val="20"/>
              </w:rPr>
              <m:t>βj</m:t>
            </m:r>
          </m:sub>
        </m:sSub>
      </m:oMath>
      <w:r w:rsidRPr="00652E9E">
        <w:rPr>
          <w:color w:val="000000"/>
          <w:sz w:val="20"/>
          <w:szCs w:val="20"/>
          <w:lang w:val="en-US"/>
        </w:rPr>
        <w:t xml:space="preserve"> are the standard deviations at plot level; ARIMA (p,d,q): Autoregressive Integrated Moving Average model as the correlation structure, where p, d, and q are the order of the autoregressive polynomial (AR), differencing, and moving average (MA) polynomials, respectivel; </w:t>
      </w:r>
      <m:oMath>
        <m:r>
          <w:rPr>
            <w:rFonts w:ascii="Cambria Math" w:hAnsi="Cambria Math"/>
          </w:rPr>
          <m:t>ϕ</m:t>
        </m:r>
      </m:oMath>
      <w:r w:rsidRPr="00652E9E">
        <w:rPr>
          <w:color w:val="000000"/>
          <w:sz w:val="20"/>
          <w:szCs w:val="20"/>
          <w:lang w:val="en-US"/>
        </w:rPr>
        <w:t xml:space="preserve"> are the estimated parameters of the AR structure. VarConst refers to constant variance among the residuals, while VarPower refers to the power of variance function which accounts for increase in variance of the residuals as fitted values increases. </w:t>
      </w:r>
      <m:oMath>
        <m:r>
          <w:rPr>
            <w:rFonts w:ascii="Cambria Math" w:hAnsi="Cambria Math"/>
          </w:rPr>
          <m:t>δ</m:t>
        </m:r>
      </m:oMath>
      <w:r w:rsidRPr="00652E9E">
        <w:rPr>
          <w:color w:val="000000"/>
          <w:sz w:val="20"/>
          <w:szCs w:val="20"/>
          <w:lang w:val="en-US"/>
        </w:rPr>
        <w:t xml:space="preserve"> </w:t>
      </w:r>
      <w:r w:rsidRPr="00E22EC4">
        <w:rPr>
          <w:color w:val="000000"/>
          <w:sz w:val="20"/>
          <w:szCs w:val="20"/>
          <w:lang w:val="en-US"/>
        </w:rPr>
        <w:t xml:space="preserve">is the parameter of the variance function.   </w:t>
      </w:r>
    </w:p>
    <w:p w14:paraId="6CB91075" w14:textId="77777777" w:rsidR="002265C9" w:rsidRDefault="002265C9" w:rsidP="002265C9">
      <w:pPr>
        <w:spacing w:line="360" w:lineRule="auto"/>
        <w:jc w:val="both"/>
        <w:rPr>
          <w:color w:val="000000"/>
          <w:sz w:val="20"/>
          <w:szCs w:val="20"/>
          <w:lang w:val="en-US"/>
        </w:rPr>
      </w:pPr>
    </w:p>
    <w:tbl>
      <w:tblPr>
        <w:tblW w:w="8759" w:type="dxa"/>
        <w:jc w:val="center"/>
        <w:tblLayout w:type="fixed"/>
        <w:tblLook w:val="0400" w:firstRow="0" w:lastRow="0" w:firstColumn="0" w:lastColumn="0" w:noHBand="0" w:noVBand="1"/>
      </w:tblPr>
      <w:tblGrid>
        <w:gridCol w:w="2189"/>
        <w:gridCol w:w="2190"/>
        <w:gridCol w:w="2190"/>
        <w:gridCol w:w="2190"/>
      </w:tblGrid>
      <w:tr w:rsidR="002265C9" w:rsidRPr="00321FCD" w14:paraId="040A3A44" w14:textId="77777777" w:rsidTr="00246993">
        <w:trPr>
          <w:trHeight w:val="220"/>
          <w:jc w:val="center"/>
        </w:trPr>
        <w:tc>
          <w:tcPr>
            <w:tcW w:w="8759" w:type="dxa"/>
            <w:gridSpan w:val="4"/>
            <w:tcBorders>
              <w:left w:val="nil"/>
              <w:bottom w:val="single" w:sz="4" w:space="0" w:color="000000"/>
              <w:right w:val="nil"/>
            </w:tcBorders>
            <w:vAlign w:val="center"/>
          </w:tcPr>
          <w:p w14:paraId="4CA228F6" w14:textId="77777777" w:rsidR="002265C9" w:rsidRPr="00321FCD" w:rsidRDefault="002265C9" w:rsidP="00246993">
            <w:pPr>
              <w:keepNext/>
              <w:spacing w:line="240" w:lineRule="auto"/>
              <w:ind w:right="-95"/>
              <w:jc w:val="both"/>
              <w:rPr>
                <w:color w:val="000000"/>
                <w:lang w:val="en-US"/>
              </w:rPr>
            </w:pPr>
            <w:r w:rsidRPr="00321FCD">
              <w:rPr>
                <w:b/>
                <w:lang w:val="en-US"/>
              </w:rPr>
              <w:t>Table 2.</w:t>
            </w:r>
            <w:r w:rsidRPr="00321FCD">
              <w:rPr>
                <w:lang w:val="en-US"/>
              </w:rPr>
              <w:t xml:space="preserve"> Validation parameters for the diameter growth and diameter-height models</w:t>
            </w:r>
          </w:p>
        </w:tc>
      </w:tr>
      <w:tr w:rsidR="002265C9" w:rsidRPr="00652E9E" w14:paraId="61EC253F" w14:textId="77777777" w:rsidTr="00246993">
        <w:trPr>
          <w:jc w:val="center"/>
        </w:trPr>
        <w:tc>
          <w:tcPr>
            <w:tcW w:w="2189" w:type="dxa"/>
            <w:tcBorders>
              <w:top w:val="single" w:sz="4" w:space="0" w:color="000000"/>
              <w:left w:val="nil"/>
              <w:bottom w:val="single" w:sz="4" w:space="0" w:color="000000"/>
              <w:right w:val="nil"/>
            </w:tcBorders>
            <w:vAlign w:val="center"/>
          </w:tcPr>
          <w:p w14:paraId="1769EE77" w14:textId="77777777" w:rsidR="002265C9" w:rsidRPr="00321FCD" w:rsidRDefault="002265C9" w:rsidP="00246993">
            <w:pPr>
              <w:spacing w:after="0"/>
              <w:jc w:val="both"/>
              <w:rPr>
                <w:color w:val="000000"/>
                <w:lang w:val="en-US"/>
              </w:rPr>
            </w:pPr>
            <w:r w:rsidRPr="00321FCD">
              <w:rPr>
                <w:color w:val="000000"/>
                <w:lang w:val="en-US"/>
              </w:rPr>
              <w:t>Model</w:t>
            </w:r>
          </w:p>
        </w:tc>
        <w:tc>
          <w:tcPr>
            <w:tcW w:w="2190" w:type="dxa"/>
            <w:tcBorders>
              <w:top w:val="single" w:sz="4" w:space="0" w:color="000000"/>
              <w:left w:val="nil"/>
              <w:bottom w:val="single" w:sz="4" w:space="0" w:color="000000"/>
              <w:right w:val="nil"/>
            </w:tcBorders>
            <w:vAlign w:val="center"/>
          </w:tcPr>
          <w:p w14:paraId="55EE01B4" w14:textId="77777777" w:rsidR="002265C9" w:rsidRPr="00321FCD" w:rsidRDefault="002265C9" w:rsidP="00246993">
            <w:pPr>
              <w:spacing w:after="0"/>
              <w:jc w:val="both"/>
              <w:rPr>
                <w:color w:val="000000"/>
                <w:lang w:val="en-US"/>
              </w:rPr>
            </w:pPr>
            <w:r w:rsidRPr="00321FCD">
              <w:rPr>
                <w:color w:val="000000"/>
                <w:lang w:val="en-US"/>
              </w:rPr>
              <w:t>AB</w:t>
            </w:r>
          </w:p>
        </w:tc>
        <w:tc>
          <w:tcPr>
            <w:tcW w:w="2190" w:type="dxa"/>
            <w:tcBorders>
              <w:top w:val="single" w:sz="4" w:space="0" w:color="000000"/>
              <w:left w:val="nil"/>
              <w:bottom w:val="single" w:sz="4" w:space="0" w:color="000000"/>
              <w:right w:val="nil"/>
            </w:tcBorders>
            <w:vAlign w:val="center"/>
          </w:tcPr>
          <w:p w14:paraId="26C43241" w14:textId="77777777" w:rsidR="002265C9" w:rsidRPr="00652E9E" w:rsidRDefault="002265C9" w:rsidP="00246993">
            <w:pPr>
              <w:spacing w:after="0"/>
              <w:jc w:val="both"/>
              <w:rPr>
                <w:color w:val="000000"/>
              </w:rPr>
            </w:pPr>
            <w:r w:rsidRPr="00652E9E">
              <w:rPr>
                <w:color w:val="000000"/>
              </w:rPr>
              <w:t>MAE</w:t>
            </w:r>
          </w:p>
        </w:tc>
        <w:tc>
          <w:tcPr>
            <w:tcW w:w="2190" w:type="dxa"/>
            <w:tcBorders>
              <w:top w:val="single" w:sz="4" w:space="0" w:color="000000"/>
              <w:left w:val="nil"/>
              <w:bottom w:val="single" w:sz="4" w:space="0" w:color="000000"/>
              <w:right w:val="nil"/>
            </w:tcBorders>
            <w:vAlign w:val="center"/>
          </w:tcPr>
          <w:p w14:paraId="4FC8B59D" w14:textId="77777777" w:rsidR="002265C9" w:rsidRPr="00652E9E" w:rsidRDefault="002265C9" w:rsidP="00246993">
            <w:pPr>
              <w:spacing w:after="0"/>
              <w:jc w:val="both"/>
              <w:rPr>
                <w:color w:val="000000"/>
              </w:rPr>
            </w:pPr>
            <w:r w:rsidRPr="00652E9E">
              <w:rPr>
                <w:color w:val="000000"/>
              </w:rPr>
              <w:t>ME (%)</w:t>
            </w:r>
          </w:p>
        </w:tc>
      </w:tr>
      <w:tr w:rsidR="002265C9" w:rsidRPr="00652E9E" w14:paraId="0E11942C" w14:textId="77777777" w:rsidTr="00246993">
        <w:trPr>
          <w:jc w:val="center"/>
        </w:trPr>
        <w:tc>
          <w:tcPr>
            <w:tcW w:w="2189" w:type="dxa"/>
            <w:tcBorders>
              <w:top w:val="single" w:sz="4" w:space="0" w:color="000000"/>
              <w:left w:val="nil"/>
              <w:bottom w:val="nil"/>
              <w:right w:val="nil"/>
            </w:tcBorders>
            <w:vAlign w:val="center"/>
          </w:tcPr>
          <w:p w14:paraId="3B5DBA3A" w14:textId="77777777" w:rsidR="002265C9" w:rsidRPr="00321FCD" w:rsidRDefault="002265C9" w:rsidP="00246993">
            <w:pPr>
              <w:spacing w:after="0"/>
              <w:jc w:val="both"/>
              <w:rPr>
                <w:color w:val="000000"/>
                <w:lang w:val="en-US"/>
              </w:rPr>
            </w:pPr>
            <w:r w:rsidRPr="00321FCD">
              <w:rPr>
                <w:color w:val="000000"/>
                <w:lang w:val="en-US"/>
              </w:rPr>
              <w:t>Diameter growth</w:t>
            </w:r>
          </w:p>
        </w:tc>
        <w:tc>
          <w:tcPr>
            <w:tcW w:w="2190" w:type="dxa"/>
            <w:tcBorders>
              <w:top w:val="single" w:sz="4" w:space="0" w:color="000000"/>
              <w:left w:val="nil"/>
              <w:bottom w:val="nil"/>
              <w:right w:val="nil"/>
            </w:tcBorders>
            <w:vAlign w:val="center"/>
          </w:tcPr>
          <w:p w14:paraId="15BE22D5" w14:textId="77777777" w:rsidR="002265C9" w:rsidRPr="00321FCD" w:rsidRDefault="002265C9" w:rsidP="00246993">
            <w:pPr>
              <w:spacing w:after="0"/>
              <w:jc w:val="both"/>
              <w:rPr>
                <w:color w:val="000000"/>
                <w:lang w:val="en-US"/>
              </w:rPr>
            </w:pPr>
            <w:r w:rsidRPr="00321FCD">
              <w:rPr>
                <w:color w:val="000000"/>
                <w:lang w:val="en-US"/>
              </w:rPr>
              <w:t>0.005</w:t>
            </w:r>
          </w:p>
        </w:tc>
        <w:tc>
          <w:tcPr>
            <w:tcW w:w="2190" w:type="dxa"/>
            <w:tcBorders>
              <w:top w:val="single" w:sz="4" w:space="0" w:color="000000"/>
              <w:left w:val="nil"/>
              <w:bottom w:val="nil"/>
              <w:right w:val="nil"/>
            </w:tcBorders>
            <w:vAlign w:val="center"/>
          </w:tcPr>
          <w:p w14:paraId="3A4AFE1A" w14:textId="77777777" w:rsidR="002265C9" w:rsidRPr="00652E9E" w:rsidRDefault="002265C9" w:rsidP="00246993">
            <w:pPr>
              <w:spacing w:after="0"/>
              <w:jc w:val="both"/>
              <w:rPr>
                <w:color w:val="000000"/>
              </w:rPr>
            </w:pPr>
            <w:r w:rsidRPr="00652E9E">
              <w:rPr>
                <w:color w:val="000000"/>
              </w:rPr>
              <w:t>0.147</w:t>
            </w:r>
          </w:p>
        </w:tc>
        <w:tc>
          <w:tcPr>
            <w:tcW w:w="2190" w:type="dxa"/>
            <w:tcBorders>
              <w:top w:val="single" w:sz="4" w:space="0" w:color="000000"/>
              <w:left w:val="nil"/>
              <w:bottom w:val="nil"/>
              <w:right w:val="nil"/>
            </w:tcBorders>
            <w:vAlign w:val="center"/>
          </w:tcPr>
          <w:p w14:paraId="6A02F22D" w14:textId="77777777" w:rsidR="002265C9" w:rsidRPr="00652E9E" w:rsidRDefault="002265C9" w:rsidP="00246993">
            <w:pPr>
              <w:spacing w:after="0"/>
              <w:jc w:val="both"/>
              <w:rPr>
                <w:color w:val="000000"/>
              </w:rPr>
            </w:pPr>
            <w:r w:rsidRPr="00652E9E">
              <w:rPr>
                <w:color w:val="000000"/>
              </w:rPr>
              <w:t>99.956</w:t>
            </w:r>
          </w:p>
        </w:tc>
      </w:tr>
      <w:tr w:rsidR="002265C9" w:rsidRPr="00652E9E" w14:paraId="4BAB7510" w14:textId="77777777" w:rsidTr="00246993">
        <w:trPr>
          <w:jc w:val="center"/>
        </w:trPr>
        <w:tc>
          <w:tcPr>
            <w:tcW w:w="2189" w:type="dxa"/>
            <w:tcBorders>
              <w:top w:val="nil"/>
              <w:left w:val="nil"/>
              <w:bottom w:val="single" w:sz="4" w:space="0" w:color="000000"/>
              <w:right w:val="nil"/>
            </w:tcBorders>
            <w:vAlign w:val="center"/>
          </w:tcPr>
          <w:p w14:paraId="536E1E12" w14:textId="77777777" w:rsidR="002265C9" w:rsidRPr="00321FCD" w:rsidRDefault="002265C9" w:rsidP="00246993">
            <w:pPr>
              <w:spacing w:after="0"/>
              <w:jc w:val="both"/>
              <w:rPr>
                <w:color w:val="000000"/>
                <w:lang w:val="en-US"/>
              </w:rPr>
            </w:pPr>
            <w:r w:rsidRPr="00321FCD">
              <w:rPr>
                <w:color w:val="000000"/>
                <w:lang w:val="en-US"/>
              </w:rPr>
              <w:t>Diameter - Height</w:t>
            </w:r>
          </w:p>
        </w:tc>
        <w:tc>
          <w:tcPr>
            <w:tcW w:w="2190" w:type="dxa"/>
            <w:tcBorders>
              <w:top w:val="nil"/>
              <w:left w:val="nil"/>
              <w:bottom w:val="single" w:sz="4" w:space="0" w:color="000000"/>
              <w:right w:val="nil"/>
            </w:tcBorders>
            <w:vAlign w:val="center"/>
          </w:tcPr>
          <w:p w14:paraId="42847A52" w14:textId="77777777" w:rsidR="002265C9" w:rsidRPr="00321FCD" w:rsidRDefault="002265C9" w:rsidP="00246993">
            <w:pPr>
              <w:spacing w:after="0"/>
              <w:jc w:val="both"/>
              <w:rPr>
                <w:color w:val="000000"/>
                <w:lang w:val="en-US"/>
              </w:rPr>
            </w:pPr>
            <w:r w:rsidRPr="00321FCD">
              <w:rPr>
                <w:color w:val="000000"/>
                <w:lang w:val="en-US"/>
              </w:rPr>
              <w:t>0.066</w:t>
            </w:r>
          </w:p>
        </w:tc>
        <w:tc>
          <w:tcPr>
            <w:tcW w:w="2190" w:type="dxa"/>
            <w:tcBorders>
              <w:top w:val="nil"/>
              <w:left w:val="nil"/>
              <w:bottom w:val="single" w:sz="4" w:space="0" w:color="000000"/>
              <w:right w:val="nil"/>
            </w:tcBorders>
            <w:vAlign w:val="center"/>
          </w:tcPr>
          <w:p w14:paraId="6F557733" w14:textId="77777777" w:rsidR="002265C9" w:rsidRPr="00652E9E" w:rsidRDefault="002265C9" w:rsidP="00246993">
            <w:pPr>
              <w:spacing w:after="0"/>
              <w:jc w:val="both"/>
              <w:rPr>
                <w:color w:val="000000"/>
              </w:rPr>
            </w:pPr>
            <w:r w:rsidRPr="00652E9E">
              <w:rPr>
                <w:color w:val="000000"/>
              </w:rPr>
              <w:t>1.278</w:t>
            </w:r>
          </w:p>
        </w:tc>
        <w:tc>
          <w:tcPr>
            <w:tcW w:w="2190" w:type="dxa"/>
            <w:tcBorders>
              <w:top w:val="nil"/>
              <w:left w:val="nil"/>
              <w:bottom w:val="single" w:sz="4" w:space="0" w:color="000000"/>
              <w:right w:val="nil"/>
            </w:tcBorders>
            <w:vAlign w:val="center"/>
          </w:tcPr>
          <w:p w14:paraId="3CCAD072" w14:textId="77777777" w:rsidR="002265C9" w:rsidRPr="00652E9E" w:rsidRDefault="002265C9" w:rsidP="00246993">
            <w:pPr>
              <w:spacing w:after="0"/>
              <w:jc w:val="both"/>
              <w:rPr>
                <w:color w:val="000000"/>
              </w:rPr>
            </w:pPr>
            <w:r w:rsidRPr="00652E9E">
              <w:rPr>
                <w:color w:val="000000"/>
              </w:rPr>
              <w:t>68.206</w:t>
            </w:r>
          </w:p>
        </w:tc>
      </w:tr>
      <w:tr w:rsidR="002265C9" w:rsidRPr="00321FCD" w14:paraId="7D8532C6" w14:textId="77777777" w:rsidTr="00246993">
        <w:trPr>
          <w:trHeight w:val="220"/>
          <w:jc w:val="center"/>
        </w:trPr>
        <w:tc>
          <w:tcPr>
            <w:tcW w:w="8759" w:type="dxa"/>
            <w:gridSpan w:val="4"/>
            <w:tcBorders>
              <w:top w:val="nil"/>
              <w:left w:val="nil"/>
              <w:right w:val="nil"/>
            </w:tcBorders>
            <w:vAlign w:val="center"/>
          </w:tcPr>
          <w:p w14:paraId="0BB6C3E1" w14:textId="77391110" w:rsidR="002265C9" w:rsidRPr="002265C9" w:rsidRDefault="002265C9" w:rsidP="00246993">
            <w:pPr>
              <w:spacing w:line="240" w:lineRule="auto"/>
              <w:ind w:right="2016"/>
              <w:jc w:val="both"/>
              <w:rPr>
                <w:lang w:val="en-US"/>
              </w:rPr>
            </w:pPr>
            <w:r w:rsidRPr="00321FCD">
              <w:rPr>
                <w:lang w:val="en-US"/>
              </w:rPr>
              <w:t xml:space="preserve">AB: average bias; MAE: mean absolute error; ME: model </w:t>
            </w:r>
            <w:proofErr w:type="spellStart"/>
            <w:r w:rsidRPr="00321FCD">
              <w:rPr>
                <w:lang w:val="en-US"/>
              </w:rPr>
              <w:t>efficienc</w:t>
            </w:r>
            <w:proofErr w:type="spellEnd"/>
          </w:p>
        </w:tc>
      </w:tr>
    </w:tbl>
    <w:p w14:paraId="0D1CACD9" w14:textId="77777777" w:rsidR="002265C9" w:rsidRDefault="002265C9" w:rsidP="002265C9">
      <w:pPr>
        <w:spacing w:line="360" w:lineRule="auto"/>
        <w:jc w:val="both"/>
        <w:rPr>
          <w:lang w:val="en-US"/>
        </w:rPr>
      </w:pPr>
    </w:p>
    <w:tbl>
      <w:tblPr>
        <w:tblW w:w="8759" w:type="dxa"/>
        <w:jc w:val="center"/>
        <w:tblLayout w:type="fixed"/>
        <w:tblLook w:val="0400" w:firstRow="0" w:lastRow="0" w:firstColumn="0" w:lastColumn="0" w:noHBand="0" w:noVBand="1"/>
      </w:tblPr>
      <w:tblGrid>
        <w:gridCol w:w="4379"/>
        <w:gridCol w:w="4380"/>
      </w:tblGrid>
      <w:tr w:rsidR="002265C9" w:rsidRPr="00652E9E" w14:paraId="215EFDA8" w14:textId="77777777" w:rsidTr="00246993">
        <w:trPr>
          <w:trHeight w:val="220"/>
          <w:tblHeader/>
          <w:jc w:val="center"/>
        </w:trPr>
        <w:tc>
          <w:tcPr>
            <w:tcW w:w="8759" w:type="dxa"/>
            <w:gridSpan w:val="2"/>
            <w:tcBorders>
              <w:left w:val="nil"/>
              <w:bottom w:val="single" w:sz="4" w:space="0" w:color="000000"/>
              <w:right w:val="nil"/>
            </w:tcBorders>
            <w:vAlign w:val="center"/>
          </w:tcPr>
          <w:p w14:paraId="635079D6" w14:textId="77777777" w:rsidR="002265C9" w:rsidRPr="00652E9E" w:rsidRDefault="002265C9" w:rsidP="00246993">
            <w:pPr>
              <w:keepNext/>
              <w:spacing w:after="0" w:line="240" w:lineRule="auto"/>
              <w:jc w:val="both"/>
              <w:rPr>
                <w:b/>
                <w:lang w:val="en-US"/>
              </w:rPr>
            </w:pPr>
            <w:r w:rsidRPr="00652E9E">
              <w:rPr>
                <w:b/>
                <w:lang w:val="en-US"/>
              </w:rPr>
              <w:t>Table 3.</w:t>
            </w:r>
            <w:r w:rsidRPr="00652E9E">
              <w:rPr>
                <w:lang w:val="en-US"/>
              </w:rPr>
              <w:t xml:space="preserve"> Ontogenic traits and silvicultural parameters derived from growth models for </w:t>
            </w:r>
            <w:r w:rsidRPr="00652E9E">
              <w:rPr>
                <w:i/>
                <w:lang w:val="en-US"/>
              </w:rPr>
              <w:t>R</w:t>
            </w:r>
            <w:r>
              <w:rPr>
                <w:i/>
                <w:lang w:val="en-US"/>
              </w:rPr>
              <w:t>hizophora</w:t>
            </w:r>
            <w:r w:rsidRPr="00652E9E">
              <w:rPr>
                <w:i/>
                <w:lang w:val="en-US"/>
              </w:rPr>
              <w:t xml:space="preserve"> mangle’s </w:t>
            </w:r>
            <w:r w:rsidRPr="00652E9E">
              <w:rPr>
                <w:lang w:val="en-US"/>
              </w:rPr>
              <w:t xml:space="preserve">population in </w:t>
            </w:r>
            <w:proofErr w:type="spellStart"/>
            <w:r w:rsidRPr="00652E9E">
              <w:rPr>
                <w:lang w:val="en-US"/>
              </w:rPr>
              <w:t>Cispatá</w:t>
            </w:r>
            <w:proofErr w:type="spellEnd"/>
            <w:r w:rsidRPr="00652E9E">
              <w:rPr>
                <w:lang w:val="en-US"/>
              </w:rPr>
              <w:t xml:space="preserve"> Bay.</w:t>
            </w:r>
          </w:p>
        </w:tc>
      </w:tr>
      <w:tr w:rsidR="002265C9" w:rsidRPr="00652E9E" w14:paraId="32F4952F" w14:textId="77777777" w:rsidTr="00246993">
        <w:trPr>
          <w:tblHeader/>
          <w:jc w:val="center"/>
        </w:trPr>
        <w:tc>
          <w:tcPr>
            <w:tcW w:w="4379" w:type="dxa"/>
            <w:tcBorders>
              <w:top w:val="single" w:sz="4" w:space="0" w:color="000000"/>
              <w:left w:val="nil"/>
              <w:bottom w:val="single" w:sz="4" w:space="0" w:color="000000"/>
              <w:right w:val="nil"/>
            </w:tcBorders>
            <w:vAlign w:val="center"/>
          </w:tcPr>
          <w:p w14:paraId="5435D39F" w14:textId="77777777" w:rsidR="002265C9" w:rsidRPr="00652E9E" w:rsidRDefault="002265C9" w:rsidP="00246993">
            <w:pPr>
              <w:spacing w:after="0" w:line="240" w:lineRule="auto"/>
              <w:jc w:val="both"/>
              <w:rPr>
                <w:b/>
              </w:rPr>
            </w:pPr>
            <w:proofErr w:type="spellStart"/>
            <w:r w:rsidRPr="00652E9E">
              <w:rPr>
                <w:b/>
              </w:rPr>
              <w:t>Parameter</w:t>
            </w:r>
            <w:proofErr w:type="spellEnd"/>
          </w:p>
        </w:tc>
        <w:tc>
          <w:tcPr>
            <w:tcW w:w="4380" w:type="dxa"/>
            <w:tcBorders>
              <w:top w:val="single" w:sz="4" w:space="0" w:color="000000"/>
              <w:left w:val="nil"/>
              <w:bottom w:val="single" w:sz="4" w:space="0" w:color="000000"/>
              <w:right w:val="nil"/>
            </w:tcBorders>
            <w:vAlign w:val="center"/>
          </w:tcPr>
          <w:p w14:paraId="30046071" w14:textId="77777777" w:rsidR="002265C9" w:rsidRPr="00652E9E" w:rsidRDefault="002265C9" w:rsidP="00246993">
            <w:pPr>
              <w:spacing w:after="0" w:line="240" w:lineRule="auto"/>
              <w:jc w:val="both"/>
              <w:rPr>
                <w:b/>
              </w:rPr>
            </w:pPr>
            <w:proofErr w:type="spellStart"/>
            <w:r w:rsidRPr="00652E9E">
              <w:rPr>
                <w:b/>
              </w:rPr>
              <w:t>Value</w:t>
            </w:r>
            <w:proofErr w:type="spellEnd"/>
          </w:p>
        </w:tc>
      </w:tr>
      <w:tr w:rsidR="002265C9" w:rsidRPr="00652E9E" w14:paraId="796C42DF" w14:textId="77777777" w:rsidTr="00246993">
        <w:trPr>
          <w:jc w:val="center"/>
        </w:trPr>
        <w:tc>
          <w:tcPr>
            <w:tcW w:w="4379" w:type="dxa"/>
            <w:tcBorders>
              <w:top w:val="single" w:sz="4" w:space="0" w:color="000000"/>
              <w:left w:val="nil"/>
              <w:bottom w:val="nil"/>
              <w:right w:val="nil"/>
            </w:tcBorders>
            <w:vAlign w:val="center"/>
          </w:tcPr>
          <w:p w14:paraId="6C0C0683" w14:textId="77777777" w:rsidR="002265C9" w:rsidRPr="00652E9E" w:rsidRDefault="002265C9" w:rsidP="00246993">
            <w:pPr>
              <w:spacing w:after="0" w:line="240" w:lineRule="auto"/>
              <w:jc w:val="both"/>
            </w:pPr>
            <w:r w:rsidRPr="00652E9E">
              <w:t>Amax</w:t>
            </w:r>
          </w:p>
        </w:tc>
        <w:tc>
          <w:tcPr>
            <w:tcW w:w="4380" w:type="dxa"/>
            <w:tcBorders>
              <w:top w:val="single" w:sz="4" w:space="0" w:color="000000"/>
              <w:left w:val="nil"/>
              <w:bottom w:val="nil"/>
              <w:right w:val="nil"/>
            </w:tcBorders>
            <w:vAlign w:val="center"/>
          </w:tcPr>
          <w:p w14:paraId="2462B2A6" w14:textId="77777777" w:rsidR="002265C9" w:rsidRPr="00652E9E" w:rsidRDefault="002265C9" w:rsidP="00246993">
            <w:pPr>
              <w:spacing w:after="0" w:line="240" w:lineRule="auto"/>
              <w:jc w:val="both"/>
            </w:pPr>
            <w:r w:rsidRPr="00652E9E">
              <w:t>40.35 cm</w:t>
            </w:r>
          </w:p>
        </w:tc>
      </w:tr>
      <w:tr w:rsidR="002265C9" w:rsidRPr="00652E9E" w14:paraId="71B1BE08" w14:textId="77777777" w:rsidTr="00246993">
        <w:trPr>
          <w:jc w:val="center"/>
        </w:trPr>
        <w:tc>
          <w:tcPr>
            <w:tcW w:w="4379" w:type="dxa"/>
            <w:tcBorders>
              <w:top w:val="nil"/>
              <w:left w:val="nil"/>
              <w:bottom w:val="nil"/>
              <w:right w:val="nil"/>
            </w:tcBorders>
            <w:vAlign w:val="center"/>
          </w:tcPr>
          <w:p w14:paraId="494E6A89" w14:textId="77777777" w:rsidR="002265C9" w:rsidRPr="00652E9E" w:rsidRDefault="002265C9" w:rsidP="00246993">
            <w:pPr>
              <w:spacing w:after="0" w:line="240" w:lineRule="auto"/>
              <w:jc w:val="both"/>
            </w:pPr>
            <w:r w:rsidRPr="00652E9E">
              <w:t>WAGR</w:t>
            </w:r>
          </w:p>
        </w:tc>
        <w:tc>
          <w:tcPr>
            <w:tcW w:w="4380" w:type="dxa"/>
            <w:tcBorders>
              <w:top w:val="nil"/>
              <w:left w:val="nil"/>
              <w:bottom w:val="nil"/>
              <w:right w:val="nil"/>
            </w:tcBorders>
            <w:vAlign w:val="center"/>
          </w:tcPr>
          <w:p w14:paraId="6059D79E" w14:textId="77777777" w:rsidR="002265C9" w:rsidRPr="00652E9E" w:rsidRDefault="002265C9" w:rsidP="00246993">
            <w:pPr>
              <w:spacing w:after="0" w:line="240" w:lineRule="auto"/>
              <w:jc w:val="both"/>
              <w:rPr>
                <w:vertAlign w:val="superscript"/>
              </w:rPr>
            </w:pPr>
            <w:r w:rsidRPr="00652E9E">
              <w:t>0.42 cm year</w:t>
            </w:r>
            <w:r w:rsidRPr="00652E9E">
              <w:rPr>
                <w:vertAlign w:val="superscript"/>
              </w:rPr>
              <w:t>-1</w:t>
            </w:r>
          </w:p>
        </w:tc>
      </w:tr>
      <w:tr w:rsidR="002265C9" w:rsidRPr="00652E9E" w14:paraId="314729E4" w14:textId="77777777" w:rsidTr="00246993">
        <w:trPr>
          <w:jc w:val="center"/>
        </w:trPr>
        <w:tc>
          <w:tcPr>
            <w:tcW w:w="4379" w:type="dxa"/>
            <w:tcBorders>
              <w:top w:val="nil"/>
              <w:left w:val="nil"/>
              <w:bottom w:val="nil"/>
              <w:right w:val="nil"/>
            </w:tcBorders>
            <w:vAlign w:val="center"/>
          </w:tcPr>
          <w:p w14:paraId="4AD43FDA" w14:textId="77777777" w:rsidR="002265C9" w:rsidRPr="00652E9E" w:rsidRDefault="002265C9" w:rsidP="00246993">
            <w:pPr>
              <w:spacing w:after="0" w:line="240" w:lineRule="auto"/>
              <w:jc w:val="both"/>
              <w:rPr>
                <w:vertAlign w:val="subscript"/>
              </w:rPr>
            </w:pPr>
            <w:r w:rsidRPr="00652E9E">
              <w:t>t</w:t>
            </w:r>
            <w:r w:rsidRPr="00652E9E">
              <w:rPr>
                <w:vertAlign w:val="subscript"/>
              </w:rPr>
              <w:t>span</w:t>
            </w:r>
          </w:p>
        </w:tc>
        <w:tc>
          <w:tcPr>
            <w:tcW w:w="4380" w:type="dxa"/>
            <w:tcBorders>
              <w:top w:val="nil"/>
              <w:left w:val="nil"/>
              <w:bottom w:val="nil"/>
              <w:right w:val="nil"/>
            </w:tcBorders>
            <w:vAlign w:val="center"/>
          </w:tcPr>
          <w:p w14:paraId="4BA26D47" w14:textId="77777777" w:rsidR="002265C9" w:rsidRPr="00652E9E" w:rsidRDefault="002265C9" w:rsidP="00246993">
            <w:pPr>
              <w:spacing w:after="0" w:line="240" w:lineRule="auto"/>
              <w:jc w:val="both"/>
            </w:pPr>
            <w:r w:rsidRPr="00652E9E">
              <w:t xml:space="preserve">95.12 </w:t>
            </w:r>
            <w:proofErr w:type="spellStart"/>
            <w:r w:rsidRPr="00652E9E">
              <w:t>years</w:t>
            </w:r>
            <w:proofErr w:type="spellEnd"/>
          </w:p>
        </w:tc>
      </w:tr>
      <w:tr w:rsidR="002265C9" w:rsidRPr="00652E9E" w14:paraId="6561C0E0" w14:textId="77777777" w:rsidTr="00246993">
        <w:trPr>
          <w:jc w:val="center"/>
        </w:trPr>
        <w:tc>
          <w:tcPr>
            <w:tcW w:w="4379" w:type="dxa"/>
            <w:tcBorders>
              <w:top w:val="nil"/>
              <w:left w:val="nil"/>
              <w:bottom w:val="nil"/>
              <w:right w:val="nil"/>
            </w:tcBorders>
            <w:vAlign w:val="center"/>
          </w:tcPr>
          <w:p w14:paraId="121ED54A" w14:textId="77777777" w:rsidR="002265C9" w:rsidRPr="00652E9E" w:rsidRDefault="002265C9" w:rsidP="00246993">
            <w:pPr>
              <w:spacing w:after="0" w:line="240" w:lineRule="auto"/>
              <w:jc w:val="both"/>
              <w:rPr>
                <w:vertAlign w:val="subscript"/>
              </w:rPr>
            </w:pPr>
            <w:r w:rsidRPr="00652E9E">
              <w:t>t</w:t>
            </w:r>
            <w:r w:rsidRPr="00652E9E">
              <w:rPr>
                <w:vertAlign w:val="subscript"/>
              </w:rPr>
              <w:t>0.5</w:t>
            </w:r>
          </w:p>
        </w:tc>
        <w:tc>
          <w:tcPr>
            <w:tcW w:w="4380" w:type="dxa"/>
            <w:tcBorders>
              <w:top w:val="nil"/>
              <w:left w:val="nil"/>
              <w:bottom w:val="nil"/>
              <w:right w:val="nil"/>
            </w:tcBorders>
            <w:vAlign w:val="center"/>
          </w:tcPr>
          <w:p w14:paraId="43E939F8" w14:textId="77777777" w:rsidR="002265C9" w:rsidRPr="00652E9E" w:rsidRDefault="002265C9" w:rsidP="00246993">
            <w:pPr>
              <w:spacing w:after="0" w:line="240" w:lineRule="auto"/>
              <w:jc w:val="both"/>
            </w:pPr>
            <w:r w:rsidRPr="00652E9E">
              <w:t xml:space="preserve">41.09 </w:t>
            </w:r>
            <w:proofErr w:type="spellStart"/>
            <w:r w:rsidRPr="00652E9E">
              <w:t>years</w:t>
            </w:r>
            <w:proofErr w:type="spellEnd"/>
          </w:p>
        </w:tc>
      </w:tr>
      <w:tr w:rsidR="002265C9" w:rsidRPr="00652E9E" w14:paraId="2826C5D7" w14:textId="77777777" w:rsidTr="00246993">
        <w:trPr>
          <w:jc w:val="center"/>
        </w:trPr>
        <w:tc>
          <w:tcPr>
            <w:tcW w:w="4379" w:type="dxa"/>
            <w:tcBorders>
              <w:top w:val="nil"/>
              <w:left w:val="nil"/>
              <w:bottom w:val="nil"/>
              <w:right w:val="nil"/>
            </w:tcBorders>
            <w:vAlign w:val="center"/>
          </w:tcPr>
          <w:p w14:paraId="72312CC9" w14:textId="77777777" w:rsidR="002265C9" w:rsidRPr="00652E9E" w:rsidRDefault="002265C9" w:rsidP="00246993">
            <w:pPr>
              <w:spacing w:after="0" w:line="240" w:lineRule="auto"/>
              <w:jc w:val="both"/>
            </w:pPr>
            <w:r w:rsidRPr="00652E9E">
              <w:t>MLD</w:t>
            </w:r>
          </w:p>
        </w:tc>
        <w:tc>
          <w:tcPr>
            <w:tcW w:w="4380" w:type="dxa"/>
            <w:tcBorders>
              <w:top w:val="nil"/>
              <w:left w:val="nil"/>
              <w:bottom w:val="nil"/>
              <w:right w:val="nil"/>
            </w:tcBorders>
            <w:vAlign w:val="center"/>
          </w:tcPr>
          <w:p w14:paraId="63900BEF" w14:textId="77777777" w:rsidR="002265C9" w:rsidRPr="00652E9E" w:rsidRDefault="002265C9" w:rsidP="00246993">
            <w:pPr>
              <w:spacing w:after="0" w:line="240" w:lineRule="auto"/>
              <w:jc w:val="both"/>
            </w:pPr>
            <w:r w:rsidRPr="00652E9E">
              <w:t>24 cm</w:t>
            </w:r>
          </w:p>
        </w:tc>
      </w:tr>
      <w:tr w:rsidR="002265C9" w:rsidRPr="00652E9E" w14:paraId="7AAF283B" w14:textId="77777777" w:rsidTr="00246993">
        <w:trPr>
          <w:jc w:val="center"/>
        </w:trPr>
        <w:tc>
          <w:tcPr>
            <w:tcW w:w="4379" w:type="dxa"/>
            <w:tcBorders>
              <w:top w:val="nil"/>
              <w:left w:val="nil"/>
              <w:bottom w:val="nil"/>
              <w:right w:val="nil"/>
            </w:tcBorders>
            <w:vAlign w:val="center"/>
          </w:tcPr>
          <w:p w14:paraId="72807FCD" w14:textId="77777777" w:rsidR="002265C9" w:rsidRPr="00652E9E" w:rsidRDefault="002265C9" w:rsidP="00246993">
            <w:pPr>
              <w:spacing w:after="0" w:line="240" w:lineRule="auto"/>
              <w:jc w:val="both"/>
            </w:pPr>
            <w:r w:rsidRPr="00652E9E">
              <w:t>Age</w:t>
            </w:r>
            <w:r w:rsidRPr="00652E9E">
              <w:rPr>
                <w:vertAlign w:val="subscript"/>
              </w:rPr>
              <w:t>MLD</w:t>
            </w:r>
          </w:p>
        </w:tc>
        <w:tc>
          <w:tcPr>
            <w:tcW w:w="4380" w:type="dxa"/>
            <w:tcBorders>
              <w:top w:val="nil"/>
              <w:left w:val="nil"/>
              <w:bottom w:val="nil"/>
              <w:right w:val="nil"/>
            </w:tcBorders>
            <w:vAlign w:val="center"/>
          </w:tcPr>
          <w:p w14:paraId="46B3CC3D" w14:textId="77777777" w:rsidR="002265C9" w:rsidRPr="00652E9E" w:rsidRDefault="002265C9" w:rsidP="00246993">
            <w:pPr>
              <w:spacing w:after="0" w:line="240" w:lineRule="auto"/>
              <w:jc w:val="both"/>
            </w:pPr>
            <w:r w:rsidRPr="00652E9E">
              <w:t xml:space="preserve">49 </w:t>
            </w:r>
            <w:proofErr w:type="spellStart"/>
            <w:r w:rsidRPr="00652E9E">
              <w:t>years</w:t>
            </w:r>
            <w:proofErr w:type="spellEnd"/>
          </w:p>
        </w:tc>
      </w:tr>
      <w:tr w:rsidR="002265C9" w:rsidRPr="00652E9E" w14:paraId="688C4420" w14:textId="77777777" w:rsidTr="00246993">
        <w:trPr>
          <w:jc w:val="center"/>
        </w:trPr>
        <w:tc>
          <w:tcPr>
            <w:tcW w:w="4379" w:type="dxa"/>
            <w:tcBorders>
              <w:top w:val="nil"/>
              <w:left w:val="nil"/>
              <w:bottom w:val="nil"/>
              <w:right w:val="nil"/>
            </w:tcBorders>
            <w:vAlign w:val="center"/>
          </w:tcPr>
          <w:p w14:paraId="2CA76B1A" w14:textId="77777777" w:rsidR="002265C9" w:rsidRPr="00652E9E" w:rsidRDefault="002265C9" w:rsidP="00246993">
            <w:pPr>
              <w:spacing w:after="0" w:line="240" w:lineRule="auto"/>
              <w:jc w:val="both"/>
              <w:rPr>
                <w:vertAlign w:val="subscript"/>
              </w:rPr>
            </w:pPr>
            <w:r w:rsidRPr="00652E9E">
              <w:t>Age</w:t>
            </w:r>
            <w:r w:rsidRPr="00652E9E">
              <w:rPr>
                <w:vertAlign w:val="subscript"/>
              </w:rPr>
              <w:t>D=10</w:t>
            </w:r>
          </w:p>
        </w:tc>
        <w:tc>
          <w:tcPr>
            <w:tcW w:w="4380" w:type="dxa"/>
            <w:tcBorders>
              <w:top w:val="nil"/>
              <w:left w:val="nil"/>
              <w:bottom w:val="nil"/>
              <w:right w:val="nil"/>
            </w:tcBorders>
            <w:vAlign w:val="center"/>
          </w:tcPr>
          <w:p w14:paraId="2DC48E1A" w14:textId="77777777" w:rsidR="002265C9" w:rsidRPr="00652E9E" w:rsidRDefault="002265C9" w:rsidP="00246993">
            <w:pPr>
              <w:spacing w:after="0" w:line="240" w:lineRule="auto"/>
              <w:jc w:val="both"/>
            </w:pPr>
            <w:r w:rsidRPr="00652E9E">
              <w:t xml:space="preserve">24 </w:t>
            </w:r>
            <w:proofErr w:type="spellStart"/>
            <w:r w:rsidRPr="00652E9E">
              <w:t>years</w:t>
            </w:r>
            <w:proofErr w:type="spellEnd"/>
          </w:p>
        </w:tc>
      </w:tr>
      <w:tr w:rsidR="002265C9" w:rsidRPr="00652E9E" w14:paraId="47732F98" w14:textId="77777777" w:rsidTr="00246993">
        <w:trPr>
          <w:jc w:val="center"/>
        </w:trPr>
        <w:tc>
          <w:tcPr>
            <w:tcW w:w="4379" w:type="dxa"/>
            <w:tcBorders>
              <w:top w:val="nil"/>
              <w:left w:val="nil"/>
              <w:bottom w:val="single" w:sz="4" w:space="0" w:color="000000"/>
              <w:right w:val="nil"/>
            </w:tcBorders>
            <w:vAlign w:val="center"/>
          </w:tcPr>
          <w:p w14:paraId="681E60CE" w14:textId="77777777" w:rsidR="002265C9" w:rsidRPr="00652E9E" w:rsidRDefault="002265C9" w:rsidP="00246993">
            <w:pPr>
              <w:spacing w:after="0" w:line="240" w:lineRule="auto"/>
              <w:jc w:val="both"/>
            </w:pPr>
            <w:r w:rsidRPr="00652E9E">
              <w:t>CC</w:t>
            </w:r>
          </w:p>
        </w:tc>
        <w:tc>
          <w:tcPr>
            <w:tcW w:w="4380" w:type="dxa"/>
            <w:tcBorders>
              <w:top w:val="nil"/>
              <w:left w:val="nil"/>
              <w:bottom w:val="single" w:sz="4" w:space="0" w:color="000000"/>
              <w:right w:val="nil"/>
            </w:tcBorders>
            <w:vAlign w:val="center"/>
          </w:tcPr>
          <w:p w14:paraId="7074AF3A" w14:textId="77777777" w:rsidR="002265C9" w:rsidRPr="00652E9E" w:rsidRDefault="002265C9" w:rsidP="00246993">
            <w:pPr>
              <w:spacing w:after="0" w:line="240" w:lineRule="auto"/>
              <w:jc w:val="both"/>
            </w:pPr>
            <w:r w:rsidRPr="00652E9E">
              <w:t xml:space="preserve">20 </w:t>
            </w:r>
            <w:proofErr w:type="spellStart"/>
            <w:r w:rsidRPr="00652E9E">
              <w:t>years</w:t>
            </w:r>
            <w:proofErr w:type="spellEnd"/>
          </w:p>
        </w:tc>
      </w:tr>
      <w:tr w:rsidR="002265C9" w:rsidRPr="00652E9E" w14:paraId="730F8BE1" w14:textId="77777777" w:rsidTr="00246993">
        <w:trPr>
          <w:trHeight w:val="220"/>
          <w:jc w:val="center"/>
        </w:trPr>
        <w:tc>
          <w:tcPr>
            <w:tcW w:w="8759" w:type="dxa"/>
            <w:gridSpan w:val="2"/>
            <w:tcBorders>
              <w:top w:val="nil"/>
              <w:left w:val="nil"/>
              <w:right w:val="nil"/>
            </w:tcBorders>
            <w:vAlign w:val="center"/>
          </w:tcPr>
          <w:p w14:paraId="28F5A6DF" w14:textId="77777777" w:rsidR="002265C9" w:rsidRPr="00652E9E" w:rsidRDefault="002265C9" w:rsidP="00246993">
            <w:pPr>
              <w:spacing w:line="240" w:lineRule="auto"/>
              <w:ind w:right="-65"/>
              <w:jc w:val="both"/>
              <w:rPr>
                <w:lang w:val="en-US"/>
              </w:rPr>
            </w:pPr>
            <w:r w:rsidRPr="00652E9E">
              <w:rPr>
                <w:sz w:val="20"/>
                <w:szCs w:val="20"/>
                <w:lang w:val="en-US"/>
              </w:rPr>
              <w:t>Amax: maximum mean diameter or the estimated asymptote for the diameter model; WAGR: weighted absolute growth rate; t</w:t>
            </w:r>
            <w:r w:rsidRPr="00652E9E">
              <w:rPr>
                <w:sz w:val="20"/>
                <w:szCs w:val="20"/>
                <w:vertAlign w:val="subscript"/>
                <w:lang w:val="en-US"/>
              </w:rPr>
              <w:t>span</w:t>
            </w:r>
            <w:r w:rsidRPr="00652E9E">
              <w:rPr>
                <w:sz w:val="20"/>
                <w:szCs w:val="20"/>
                <w:lang w:val="en-US"/>
              </w:rPr>
              <w:t>: lifespan; t</w:t>
            </w:r>
            <w:r w:rsidRPr="00652E9E">
              <w:rPr>
                <w:sz w:val="20"/>
                <w:szCs w:val="20"/>
                <w:vertAlign w:val="subscript"/>
                <w:lang w:val="en-US"/>
              </w:rPr>
              <w:t>0.5</w:t>
            </w:r>
            <w:r w:rsidRPr="00652E9E">
              <w:rPr>
                <w:sz w:val="20"/>
                <w:szCs w:val="20"/>
                <w:lang w:val="en-US"/>
              </w:rPr>
              <w:t>: half-life; MLD: minimum logging diameter; Age</w:t>
            </w:r>
            <w:r w:rsidRPr="00652E9E">
              <w:rPr>
                <w:sz w:val="20"/>
                <w:szCs w:val="20"/>
                <w:vertAlign w:val="subscript"/>
                <w:lang w:val="en-US"/>
              </w:rPr>
              <w:t>MLD</w:t>
            </w:r>
            <w:r w:rsidRPr="00652E9E">
              <w:rPr>
                <w:sz w:val="20"/>
                <w:szCs w:val="20"/>
                <w:lang w:val="en-US"/>
              </w:rPr>
              <w:t>: age at which the minimum logging diameter is reached; Age</w:t>
            </w:r>
            <w:r w:rsidRPr="00652E9E">
              <w:rPr>
                <w:sz w:val="20"/>
                <w:szCs w:val="20"/>
                <w:vertAlign w:val="subscript"/>
                <w:lang w:val="en-US"/>
              </w:rPr>
              <w:t>D=10</w:t>
            </w:r>
            <w:r w:rsidRPr="00652E9E">
              <w:rPr>
                <w:sz w:val="20"/>
                <w:szCs w:val="20"/>
                <w:lang w:val="en-US"/>
              </w:rPr>
              <w:t xml:space="preserve">: age at which the current minimum logging diameter used in </w:t>
            </w:r>
            <w:proofErr w:type="spellStart"/>
            <w:r w:rsidRPr="00652E9E">
              <w:rPr>
                <w:sz w:val="20"/>
                <w:szCs w:val="20"/>
                <w:lang w:val="en-US"/>
              </w:rPr>
              <w:t>Cispatá</w:t>
            </w:r>
            <w:proofErr w:type="spellEnd"/>
            <w:r w:rsidRPr="00652E9E">
              <w:rPr>
                <w:sz w:val="20"/>
                <w:szCs w:val="20"/>
                <w:lang w:val="en-US"/>
              </w:rPr>
              <w:t xml:space="preserve"> Bay (10 cm) is reached; CC: cutting cycle.</w:t>
            </w:r>
          </w:p>
        </w:tc>
      </w:tr>
    </w:tbl>
    <w:p w14:paraId="2F17DC5B" w14:textId="77777777" w:rsidR="00AE7FF5" w:rsidRPr="002265C9" w:rsidRDefault="00AE7FF5">
      <w:pPr>
        <w:rPr>
          <w:lang w:val="en-US"/>
        </w:rPr>
      </w:pPr>
    </w:p>
    <w:sectPr w:rsidR="00AE7FF5" w:rsidRPr="002265C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C456" w14:textId="77777777" w:rsidR="002265C9" w:rsidRDefault="002265C9" w:rsidP="002265C9">
      <w:pPr>
        <w:spacing w:after="0" w:line="240" w:lineRule="auto"/>
      </w:pPr>
      <w:r>
        <w:separator/>
      </w:r>
    </w:p>
  </w:endnote>
  <w:endnote w:type="continuationSeparator" w:id="0">
    <w:p w14:paraId="0D77C8C1" w14:textId="77777777" w:rsidR="002265C9" w:rsidRDefault="002265C9" w:rsidP="0022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9C5E" w14:textId="77777777" w:rsidR="002265C9" w:rsidRDefault="002265C9" w:rsidP="002265C9">
      <w:pPr>
        <w:spacing w:after="0" w:line="240" w:lineRule="auto"/>
      </w:pPr>
      <w:r>
        <w:separator/>
      </w:r>
    </w:p>
  </w:footnote>
  <w:footnote w:type="continuationSeparator" w:id="0">
    <w:p w14:paraId="275B245F" w14:textId="77777777" w:rsidR="002265C9" w:rsidRDefault="002265C9" w:rsidP="002265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C9"/>
    <w:rsid w:val="00051017"/>
    <w:rsid w:val="001A19CA"/>
    <w:rsid w:val="002265C9"/>
    <w:rsid w:val="003A73F7"/>
    <w:rsid w:val="00403309"/>
    <w:rsid w:val="004A55F2"/>
    <w:rsid w:val="005F6F93"/>
    <w:rsid w:val="0094574F"/>
    <w:rsid w:val="00A82EEE"/>
    <w:rsid w:val="00AE7FF5"/>
    <w:rsid w:val="00C3443E"/>
    <w:rsid w:val="00E603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4D20"/>
  <w15:chartTrackingRefBased/>
  <w15:docId w15:val="{B9BC6F6E-2FCF-49FA-9510-0C25CC30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C9"/>
  </w:style>
  <w:style w:type="paragraph" w:styleId="Heading1">
    <w:name w:val="heading 1"/>
    <w:basedOn w:val="Normal"/>
    <w:next w:val="Normal"/>
    <w:link w:val="Heading1Char"/>
    <w:uiPriority w:val="9"/>
    <w:qFormat/>
    <w:rsid w:val="00226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5C9"/>
    <w:rPr>
      <w:rFonts w:eastAsiaTheme="majorEastAsia" w:cstheme="majorBidi"/>
      <w:color w:val="272727" w:themeColor="text1" w:themeTint="D8"/>
    </w:rPr>
  </w:style>
  <w:style w:type="paragraph" w:styleId="Title">
    <w:name w:val="Title"/>
    <w:basedOn w:val="Normal"/>
    <w:next w:val="Normal"/>
    <w:link w:val="TitleChar"/>
    <w:uiPriority w:val="10"/>
    <w:qFormat/>
    <w:rsid w:val="00226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5C9"/>
    <w:pPr>
      <w:spacing w:before="160"/>
      <w:jc w:val="center"/>
    </w:pPr>
    <w:rPr>
      <w:i/>
      <w:iCs/>
      <w:color w:val="404040" w:themeColor="text1" w:themeTint="BF"/>
    </w:rPr>
  </w:style>
  <w:style w:type="character" w:customStyle="1" w:styleId="QuoteChar">
    <w:name w:val="Quote Char"/>
    <w:basedOn w:val="DefaultParagraphFont"/>
    <w:link w:val="Quote"/>
    <w:uiPriority w:val="29"/>
    <w:rsid w:val="002265C9"/>
    <w:rPr>
      <w:i/>
      <w:iCs/>
      <w:color w:val="404040" w:themeColor="text1" w:themeTint="BF"/>
    </w:rPr>
  </w:style>
  <w:style w:type="paragraph" w:styleId="ListParagraph">
    <w:name w:val="List Paragraph"/>
    <w:basedOn w:val="Normal"/>
    <w:uiPriority w:val="34"/>
    <w:qFormat/>
    <w:rsid w:val="002265C9"/>
    <w:pPr>
      <w:ind w:left="720"/>
      <w:contextualSpacing/>
    </w:pPr>
  </w:style>
  <w:style w:type="character" w:styleId="IntenseEmphasis">
    <w:name w:val="Intense Emphasis"/>
    <w:basedOn w:val="DefaultParagraphFont"/>
    <w:uiPriority w:val="21"/>
    <w:qFormat/>
    <w:rsid w:val="002265C9"/>
    <w:rPr>
      <w:i/>
      <w:iCs/>
      <w:color w:val="0F4761" w:themeColor="accent1" w:themeShade="BF"/>
    </w:rPr>
  </w:style>
  <w:style w:type="paragraph" w:styleId="IntenseQuote">
    <w:name w:val="Intense Quote"/>
    <w:basedOn w:val="Normal"/>
    <w:next w:val="Normal"/>
    <w:link w:val="IntenseQuoteChar"/>
    <w:uiPriority w:val="30"/>
    <w:qFormat/>
    <w:rsid w:val="00226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5C9"/>
    <w:rPr>
      <w:i/>
      <w:iCs/>
      <w:color w:val="0F4761" w:themeColor="accent1" w:themeShade="BF"/>
    </w:rPr>
  </w:style>
  <w:style w:type="character" w:styleId="IntenseReference">
    <w:name w:val="Intense Reference"/>
    <w:basedOn w:val="DefaultParagraphFont"/>
    <w:uiPriority w:val="32"/>
    <w:qFormat/>
    <w:rsid w:val="002265C9"/>
    <w:rPr>
      <w:b/>
      <w:bCs/>
      <w:smallCaps/>
      <w:color w:val="0F4761" w:themeColor="accent1" w:themeShade="BF"/>
      <w:spacing w:val="5"/>
    </w:rPr>
  </w:style>
  <w:style w:type="paragraph" w:styleId="Header">
    <w:name w:val="header"/>
    <w:basedOn w:val="Normal"/>
    <w:link w:val="HeaderChar"/>
    <w:uiPriority w:val="99"/>
    <w:unhideWhenUsed/>
    <w:rsid w:val="002265C9"/>
    <w:pPr>
      <w:tabs>
        <w:tab w:val="center" w:pos="4419"/>
        <w:tab w:val="right" w:pos="8838"/>
      </w:tabs>
      <w:spacing w:after="0" w:line="240" w:lineRule="auto"/>
    </w:pPr>
  </w:style>
  <w:style w:type="character" w:customStyle="1" w:styleId="HeaderChar">
    <w:name w:val="Header Char"/>
    <w:basedOn w:val="DefaultParagraphFont"/>
    <w:link w:val="Header"/>
    <w:uiPriority w:val="99"/>
    <w:rsid w:val="002265C9"/>
  </w:style>
  <w:style w:type="paragraph" w:styleId="Footer">
    <w:name w:val="footer"/>
    <w:basedOn w:val="Normal"/>
    <w:link w:val="FooterChar"/>
    <w:uiPriority w:val="99"/>
    <w:unhideWhenUsed/>
    <w:rsid w:val="002265C9"/>
    <w:pPr>
      <w:tabs>
        <w:tab w:val="center" w:pos="4419"/>
        <w:tab w:val="right" w:pos="8838"/>
      </w:tabs>
      <w:spacing w:after="0" w:line="240" w:lineRule="auto"/>
    </w:pPr>
  </w:style>
  <w:style w:type="character" w:customStyle="1" w:styleId="FooterChar">
    <w:name w:val="Footer Char"/>
    <w:basedOn w:val="DefaultParagraphFont"/>
    <w:link w:val="Footer"/>
    <w:uiPriority w:val="99"/>
    <w:rsid w:val="0022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valderramaca@unal.edu.c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2223</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Valderrama Carmona</dc:creator>
  <cp:keywords/>
  <dc:description/>
  <cp:lastModifiedBy>David Valderrama Carmona</cp:lastModifiedBy>
  <cp:revision>1</cp:revision>
  <dcterms:created xsi:type="dcterms:W3CDTF">2025-12-01T03:16:00Z</dcterms:created>
  <dcterms:modified xsi:type="dcterms:W3CDTF">2025-12-01T03:19:00Z</dcterms:modified>
</cp:coreProperties>
</file>