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7B8D0" w14:textId="14E6B492" w:rsidR="00281D2D" w:rsidRPr="00795278" w:rsidRDefault="00281D2D" w:rsidP="00281D2D">
      <w:pPr>
        <w:spacing w:line="480" w:lineRule="auto"/>
        <w:rPr>
          <w:rFonts w:ascii="Arial" w:hAnsi="Arial" w:cs="Arial"/>
          <w:b/>
          <w:bCs/>
          <w:sz w:val="22"/>
          <w:szCs w:val="22"/>
        </w:rPr>
      </w:pPr>
      <w:r w:rsidRPr="00795278">
        <w:rPr>
          <w:rFonts w:ascii="Arial" w:hAnsi="Arial" w:cs="Arial"/>
          <w:b/>
          <w:bCs/>
          <w:sz w:val="22"/>
          <w:szCs w:val="22"/>
        </w:rPr>
        <w:t>Longitudinal changes in gut microbiota across reproductive states in wild baboons</w:t>
      </w:r>
      <w:r w:rsidR="00795278" w:rsidRPr="00795278">
        <w:rPr>
          <w:rFonts w:ascii="Arial" w:hAnsi="Arial" w:cs="Arial"/>
          <w:b/>
          <w:bCs/>
          <w:sz w:val="22"/>
          <w:szCs w:val="22"/>
        </w:rPr>
        <w:t>.</w:t>
      </w:r>
    </w:p>
    <w:p w14:paraId="286E4057" w14:textId="77777777" w:rsidR="00C96B2A" w:rsidRPr="0048042D" w:rsidRDefault="00C96B2A" w:rsidP="00281D2D">
      <w:pPr>
        <w:spacing w:line="480" w:lineRule="auto"/>
        <w:rPr>
          <w:rFonts w:ascii="Arial" w:hAnsi="Arial" w:cs="Arial"/>
          <w:sz w:val="22"/>
          <w:szCs w:val="22"/>
        </w:rPr>
      </w:pPr>
    </w:p>
    <w:p w14:paraId="0AE5DBF4" w14:textId="77777777" w:rsidR="00AB2615" w:rsidRDefault="00AB2615" w:rsidP="00AB2615">
      <w:pPr>
        <w:spacing w:line="480" w:lineRule="auto"/>
        <w:rPr>
          <w:rFonts w:ascii="Arial" w:hAnsi="Arial" w:cs="Arial"/>
          <w:sz w:val="22"/>
          <w:szCs w:val="22"/>
          <w:vertAlign w:val="superscript"/>
        </w:rPr>
      </w:pPr>
      <w:r w:rsidRPr="0048042D">
        <w:rPr>
          <w:rFonts w:ascii="Arial" w:hAnsi="Arial" w:cs="Arial"/>
          <w:sz w:val="22"/>
          <w:szCs w:val="22"/>
        </w:rPr>
        <w:t>Southworth, C.A.</w:t>
      </w:r>
      <w:r w:rsidRPr="0048042D">
        <w:rPr>
          <w:rFonts w:ascii="Arial" w:hAnsi="Arial" w:cs="Arial"/>
          <w:sz w:val="22"/>
          <w:szCs w:val="22"/>
          <w:vertAlign w:val="superscript"/>
        </w:rPr>
        <w:t>1</w:t>
      </w:r>
      <w:r>
        <w:rPr>
          <w:rFonts w:ascii="Arial" w:hAnsi="Arial" w:cs="Arial"/>
          <w:sz w:val="22"/>
          <w:szCs w:val="22"/>
          <w:vertAlign w:val="superscript"/>
        </w:rPr>
        <w:t>*</w:t>
      </w:r>
      <w:r w:rsidRPr="0048042D">
        <w:rPr>
          <w:rFonts w:ascii="Arial" w:hAnsi="Arial" w:cs="Arial"/>
          <w:sz w:val="22"/>
          <w:szCs w:val="22"/>
        </w:rPr>
        <w:t>, Barrios, L.</w:t>
      </w:r>
      <w:r w:rsidRPr="0048042D">
        <w:rPr>
          <w:rFonts w:ascii="Arial" w:hAnsi="Arial" w:cs="Arial"/>
          <w:sz w:val="22"/>
          <w:szCs w:val="22"/>
          <w:vertAlign w:val="superscript"/>
        </w:rPr>
        <w:t>2</w:t>
      </w:r>
      <w:r>
        <w:rPr>
          <w:rFonts w:ascii="Arial" w:hAnsi="Arial" w:cs="Arial"/>
          <w:sz w:val="22"/>
          <w:szCs w:val="22"/>
          <w:vertAlign w:val="superscript"/>
        </w:rPr>
        <w:t>,3</w:t>
      </w:r>
      <w:r w:rsidRPr="0048042D">
        <w:rPr>
          <w:rFonts w:ascii="Arial" w:hAnsi="Arial" w:cs="Arial"/>
          <w:sz w:val="22"/>
          <w:szCs w:val="22"/>
        </w:rPr>
        <w:t xml:space="preserve">, </w:t>
      </w:r>
      <w:proofErr w:type="spellStart"/>
      <w:r w:rsidRPr="0048042D">
        <w:rPr>
          <w:rFonts w:ascii="Arial" w:hAnsi="Arial" w:cs="Arial"/>
          <w:sz w:val="22"/>
          <w:szCs w:val="22"/>
        </w:rPr>
        <w:t>Dasari</w:t>
      </w:r>
      <w:proofErr w:type="spellEnd"/>
      <w:r w:rsidRPr="0048042D">
        <w:rPr>
          <w:rFonts w:ascii="Arial" w:hAnsi="Arial" w:cs="Arial"/>
          <w:sz w:val="22"/>
          <w:szCs w:val="22"/>
        </w:rPr>
        <w:t>, M.D.</w:t>
      </w:r>
      <w:r>
        <w:rPr>
          <w:rFonts w:ascii="Arial" w:hAnsi="Arial" w:cs="Arial"/>
          <w:sz w:val="22"/>
          <w:szCs w:val="22"/>
          <w:vertAlign w:val="superscript"/>
        </w:rPr>
        <w:t>4</w:t>
      </w:r>
      <w:r w:rsidRPr="0048042D">
        <w:rPr>
          <w:rFonts w:ascii="Arial" w:hAnsi="Arial" w:cs="Arial"/>
          <w:sz w:val="22"/>
          <w:szCs w:val="22"/>
        </w:rPr>
        <w:t>, Gesquiere, L.R.</w:t>
      </w:r>
      <w:r>
        <w:rPr>
          <w:rFonts w:ascii="Arial" w:hAnsi="Arial" w:cs="Arial"/>
          <w:sz w:val="22"/>
          <w:szCs w:val="22"/>
          <w:vertAlign w:val="superscript"/>
        </w:rPr>
        <w:t>5</w:t>
      </w:r>
      <w:r w:rsidRPr="0048042D">
        <w:rPr>
          <w:rFonts w:ascii="Arial" w:hAnsi="Arial" w:cs="Arial"/>
          <w:sz w:val="22"/>
          <w:szCs w:val="22"/>
        </w:rPr>
        <w:t>, Gilbert, J.A</w:t>
      </w:r>
      <w:r>
        <w:rPr>
          <w:rFonts w:ascii="Arial" w:hAnsi="Arial" w:cs="Arial"/>
          <w:sz w:val="22"/>
          <w:szCs w:val="22"/>
          <w:vertAlign w:val="superscript"/>
        </w:rPr>
        <w:t>8</w:t>
      </w:r>
      <w:r w:rsidRPr="0048042D">
        <w:rPr>
          <w:rFonts w:ascii="Arial" w:hAnsi="Arial" w:cs="Arial"/>
          <w:sz w:val="22"/>
          <w:szCs w:val="22"/>
        </w:rPr>
        <w:t>., Alberts, S.C.</w:t>
      </w:r>
      <w:r>
        <w:rPr>
          <w:rFonts w:ascii="Arial" w:hAnsi="Arial" w:cs="Arial"/>
          <w:sz w:val="22"/>
          <w:szCs w:val="22"/>
          <w:vertAlign w:val="superscript"/>
        </w:rPr>
        <w:t>5,6,7</w:t>
      </w:r>
      <w:r w:rsidRPr="0048042D">
        <w:rPr>
          <w:rFonts w:ascii="Arial" w:hAnsi="Arial" w:cs="Arial"/>
          <w:sz w:val="22"/>
          <w:szCs w:val="22"/>
        </w:rPr>
        <w:t>, Tung, J.</w:t>
      </w:r>
      <w:r>
        <w:rPr>
          <w:rFonts w:ascii="Arial" w:hAnsi="Arial" w:cs="Arial"/>
          <w:sz w:val="22"/>
          <w:szCs w:val="22"/>
          <w:vertAlign w:val="superscript"/>
        </w:rPr>
        <w:t>5</w:t>
      </w:r>
      <w:r w:rsidRPr="0048042D">
        <w:rPr>
          <w:rFonts w:ascii="Arial" w:hAnsi="Arial" w:cs="Arial"/>
          <w:sz w:val="22"/>
          <w:szCs w:val="22"/>
          <w:vertAlign w:val="superscript"/>
        </w:rPr>
        <w:t>,</w:t>
      </w:r>
      <w:r>
        <w:rPr>
          <w:rFonts w:ascii="Arial" w:hAnsi="Arial" w:cs="Arial"/>
          <w:sz w:val="22"/>
          <w:szCs w:val="22"/>
          <w:vertAlign w:val="superscript"/>
        </w:rPr>
        <w:t>6</w:t>
      </w:r>
      <w:r w:rsidRPr="0048042D">
        <w:rPr>
          <w:rFonts w:ascii="Arial" w:hAnsi="Arial" w:cs="Arial"/>
          <w:sz w:val="22"/>
          <w:szCs w:val="22"/>
          <w:vertAlign w:val="superscript"/>
        </w:rPr>
        <w:t>,9,10</w:t>
      </w:r>
      <w:r>
        <w:rPr>
          <w:rFonts w:ascii="Arial" w:hAnsi="Arial" w:cs="Arial"/>
          <w:sz w:val="22"/>
          <w:szCs w:val="22"/>
          <w:vertAlign w:val="superscript"/>
        </w:rPr>
        <w:t>,11</w:t>
      </w:r>
      <w:r w:rsidRPr="0048042D">
        <w:rPr>
          <w:rFonts w:ascii="Arial" w:hAnsi="Arial" w:cs="Arial"/>
          <w:sz w:val="22"/>
          <w:szCs w:val="22"/>
        </w:rPr>
        <w:t>, Archie, E.A.</w:t>
      </w:r>
      <w:r w:rsidRPr="0048042D">
        <w:rPr>
          <w:rFonts w:ascii="Arial" w:hAnsi="Arial" w:cs="Arial"/>
          <w:sz w:val="22"/>
          <w:szCs w:val="22"/>
          <w:vertAlign w:val="superscript"/>
        </w:rPr>
        <w:t>1</w:t>
      </w:r>
    </w:p>
    <w:p w14:paraId="2F33D91D" w14:textId="77777777" w:rsidR="00AB2615" w:rsidRPr="0048042D" w:rsidRDefault="00AB2615" w:rsidP="00AB2615">
      <w:pPr>
        <w:spacing w:line="480" w:lineRule="auto"/>
        <w:rPr>
          <w:rFonts w:ascii="Arial" w:hAnsi="Arial" w:cs="Arial"/>
          <w:sz w:val="22"/>
          <w:szCs w:val="22"/>
          <w:vertAlign w:val="superscript"/>
        </w:rPr>
      </w:pPr>
    </w:p>
    <w:p w14:paraId="731CED39" w14:textId="77777777" w:rsidR="00AB2615" w:rsidRPr="0048042D" w:rsidRDefault="00AB2615" w:rsidP="00AB2615">
      <w:pPr>
        <w:spacing w:line="480" w:lineRule="auto"/>
        <w:rPr>
          <w:rFonts w:ascii="Arial" w:hAnsi="Arial" w:cs="Arial"/>
          <w:sz w:val="22"/>
          <w:szCs w:val="22"/>
        </w:rPr>
      </w:pPr>
      <w:r w:rsidRPr="0048042D">
        <w:rPr>
          <w:rFonts w:ascii="Arial" w:hAnsi="Arial" w:cs="Arial"/>
          <w:sz w:val="22"/>
          <w:szCs w:val="22"/>
          <w:vertAlign w:val="superscript"/>
        </w:rPr>
        <w:t>1</w:t>
      </w:r>
      <w:r w:rsidRPr="0048042D">
        <w:rPr>
          <w:rFonts w:ascii="Arial" w:hAnsi="Arial" w:cs="Arial"/>
          <w:sz w:val="22"/>
          <w:szCs w:val="22"/>
        </w:rPr>
        <w:t>Department of Biological Sciences, University of Notre Dame, Notre Dame, IN, USA</w:t>
      </w:r>
    </w:p>
    <w:p w14:paraId="37C58CAF" w14:textId="77777777" w:rsidR="00AB2615" w:rsidRDefault="00AB2615" w:rsidP="00AB2615">
      <w:pPr>
        <w:spacing w:line="480" w:lineRule="auto"/>
        <w:rPr>
          <w:rFonts w:ascii="Arial" w:hAnsi="Arial" w:cs="Arial"/>
          <w:sz w:val="22"/>
          <w:szCs w:val="22"/>
        </w:rPr>
      </w:pPr>
      <w:r w:rsidRPr="0048042D">
        <w:rPr>
          <w:rFonts w:ascii="Arial" w:hAnsi="Arial" w:cs="Arial"/>
          <w:sz w:val="22"/>
          <w:szCs w:val="22"/>
          <w:vertAlign w:val="superscript"/>
        </w:rPr>
        <w:t>2</w:t>
      </w:r>
      <w:r>
        <w:rPr>
          <w:rFonts w:ascii="Arial" w:hAnsi="Arial" w:cs="Arial"/>
          <w:sz w:val="22"/>
          <w:szCs w:val="22"/>
        </w:rPr>
        <w:t>Biomedical Engineering Program</w:t>
      </w:r>
      <w:r w:rsidRPr="0048042D">
        <w:rPr>
          <w:rFonts w:ascii="Arial" w:hAnsi="Arial" w:cs="Arial"/>
          <w:sz w:val="22"/>
          <w:szCs w:val="22"/>
        </w:rPr>
        <w:t>, University of Colorado, Boulder, CO, USA</w:t>
      </w:r>
    </w:p>
    <w:p w14:paraId="30B2DB7C" w14:textId="77777777" w:rsidR="00AB2615" w:rsidRPr="0048042D" w:rsidRDefault="00AB2615" w:rsidP="00AB2615">
      <w:pPr>
        <w:spacing w:line="480" w:lineRule="auto"/>
        <w:rPr>
          <w:rFonts w:ascii="Arial" w:hAnsi="Arial" w:cs="Arial"/>
          <w:sz w:val="22"/>
          <w:szCs w:val="22"/>
        </w:rPr>
      </w:pPr>
      <w:r w:rsidRPr="0048042D">
        <w:rPr>
          <w:rFonts w:ascii="Arial" w:hAnsi="Arial" w:cs="Arial"/>
          <w:sz w:val="22"/>
          <w:szCs w:val="22"/>
          <w:vertAlign w:val="superscript"/>
        </w:rPr>
        <w:t>3</w:t>
      </w:r>
      <w:r>
        <w:rPr>
          <w:rFonts w:ascii="Arial" w:hAnsi="Arial" w:cs="Arial"/>
          <w:sz w:val="22"/>
          <w:szCs w:val="22"/>
        </w:rPr>
        <w:t xml:space="preserve">Interdisciplinary Quantitative Biology Program, </w:t>
      </w:r>
      <w:proofErr w:type="spellStart"/>
      <w:r>
        <w:rPr>
          <w:rFonts w:ascii="Arial" w:hAnsi="Arial" w:cs="Arial"/>
          <w:sz w:val="22"/>
          <w:szCs w:val="22"/>
        </w:rPr>
        <w:t>BioFrontiers</w:t>
      </w:r>
      <w:proofErr w:type="spellEnd"/>
      <w:r>
        <w:rPr>
          <w:rFonts w:ascii="Arial" w:hAnsi="Arial" w:cs="Arial"/>
          <w:sz w:val="22"/>
          <w:szCs w:val="22"/>
        </w:rPr>
        <w:t xml:space="preserve"> Institute, University of Colorado, Boulder, CO, USA</w:t>
      </w:r>
    </w:p>
    <w:p w14:paraId="589AE994" w14:textId="77777777" w:rsidR="00AB2615" w:rsidRPr="0048042D" w:rsidRDefault="00AB2615" w:rsidP="00AB2615">
      <w:pPr>
        <w:spacing w:line="480" w:lineRule="auto"/>
        <w:rPr>
          <w:rFonts w:ascii="Arial" w:hAnsi="Arial" w:cs="Arial"/>
          <w:sz w:val="22"/>
          <w:szCs w:val="22"/>
        </w:rPr>
      </w:pPr>
      <w:r>
        <w:rPr>
          <w:rFonts w:ascii="Arial" w:hAnsi="Arial" w:cs="Arial"/>
          <w:sz w:val="22"/>
          <w:szCs w:val="22"/>
          <w:vertAlign w:val="superscript"/>
        </w:rPr>
        <w:t>4</w:t>
      </w:r>
      <w:r w:rsidRPr="0048042D">
        <w:rPr>
          <w:rFonts w:ascii="Arial" w:hAnsi="Arial" w:cs="Arial"/>
          <w:sz w:val="22"/>
          <w:szCs w:val="22"/>
        </w:rPr>
        <w:t>California Academy of Sciences, San Francisco, CA, USA</w:t>
      </w:r>
    </w:p>
    <w:p w14:paraId="49FFC22F" w14:textId="77777777" w:rsidR="00AB2615" w:rsidRPr="0048042D" w:rsidRDefault="00AB2615" w:rsidP="00AB2615">
      <w:pPr>
        <w:spacing w:line="480" w:lineRule="auto"/>
        <w:rPr>
          <w:rFonts w:ascii="Arial" w:hAnsi="Arial" w:cs="Arial"/>
          <w:sz w:val="22"/>
          <w:szCs w:val="22"/>
        </w:rPr>
      </w:pPr>
      <w:r>
        <w:rPr>
          <w:rFonts w:ascii="Arial" w:hAnsi="Arial" w:cs="Arial"/>
          <w:sz w:val="22"/>
          <w:szCs w:val="22"/>
          <w:vertAlign w:val="superscript"/>
        </w:rPr>
        <w:t>5</w:t>
      </w:r>
      <w:r w:rsidRPr="0048042D">
        <w:rPr>
          <w:rFonts w:ascii="Arial" w:hAnsi="Arial" w:cs="Arial"/>
          <w:sz w:val="22"/>
          <w:szCs w:val="22"/>
        </w:rPr>
        <w:t xml:space="preserve">Department of Biology, </w:t>
      </w:r>
      <w:r>
        <w:rPr>
          <w:rFonts w:ascii="Arial" w:hAnsi="Arial" w:cs="Arial"/>
          <w:sz w:val="22"/>
          <w:szCs w:val="22"/>
          <w:vertAlign w:val="superscript"/>
        </w:rPr>
        <w:t>6</w:t>
      </w:r>
      <w:r w:rsidRPr="0048042D">
        <w:rPr>
          <w:rFonts w:ascii="Arial" w:hAnsi="Arial" w:cs="Arial"/>
          <w:sz w:val="22"/>
          <w:szCs w:val="22"/>
        </w:rPr>
        <w:t xml:space="preserve">Department of Evolutionary Anthropology, and </w:t>
      </w:r>
      <w:r>
        <w:rPr>
          <w:rFonts w:ascii="Arial" w:hAnsi="Arial" w:cs="Arial"/>
          <w:sz w:val="22"/>
          <w:szCs w:val="22"/>
          <w:vertAlign w:val="superscript"/>
        </w:rPr>
        <w:t>7</w:t>
      </w:r>
      <w:r w:rsidRPr="0048042D">
        <w:rPr>
          <w:rFonts w:ascii="Arial" w:hAnsi="Arial" w:cs="Arial"/>
          <w:sz w:val="22"/>
          <w:szCs w:val="22"/>
        </w:rPr>
        <w:t>Population Research Institute, Duke University, Durham, NC, USA</w:t>
      </w:r>
    </w:p>
    <w:p w14:paraId="73C962BB" w14:textId="77777777" w:rsidR="00AB2615" w:rsidRDefault="00AB2615" w:rsidP="00AB2615">
      <w:pPr>
        <w:spacing w:line="480" w:lineRule="auto"/>
        <w:rPr>
          <w:rFonts w:ascii="Arial" w:hAnsi="Arial" w:cs="Arial"/>
          <w:sz w:val="22"/>
          <w:szCs w:val="22"/>
        </w:rPr>
      </w:pPr>
      <w:r>
        <w:rPr>
          <w:rFonts w:ascii="Arial" w:hAnsi="Arial" w:cs="Arial"/>
          <w:sz w:val="22"/>
          <w:szCs w:val="22"/>
          <w:vertAlign w:val="superscript"/>
        </w:rPr>
        <w:t>8</w:t>
      </w:r>
      <w:r w:rsidRPr="00A21FD7">
        <w:rPr>
          <w:rFonts w:ascii="Arial" w:hAnsi="Arial" w:cs="Arial"/>
          <w:sz w:val="22"/>
          <w:szCs w:val="22"/>
        </w:rPr>
        <w:t>Scripps Institution of Oceanography, University of California San Diego, La Jolla, USA</w:t>
      </w:r>
    </w:p>
    <w:p w14:paraId="0FDDA216" w14:textId="77777777" w:rsidR="00AB2615" w:rsidRPr="0048042D" w:rsidRDefault="00AB2615" w:rsidP="00AB2615">
      <w:pPr>
        <w:spacing w:line="480" w:lineRule="auto"/>
        <w:rPr>
          <w:rFonts w:ascii="Arial" w:hAnsi="Arial" w:cs="Arial"/>
          <w:sz w:val="22"/>
          <w:szCs w:val="22"/>
        </w:rPr>
      </w:pPr>
      <w:r>
        <w:rPr>
          <w:rFonts w:ascii="Arial" w:hAnsi="Arial" w:cs="Arial"/>
          <w:sz w:val="22"/>
          <w:szCs w:val="22"/>
          <w:vertAlign w:val="superscript"/>
        </w:rPr>
        <w:t>9</w:t>
      </w:r>
      <w:r w:rsidRPr="0048042D">
        <w:rPr>
          <w:rFonts w:ascii="Arial" w:hAnsi="Arial" w:cs="Arial"/>
          <w:sz w:val="22"/>
          <w:szCs w:val="22"/>
        </w:rPr>
        <w:t>Department of Primate Behavior and Evolution, Max Planck Institute for Evolutionary Anthropology, Leipzig, Germany</w:t>
      </w:r>
    </w:p>
    <w:p w14:paraId="449FED19" w14:textId="77777777" w:rsidR="00AB2615" w:rsidRPr="0048042D" w:rsidRDefault="00AB2615" w:rsidP="00AB2615">
      <w:pPr>
        <w:spacing w:line="480" w:lineRule="auto"/>
        <w:rPr>
          <w:rFonts w:ascii="Arial" w:hAnsi="Arial" w:cs="Arial"/>
          <w:sz w:val="22"/>
          <w:szCs w:val="22"/>
        </w:rPr>
      </w:pPr>
      <w:r>
        <w:rPr>
          <w:rFonts w:ascii="Arial" w:hAnsi="Arial" w:cs="Arial"/>
          <w:sz w:val="22"/>
          <w:szCs w:val="22"/>
          <w:vertAlign w:val="superscript"/>
        </w:rPr>
        <w:t>10</w:t>
      </w:r>
      <w:r w:rsidRPr="0048042D">
        <w:rPr>
          <w:rFonts w:ascii="Arial" w:hAnsi="Arial" w:cs="Arial"/>
          <w:sz w:val="22"/>
          <w:szCs w:val="22"/>
        </w:rPr>
        <w:t>Faculty of Life Sciences, Institute of Biology, Leipzig University, Leipzig, Germany</w:t>
      </w:r>
    </w:p>
    <w:p w14:paraId="314F762A" w14:textId="77777777" w:rsidR="00AB2615" w:rsidRDefault="00AB2615" w:rsidP="00AB2615">
      <w:pPr>
        <w:spacing w:line="480" w:lineRule="auto"/>
        <w:rPr>
          <w:rFonts w:ascii="Arial" w:hAnsi="Arial" w:cs="Arial"/>
          <w:sz w:val="22"/>
          <w:szCs w:val="22"/>
        </w:rPr>
      </w:pPr>
      <w:r w:rsidRPr="0048042D">
        <w:rPr>
          <w:rFonts w:ascii="Arial" w:hAnsi="Arial" w:cs="Arial"/>
          <w:sz w:val="22"/>
          <w:szCs w:val="22"/>
          <w:vertAlign w:val="superscript"/>
        </w:rPr>
        <w:t>1</w:t>
      </w:r>
      <w:r>
        <w:rPr>
          <w:rFonts w:ascii="Arial" w:hAnsi="Arial" w:cs="Arial"/>
          <w:sz w:val="22"/>
          <w:szCs w:val="22"/>
          <w:vertAlign w:val="superscript"/>
        </w:rPr>
        <w:t>1</w:t>
      </w:r>
      <w:r w:rsidRPr="0048042D">
        <w:rPr>
          <w:rFonts w:ascii="Arial" w:hAnsi="Arial" w:cs="Arial"/>
          <w:sz w:val="22"/>
          <w:szCs w:val="22"/>
        </w:rPr>
        <w:t>Canadian Institute for Advanced Research, Toronto, ON, Canada</w:t>
      </w:r>
    </w:p>
    <w:p w14:paraId="32EAF46E" w14:textId="77777777" w:rsidR="00AB2615" w:rsidRDefault="00AB2615" w:rsidP="00AB2615">
      <w:pPr>
        <w:spacing w:line="480" w:lineRule="auto"/>
        <w:rPr>
          <w:rFonts w:ascii="Arial" w:hAnsi="Arial" w:cs="Arial"/>
          <w:sz w:val="22"/>
          <w:szCs w:val="22"/>
        </w:rPr>
      </w:pPr>
    </w:p>
    <w:p w14:paraId="1534061B" w14:textId="5074FBC1" w:rsidR="00AB2615" w:rsidRDefault="00AB2615" w:rsidP="00AB2615">
      <w:pPr>
        <w:spacing w:line="480" w:lineRule="auto"/>
        <w:rPr>
          <w:rFonts w:ascii="Arial" w:hAnsi="Arial" w:cs="Arial"/>
          <w:sz w:val="22"/>
          <w:szCs w:val="22"/>
        </w:rPr>
      </w:pPr>
      <w:r w:rsidRPr="00844371">
        <w:rPr>
          <w:rFonts w:ascii="Arial" w:hAnsi="Arial" w:cs="Arial"/>
          <w:sz w:val="22"/>
          <w:szCs w:val="22"/>
        </w:rPr>
        <w:t>*Corresponding author (</w:t>
      </w:r>
      <w:hyperlink r:id="rId7" w:history="1">
        <w:r w:rsidRPr="00844371">
          <w:rPr>
            <w:rStyle w:val="Hyperlink"/>
            <w:rFonts w:ascii="Arial" w:hAnsi="Arial" w:cs="Arial"/>
            <w:sz w:val="22"/>
            <w:szCs w:val="22"/>
          </w:rPr>
          <w:t>chelsea.southworth2@gmail.com</w:t>
        </w:r>
      </w:hyperlink>
      <w:r w:rsidRPr="00844371">
        <w:rPr>
          <w:rFonts w:ascii="Arial" w:hAnsi="Arial" w:cs="Arial"/>
          <w:sz w:val="22"/>
          <w:szCs w:val="22"/>
        </w:rPr>
        <w:t xml:space="preserve">) </w:t>
      </w:r>
    </w:p>
    <w:sdt>
      <w:sdtPr>
        <w:rPr>
          <w:rFonts w:asciiTheme="minorHAnsi" w:eastAsiaTheme="minorHAnsi" w:hAnsiTheme="minorHAnsi" w:cstheme="minorBidi"/>
          <w:b w:val="0"/>
          <w:bCs w:val="0"/>
          <w:color w:val="auto"/>
          <w:kern w:val="2"/>
          <w:sz w:val="24"/>
          <w:szCs w:val="24"/>
          <w14:ligatures w14:val="standardContextual"/>
        </w:rPr>
        <w:id w:val="2123649889"/>
        <w:docPartObj>
          <w:docPartGallery w:val="Table of Contents"/>
          <w:docPartUnique/>
        </w:docPartObj>
      </w:sdtPr>
      <w:sdtEndPr>
        <w:rPr>
          <w:noProof/>
        </w:rPr>
      </w:sdtEndPr>
      <w:sdtContent>
        <w:p w14:paraId="2C3A320A" w14:textId="52B56D6E" w:rsidR="00D07027" w:rsidRPr="00A641A7" w:rsidRDefault="00D07027" w:rsidP="00AB2615">
          <w:pPr>
            <w:pStyle w:val="TOCHeading"/>
            <w:rPr>
              <w:rFonts w:ascii="Arial" w:hAnsi="Arial" w:cs="Arial"/>
              <w:color w:val="000000" w:themeColor="text1"/>
            </w:rPr>
          </w:pPr>
          <w:r w:rsidRPr="00A641A7">
            <w:rPr>
              <w:rFonts w:ascii="Arial" w:hAnsi="Arial" w:cs="Arial"/>
              <w:color w:val="000000" w:themeColor="text1"/>
            </w:rPr>
            <w:t>Table of Contents</w:t>
          </w:r>
        </w:p>
        <w:p w14:paraId="6A0E76ED" w14:textId="2B5308C4" w:rsidR="0084512A" w:rsidRDefault="00D07027">
          <w:pPr>
            <w:pStyle w:val="TOC1"/>
            <w:rPr>
              <w:rFonts w:asciiTheme="minorHAnsi" w:eastAsiaTheme="minorEastAsia" w:hAnsiTheme="minorHAnsi" w:cstheme="minorBidi"/>
              <w:i w:val="0"/>
              <w:iCs w:val="0"/>
            </w:rPr>
          </w:pPr>
          <w:r w:rsidRPr="005878D7">
            <w:rPr>
              <w:noProof w:val="0"/>
              <w:color w:val="000000" w:themeColor="text1"/>
            </w:rPr>
            <w:fldChar w:fldCharType="begin"/>
          </w:r>
          <w:r w:rsidRPr="005878D7">
            <w:rPr>
              <w:color w:val="000000" w:themeColor="text1"/>
            </w:rPr>
            <w:instrText xml:space="preserve"> TOC \o "1-3" \h \z \u </w:instrText>
          </w:r>
          <w:r w:rsidRPr="005878D7">
            <w:rPr>
              <w:noProof w:val="0"/>
              <w:color w:val="000000" w:themeColor="text1"/>
            </w:rPr>
            <w:fldChar w:fldCharType="separate"/>
          </w:r>
          <w:hyperlink w:anchor="_Toc209613039" w:history="1">
            <w:r w:rsidR="0084512A" w:rsidRPr="00F95395">
              <w:rPr>
                <w:rStyle w:val="Hyperlink"/>
                <w:b/>
                <w:bCs/>
              </w:rPr>
              <w:t>Figure S1. Baboon gut microbiota do not cluster by reproductive state in ordination analysis.</w:t>
            </w:r>
            <w:r w:rsidR="0084512A">
              <w:rPr>
                <w:webHidden/>
              </w:rPr>
              <w:tab/>
            </w:r>
            <w:r w:rsidR="0084512A">
              <w:rPr>
                <w:webHidden/>
              </w:rPr>
              <w:fldChar w:fldCharType="begin"/>
            </w:r>
            <w:r w:rsidR="0084512A">
              <w:rPr>
                <w:webHidden/>
              </w:rPr>
              <w:instrText xml:space="preserve"> PAGEREF _Toc209613039 \h </w:instrText>
            </w:r>
            <w:r w:rsidR="0084512A">
              <w:rPr>
                <w:webHidden/>
              </w:rPr>
            </w:r>
            <w:r w:rsidR="0084512A">
              <w:rPr>
                <w:webHidden/>
              </w:rPr>
              <w:fldChar w:fldCharType="separate"/>
            </w:r>
            <w:r w:rsidR="00C96B2A">
              <w:rPr>
                <w:webHidden/>
              </w:rPr>
              <w:t>2</w:t>
            </w:r>
            <w:r w:rsidR="0084512A">
              <w:rPr>
                <w:webHidden/>
              </w:rPr>
              <w:fldChar w:fldCharType="end"/>
            </w:r>
          </w:hyperlink>
        </w:p>
        <w:p w14:paraId="47F54C0C" w14:textId="03B899EB" w:rsidR="0084512A" w:rsidRDefault="0084512A">
          <w:pPr>
            <w:pStyle w:val="TOC1"/>
            <w:rPr>
              <w:rFonts w:asciiTheme="minorHAnsi" w:eastAsiaTheme="minorEastAsia" w:hAnsiTheme="minorHAnsi" w:cstheme="minorBidi"/>
              <w:i w:val="0"/>
              <w:iCs w:val="0"/>
            </w:rPr>
          </w:pPr>
          <w:hyperlink w:anchor="_Toc209613040" w:history="1">
            <w:r w:rsidRPr="00F95395">
              <w:rPr>
                <w:rStyle w:val="Hyperlink"/>
                <w:b/>
                <w:bCs/>
              </w:rPr>
              <w:t>Figure S2. Few gut microbial ASVs differ in abundance between PPA and ovarian cycling.</w:t>
            </w:r>
            <w:r>
              <w:rPr>
                <w:webHidden/>
              </w:rPr>
              <w:tab/>
            </w:r>
            <w:r>
              <w:rPr>
                <w:webHidden/>
              </w:rPr>
              <w:fldChar w:fldCharType="begin"/>
            </w:r>
            <w:r>
              <w:rPr>
                <w:webHidden/>
              </w:rPr>
              <w:instrText xml:space="preserve"> PAGEREF _Toc209613040 \h </w:instrText>
            </w:r>
            <w:r>
              <w:rPr>
                <w:webHidden/>
              </w:rPr>
            </w:r>
            <w:r>
              <w:rPr>
                <w:webHidden/>
              </w:rPr>
              <w:fldChar w:fldCharType="separate"/>
            </w:r>
            <w:r w:rsidR="00C96B2A">
              <w:rPr>
                <w:webHidden/>
              </w:rPr>
              <w:t>3</w:t>
            </w:r>
            <w:r>
              <w:rPr>
                <w:webHidden/>
              </w:rPr>
              <w:fldChar w:fldCharType="end"/>
            </w:r>
          </w:hyperlink>
        </w:p>
        <w:p w14:paraId="28733C0E" w14:textId="73C93E6A" w:rsidR="0084512A" w:rsidRDefault="0084512A">
          <w:pPr>
            <w:pStyle w:val="TOC1"/>
            <w:rPr>
              <w:rFonts w:asciiTheme="minorHAnsi" w:eastAsiaTheme="minorEastAsia" w:hAnsiTheme="minorHAnsi" w:cstheme="minorBidi"/>
              <w:i w:val="0"/>
              <w:iCs w:val="0"/>
            </w:rPr>
          </w:pPr>
          <w:hyperlink w:anchor="_Toc209613041" w:history="1">
            <w:r w:rsidRPr="00F95395">
              <w:rPr>
                <w:rStyle w:val="Hyperlink"/>
                <w:b/>
                <w:bCs/>
              </w:rPr>
              <w:t>Figure S3. Gut microbiota in the first three months of PPA are distinct from later PPA.</w:t>
            </w:r>
            <w:r>
              <w:rPr>
                <w:webHidden/>
              </w:rPr>
              <w:tab/>
            </w:r>
            <w:r>
              <w:rPr>
                <w:webHidden/>
              </w:rPr>
              <w:fldChar w:fldCharType="begin"/>
            </w:r>
            <w:r>
              <w:rPr>
                <w:webHidden/>
              </w:rPr>
              <w:instrText xml:space="preserve"> PAGEREF _Toc209613041 \h </w:instrText>
            </w:r>
            <w:r>
              <w:rPr>
                <w:webHidden/>
              </w:rPr>
            </w:r>
            <w:r>
              <w:rPr>
                <w:webHidden/>
              </w:rPr>
              <w:fldChar w:fldCharType="separate"/>
            </w:r>
            <w:r w:rsidR="00C96B2A">
              <w:rPr>
                <w:webHidden/>
              </w:rPr>
              <w:t>4</w:t>
            </w:r>
            <w:r>
              <w:rPr>
                <w:webHidden/>
              </w:rPr>
              <w:fldChar w:fldCharType="end"/>
            </w:r>
          </w:hyperlink>
        </w:p>
        <w:p w14:paraId="67D3BACD" w14:textId="7C615B34" w:rsidR="0084512A" w:rsidRPr="00AB2615" w:rsidRDefault="0084512A">
          <w:pPr>
            <w:pStyle w:val="TOC1"/>
            <w:rPr>
              <w:rFonts w:asciiTheme="minorHAnsi" w:eastAsiaTheme="minorEastAsia" w:hAnsiTheme="minorHAnsi" w:cstheme="minorBidi"/>
              <w:i w:val="0"/>
              <w:iCs w:val="0"/>
            </w:rPr>
          </w:pPr>
          <w:hyperlink w:anchor="_Toc209613042" w:history="1">
            <w:r w:rsidRPr="00AB2615">
              <w:rPr>
                <w:rStyle w:val="Hyperlink"/>
                <w:b/>
                <w:bCs/>
              </w:rPr>
              <w:t>Figure S4. Gut microbial changes are small across ovarian cycle phases.</w:t>
            </w:r>
            <w:r w:rsidRPr="00AB2615">
              <w:rPr>
                <w:webHidden/>
              </w:rPr>
              <w:tab/>
            </w:r>
            <w:r w:rsidRPr="00AB2615">
              <w:rPr>
                <w:webHidden/>
              </w:rPr>
              <w:fldChar w:fldCharType="begin"/>
            </w:r>
            <w:r w:rsidRPr="00AB2615">
              <w:rPr>
                <w:webHidden/>
              </w:rPr>
              <w:instrText xml:space="preserve"> PAGEREF _Toc209613042 \h </w:instrText>
            </w:r>
            <w:r w:rsidRPr="00AB2615">
              <w:rPr>
                <w:webHidden/>
              </w:rPr>
            </w:r>
            <w:r w:rsidRPr="00AB2615">
              <w:rPr>
                <w:webHidden/>
              </w:rPr>
              <w:fldChar w:fldCharType="separate"/>
            </w:r>
            <w:r w:rsidR="00C96B2A" w:rsidRPr="00AB2615">
              <w:rPr>
                <w:webHidden/>
              </w:rPr>
              <w:t>5</w:t>
            </w:r>
            <w:r w:rsidRPr="00AB2615">
              <w:rPr>
                <w:webHidden/>
              </w:rPr>
              <w:fldChar w:fldCharType="end"/>
            </w:r>
          </w:hyperlink>
        </w:p>
        <w:p w14:paraId="40B242E2" w14:textId="73641D90" w:rsidR="0084512A" w:rsidRPr="00AB2615" w:rsidRDefault="00C96B2A">
          <w:pPr>
            <w:pStyle w:val="TOC1"/>
            <w:rPr>
              <w:rFonts w:asciiTheme="minorHAnsi" w:eastAsiaTheme="minorEastAsia" w:hAnsiTheme="minorHAnsi" w:cstheme="minorBidi"/>
              <w:i w:val="0"/>
              <w:iCs w:val="0"/>
            </w:rPr>
          </w:pPr>
          <w:hyperlink w:anchor="_Toc209613043" w:history="1">
            <w:r w:rsidRPr="00AB2615">
              <w:rPr>
                <w:rStyle w:val="Heading1Char"/>
                <w:rFonts w:ascii="Arial" w:hAnsi="Arial" w:cs="Arial"/>
                <w:b/>
                <w:bCs/>
                <w:color w:val="000000" w:themeColor="text1"/>
                <w:sz w:val="24"/>
                <w:szCs w:val="24"/>
              </w:rPr>
              <w:t xml:space="preserve"> Figure S5.</w:t>
            </w:r>
            <w:r w:rsidR="00AB2615" w:rsidRPr="00AB2615">
              <w:rPr>
                <w:rStyle w:val="Heading1Char"/>
                <w:rFonts w:ascii="Arial" w:hAnsi="Arial" w:cs="Arial"/>
                <w:b/>
                <w:bCs/>
                <w:color w:val="000000" w:themeColor="text1"/>
                <w:sz w:val="24"/>
                <w:szCs w:val="24"/>
              </w:rPr>
              <w:t xml:space="preserve"> </w:t>
            </w:r>
            <w:r w:rsidR="00AB2615" w:rsidRPr="00AB2615">
              <w:rPr>
                <w:rStyle w:val="Heading1Char"/>
                <w:rFonts w:ascii="Arial" w:hAnsi="Arial" w:cs="Arial"/>
                <w:b/>
                <w:bCs/>
                <w:color w:val="000000" w:themeColor="text1"/>
                <w:sz w:val="24"/>
                <w:szCs w:val="24"/>
              </w:rPr>
              <w:t>Reproductive state explains more variation in microbiota composition within individuals, compared to across all samples</w:t>
            </w:r>
            <w:r w:rsidR="0084512A" w:rsidRPr="00AB2615">
              <w:rPr>
                <w:rStyle w:val="Hyperlink"/>
                <w:b/>
                <w:bCs/>
              </w:rPr>
              <w:t>.</w:t>
            </w:r>
            <w:r w:rsidR="0084512A" w:rsidRPr="00AB2615">
              <w:rPr>
                <w:webHidden/>
              </w:rPr>
              <w:tab/>
            </w:r>
            <w:r w:rsidR="0084512A" w:rsidRPr="00AB2615">
              <w:rPr>
                <w:webHidden/>
              </w:rPr>
              <w:fldChar w:fldCharType="begin"/>
            </w:r>
            <w:r w:rsidR="0084512A" w:rsidRPr="00AB2615">
              <w:rPr>
                <w:webHidden/>
              </w:rPr>
              <w:instrText xml:space="preserve"> PAGEREF _Toc209613043 \h </w:instrText>
            </w:r>
            <w:r w:rsidR="0084512A" w:rsidRPr="00AB2615">
              <w:rPr>
                <w:webHidden/>
              </w:rPr>
            </w:r>
            <w:r w:rsidR="0084512A" w:rsidRPr="00AB2615">
              <w:rPr>
                <w:webHidden/>
              </w:rPr>
              <w:fldChar w:fldCharType="separate"/>
            </w:r>
            <w:r w:rsidRPr="00AB2615">
              <w:rPr>
                <w:webHidden/>
              </w:rPr>
              <w:t>6</w:t>
            </w:r>
            <w:r w:rsidR="0084512A" w:rsidRPr="00AB2615">
              <w:rPr>
                <w:webHidden/>
              </w:rPr>
              <w:fldChar w:fldCharType="end"/>
            </w:r>
          </w:hyperlink>
        </w:p>
        <w:p w14:paraId="4F9E753D" w14:textId="11BCADF9" w:rsidR="00D07027" w:rsidRDefault="00D07027">
          <w:r w:rsidRPr="005878D7">
            <w:rPr>
              <w:rFonts w:ascii="Arial" w:hAnsi="Arial" w:cs="Arial"/>
              <w:noProof/>
              <w:color w:val="000000" w:themeColor="text1"/>
            </w:rPr>
            <w:fldChar w:fldCharType="end"/>
          </w:r>
        </w:p>
      </w:sdtContent>
    </w:sdt>
    <w:p w14:paraId="1AEFEF84" w14:textId="77777777" w:rsidR="00AD0036" w:rsidRDefault="00AD0036" w:rsidP="00AD0036">
      <w:pPr>
        <w:spacing w:line="480" w:lineRule="auto"/>
        <w:rPr>
          <w:rFonts w:ascii="Arial" w:hAnsi="Arial" w:cs="Arial"/>
          <w:sz w:val="22"/>
          <w:szCs w:val="22"/>
        </w:rPr>
      </w:pPr>
    </w:p>
    <w:p w14:paraId="490F843D" w14:textId="77777777" w:rsidR="005870B6" w:rsidRDefault="005870B6" w:rsidP="00AD0036">
      <w:pPr>
        <w:spacing w:line="480" w:lineRule="auto"/>
        <w:rPr>
          <w:rFonts w:ascii="Arial" w:hAnsi="Arial" w:cs="Arial"/>
          <w:sz w:val="22"/>
          <w:szCs w:val="22"/>
        </w:rPr>
      </w:pPr>
    </w:p>
    <w:p w14:paraId="120322F3" w14:textId="77777777" w:rsidR="005870B6" w:rsidRDefault="005870B6" w:rsidP="00AD0036">
      <w:pPr>
        <w:spacing w:line="480" w:lineRule="auto"/>
        <w:rPr>
          <w:rFonts w:ascii="Arial" w:hAnsi="Arial" w:cs="Arial"/>
          <w:sz w:val="22"/>
          <w:szCs w:val="22"/>
        </w:rPr>
      </w:pPr>
    </w:p>
    <w:p w14:paraId="177D68B2" w14:textId="77777777" w:rsidR="005870B6" w:rsidRDefault="005870B6" w:rsidP="00AD0036">
      <w:pPr>
        <w:spacing w:line="480" w:lineRule="auto"/>
        <w:rPr>
          <w:rFonts w:ascii="Arial" w:hAnsi="Arial" w:cs="Arial"/>
          <w:sz w:val="22"/>
          <w:szCs w:val="22"/>
        </w:rPr>
      </w:pPr>
    </w:p>
    <w:p w14:paraId="64FCFFF0" w14:textId="6D0C987A" w:rsidR="00163C4F" w:rsidRPr="00AD0036" w:rsidRDefault="00163C4F" w:rsidP="00AD0036">
      <w:pPr>
        <w:spacing w:line="480" w:lineRule="auto"/>
        <w:rPr>
          <w:rFonts w:ascii="Arial" w:hAnsi="Arial" w:cs="Arial"/>
          <w:sz w:val="22"/>
          <w:szCs w:val="22"/>
        </w:rPr>
      </w:pPr>
    </w:p>
    <w:p w14:paraId="10AE0D18" w14:textId="4A49D0D5" w:rsidR="00FE0347" w:rsidRPr="00174669" w:rsidRDefault="00226811" w:rsidP="00FE0347">
      <w:pPr>
        <w:rPr>
          <w:rFonts w:ascii="Arial" w:hAnsi="Arial" w:cs="Arial"/>
          <w:b/>
          <w:bCs/>
          <w:sz w:val="22"/>
          <w:szCs w:val="22"/>
        </w:rPr>
      </w:pPr>
      <w:r w:rsidRPr="00226811">
        <w:rPr>
          <w:rFonts w:ascii="Arial" w:hAnsi="Arial" w:cs="Arial"/>
          <w:b/>
          <w:bCs/>
          <w:noProof/>
          <w:sz w:val="22"/>
          <w:szCs w:val="22"/>
        </w:rPr>
        <w:drawing>
          <wp:inline distT="0" distB="0" distL="0" distR="0" wp14:anchorId="0CDD55F8" wp14:editId="77983C34">
            <wp:extent cx="5943600" cy="4748530"/>
            <wp:effectExtent l="0" t="0" r="0" b="1270"/>
            <wp:docPr id="1316238201" name="Picture 1" descr="A diagram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8201" name="Picture 1" descr="A diagram of a number of dots&#10;&#10;Description automatically generated with medium confidence"/>
                    <pic:cNvPicPr/>
                  </pic:nvPicPr>
                  <pic:blipFill>
                    <a:blip r:embed="rId8"/>
                    <a:stretch>
                      <a:fillRect/>
                    </a:stretch>
                  </pic:blipFill>
                  <pic:spPr>
                    <a:xfrm>
                      <a:off x="0" y="0"/>
                      <a:ext cx="5943600" cy="4748530"/>
                    </a:xfrm>
                    <a:prstGeom prst="rect">
                      <a:avLst/>
                    </a:prstGeom>
                  </pic:spPr>
                </pic:pic>
              </a:graphicData>
            </a:graphic>
          </wp:inline>
        </w:drawing>
      </w:r>
    </w:p>
    <w:p w14:paraId="00390FB0" w14:textId="4725E91A" w:rsidR="00A1796E" w:rsidRDefault="00FE0347" w:rsidP="00FE0347">
      <w:pPr>
        <w:rPr>
          <w:rFonts w:ascii="Arial" w:hAnsi="Arial" w:cs="Arial"/>
          <w:color w:val="00B0F0"/>
          <w:sz w:val="22"/>
          <w:szCs w:val="22"/>
        </w:rPr>
      </w:pPr>
      <w:bookmarkStart w:id="0" w:name="_Toc209613039"/>
      <w:r w:rsidRPr="00D07027">
        <w:rPr>
          <w:rStyle w:val="Heading1Char"/>
          <w:rFonts w:ascii="Arial" w:hAnsi="Arial" w:cs="Arial"/>
          <w:b/>
          <w:bCs/>
          <w:color w:val="000000" w:themeColor="text1"/>
          <w:sz w:val="22"/>
          <w:szCs w:val="22"/>
        </w:rPr>
        <w:t>Fig</w:t>
      </w:r>
      <w:r w:rsidR="00A1796E" w:rsidRPr="00D07027">
        <w:rPr>
          <w:rStyle w:val="Heading1Char"/>
          <w:rFonts w:ascii="Arial" w:hAnsi="Arial" w:cs="Arial"/>
          <w:b/>
          <w:bCs/>
          <w:color w:val="000000" w:themeColor="text1"/>
          <w:sz w:val="22"/>
          <w:szCs w:val="22"/>
        </w:rPr>
        <w:t>ure</w:t>
      </w:r>
      <w:r w:rsidRPr="00D07027">
        <w:rPr>
          <w:rStyle w:val="Heading1Char"/>
          <w:rFonts w:ascii="Arial" w:hAnsi="Arial" w:cs="Arial"/>
          <w:b/>
          <w:bCs/>
          <w:color w:val="000000" w:themeColor="text1"/>
          <w:sz w:val="22"/>
          <w:szCs w:val="22"/>
        </w:rPr>
        <w:t xml:space="preserve"> S1. Baboon gut microbiota </w:t>
      </w:r>
      <w:proofErr w:type="gramStart"/>
      <w:r w:rsidRPr="00D07027">
        <w:rPr>
          <w:rStyle w:val="Heading1Char"/>
          <w:rFonts w:ascii="Arial" w:hAnsi="Arial" w:cs="Arial"/>
          <w:b/>
          <w:bCs/>
          <w:color w:val="000000" w:themeColor="text1"/>
          <w:sz w:val="22"/>
          <w:szCs w:val="22"/>
        </w:rPr>
        <w:t>do</w:t>
      </w:r>
      <w:proofErr w:type="gramEnd"/>
      <w:r w:rsidRPr="00D07027">
        <w:rPr>
          <w:rStyle w:val="Heading1Char"/>
          <w:rFonts w:ascii="Arial" w:hAnsi="Arial" w:cs="Arial"/>
          <w:b/>
          <w:bCs/>
          <w:color w:val="000000" w:themeColor="text1"/>
          <w:sz w:val="22"/>
          <w:szCs w:val="22"/>
        </w:rPr>
        <w:t xml:space="preserve"> not cluster by reproductive state in ordination analysis.</w:t>
      </w:r>
      <w:bookmarkEnd w:id="0"/>
      <w:r w:rsidRPr="00D07027">
        <w:rPr>
          <w:rFonts w:ascii="Arial" w:hAnsi="Arial" w:cs="Arial"/>
          <w:b/>
          <w:bCs/>
          <w:color w:val="000000" w:themeColor="text1"/>
          <w:sz w:val="22"/>
          <w:szCs w:val="22"/>
        </w:rPr>
        <w:t xml:space="preserve"> </w:t>
      </w:r>
      <w:r w:rsidRPr="00174669">
        <w:rPr>
          <w:rFonts w:ascii="Arial" w:hAnsi="Arial" w:cs="Arial"/>
          <w:color w:val="000000" w:themeColor="text1"/>
          <w:sz w:val="22"/>
          <w:szCs w:val="22"/>
        </w:rPr>
        <w:t xml:space="preserve">Plot of the first two </w:t>
      </w:r>
      <w:r w:rsidR="00903474">
        <w:rPr>
          <w:rFonts w:ascii="Arial" w:hAnsi="Arial" w:cs="Arial"/>
          <w:color w:val="000000" w:themeColor="text1"/>
          <w:sz w:val="22"/>
          <w:szCs w:val="22"/>
        </w:rPr>
        <w:t>principal components (PC</w:t>
      </w:r>
      <w:r w:rsidR="00903474" w:rsidRPr="00174669">
        <w:rPr>
          <w:rFonts w:ascii="Arial" w:hAnsi="Arial" w:cs="Arial"/>
          <w:color w:val="000000" w:themeColor="text1"/>
          <w:sz w:val="22"/>
          <w:szCs w:val="22"/>
        </w:rPr>
        <w:t>s</w:t>
      </w:r>
      <w:r w:rsidR="00903474">
        <w:rPr>
          <w:rFonts w:ascii="Arial" w:hAnsi="Arial" w:cs="Arial"/>
          <w:color w:val="000000" w:themeColor="text1"/>
          <w:sz w:val="22"/>
          <w:szCs w:val="22"/>
        </w:rPr>
        <w:t>)</w:t>
      </w:r>
      <w:r w:rsidR="00903474" w:rsidRPr="00174669">
        <w:rPr>
          <w:rFonts w:ascii="Arial" w:hAnsi="Arial" w:cs="Arial"/>
          <w:color w:val="000000" w:themeColor="text1"/>
          <w:sz w:val="22"/>
          <w:szCs w:val="22"/>
        </w:rPr>
        <w:t xml:space="preserve"> </w:t>
      </w:r>
      <w:r w:rsidRPr="00174669">
        <w:rPr>
          <w:rFonts w:ascii="Arial" w:hAnsi="Arial" w:cs="Arial"/>
          <w:color w:val="000000" w:themeColor="text1"/>
          <w:sz w:val="22"/>
          <w:szCs w:val="22"/>
        </w:rPr>
        <w:t xml:space="preserve">of an Aitchison distance matrix for all </w:t>
      </w:r>
      <w:r w:rsidRPr="00226811">
        <w:rPr>
          <w:rFonts w:ascii="Arial" w:hAnsi="Arial" w:cs="Arial"/>
          <w:color w:val="000000" w:themeColor="text1"/>
          <w:sz w:val="22"/>
          <w:szCs w:val="22"/>
        </w:rPr>
        <w:t>4,46</w:t>
      </w:r>
      <w:r w:rsidR="00226811" w:rsidRPr="00226811">
        <w:rPr>
          <w:rFonts w:ascii="Arial" w:hAnsi="Arial" w:cs="Arial"/>
          <w:color w:val="000000" w:themeColor="text1"/>
          <w:sz w:val="22"/>
          <w:szCs w:val="22"/>
        </w:rPr>
        <w:t>2</w:t>
      </w:r>
      <w:r w:rsidRPr="00226811">
        <w:rPr>
          <w:rFonts w:ascii="Arial" w:hAnsi="Arial" w:cs="Arial"/>
          <w:color w:val="000000" w:themeColor="text1"/>
          <w:sz w:val="22"/>
          <w:szCs w:val="22"/>
        </w:rPr>
        <w:t xml:space="preserve"> samples. </w:t>
      </w:r>
      <w:r w:rsidRPr="00174669">
        <w:rPr>
          <w:rFonts w:ascii="Arial" w:hAnsi="Arial" w:cs="Arial"/>
          <w:color w:val="000000" w:themeColor="text1"/>
          <w:sz w:val="22"/>
          <w:szCs w:val="22"/>
        </w:rPr>
        <w:t xml:space="preserve">Each point is an individual fecal sample colored by reproductive state. </w:t>
      </w:r>
      <w:r w:rsidRPr="00055736">
        <w:rPr>
          <w:rFonts w:ascii="Arial" w:hAnsi="Arial" w:cs="Arial"/>
          <w:color w:val="000000" w:themeColor="text1"/>
          <w:sz w:val="22"/>
          <w:szCs w:val="22"/>
        </w:rPr>
        <w:t xml:space="preserve">Reproductive state explained </w:t>
      </w:r>
      <w:r w:rsidR="00055736" w:rsidRPr="00055736">
        <w:rPr>
          <w:rFonts w:ascii="Arial" w:hAnsi="Arial" w:cs="Arial"/>
          <w:color w:val="000000" w:themeColor="text1"/>
          <w:sz w:val="22"/>
          <w:szCs w:val="22"/>
        </w:rPr>
        <w:t>1.46</w:t>
      </w:r>
      <w:r w:rsidRPr="00055736">
        <w:rPr>
          <w:rFonts w:ascii="Arial" w:hAnsi="Arial" w:cs="Arial"/>
          <w:color w:val="000000" w:themeColor="text1"/>
          <w:sz w:val="22"/>
          <w:szCs w:val="22"/>
        </w:rPr>
        <w:t>% of the variation between samples (</w:t>
      </w:r>
      <w:r w:rsidR="00055736" w:rsidRPr="00055736">
        <w:rPr>
          <w:rFonts w:ascii="Arial" w:hAnsi="Arial" w:cs="Arial"/>
          <w:color w:val="000000" w:themeColor="text1"/>
          <w:sz w:val="22"/>
          <w:szCs w:val="22"/>
        </w:rPr>
        <w:t>ANOVA on RDA</w:t>
      </w:r>
      <w:r w:rsidRPr="00055736">
        <w:rPr>
          <w:rFonts w:ascii="Arial" w:hAnsi="Arial" w:cs="Arial"/>
          <w:color w:val="000000" w:themeColor="text1"/>
          <w:sz w:val="22"/>
          <w:szCs w:val="22"/>
        </w:rPr>
        <w:t>; DF = 2, R</w:t>
      </w:r>
      <w:r w:rsidRPr="00055736">
        <w:rPr>
          <w:rFonts w:ascii="Arial" w:hAnsi="Arial" w:cs="Arial"/>
          <w:color w:val="000000" w:themeColor="text1"/>
          <w:sz w:val="22"/>
          <w:szCs w:val="22"/>
          <w:vertAlign w:val="superscript"/>
        </w:rPr>
        <w:t>2</w:t>
      </w:r>
      <w:r w:rsidRPr="00055736">
        <w:rPr>
          <w:rFonts w:ascii="Arial" w:hAnsi="Arial" w:cs="Arial"/>
          <w:color w:val="000000" w:themeColor="text1"/>
          <w:sz w:val="22"/>
          <w:szCs w:val="22"/>
        </w:rPr>
        <w:t xml:space="preserve"> = 0.0</w:t>
      </w:r>
      <w:r w:rsidR="00055736" w:rsidRPr="00055736">
        <w:rPr>
          <w:rFonts w:ascii="Arial" w:hAnsi="Arial" w:cs="Arial"/>
          <w:color w:val="000000" w:themeColor="text1"/>
          <w:sz w:val="22"/>
          <w:szCs w:val="22"/>
        </w:rPr>
        <w:t>146</w:t>
      </w:r>
      <w:r w:rsidRPr="00055736">
        <w:rPr>
          <w:rFonts w:ascii="Arial" w:hAnsi="Arial" w:cs="Arial"/>
          <w:color w:val="000000" w:themeColor="text1"/>
          <w:sz w:val="22"/>
          <w:szCs w:val="22"/>
        </w:rPr>
        <w:t xml:space="preserve">, F = </w:t>
      </w:r>
      <w:r w:rsidR="00055736" w:rsidRPr="00055736">
        <w:rPr>
          <w:rFonts w:ascii="Arial" w:hAnsi="Arial" w:cs="Arial"/>
          <w:color w:val="000000" w:themeColor="text1"/>
          <w:sz w:val="22"/>
          <w:szCs w:val="22"/>
        </w:rPr>
        <w:t>33.31</w:t>
      </w:r>
      <w:r w:rsidRPr="00055736">
        <w:rPr>
          <w:rFonts w:ascii="Arial" w:hAnsi="Arial" w:cs="Arial"/>
          <w:color w:val="000000" w:themeColor="text1"/>
          <w:sz w:val="22"/>
          <w:szCs w:val="22"/>
        </w:rPr>
        <w:t>, p=0.001</w:t>
      </w:r>
      <w:r w:rsidR="00337385" w:rsidRPr="00055736">
        <w:rPr>
          <w:rFonts w:ascii="Arial" w:hAnsi="Arial" w:cs="Arial"/>
          <w:color w:val="000000" w:themeColor="text1"/>
          <w:sz w:val="22"/>
          <w:szCs w:val="22"/>
        </w:rPr>
        <w:t>; Table S2</w:t>
      </w:r>
      <w:r w:rsidRPr="00055736">
        <w:rPr>
          <w:rFonts w:ascii="Arial" w:hAnsi="Arial" w:cs="Arial"/>
          <w:color w:val="000000" w:themeColor="text1"/>
          <w:sz w:val="22"/>
          <w:szCs w:val="22"/>
        </w:rPr>
        <w:t>).</w:t>
      </w:r>
    </w:p>
    <w:p w14:paraId="03299E59" w14:textId="77777777" w:rsidR="00A1796E" w:rsidRDefault="00A1796E">
      <w:pPr>
        <w:rPr>
          <w:rFonts w:ascii="Arial" w:hAnsi="Arial" w:cs="Arial"/>
          <w:color w:val="00B0F0"/>
          <w:sz w:val="22"/>
          <w:szCs w:val="22"/>
        </w:rPr>
      </w:pPr>
      <w:r>
        <w:rPr>
          <w:rFonts w:ascii="Arial" w:hAnsi="Arial" w:cs="Arial"/>
          <w:color w:val="00B0F0"/>
          <w:sz w:val="22"/>
          <w:szCs w:val="22"/>
        </w:rPr>
        <w:br w:type="page"/>
      </w:r>
    </w:p>
    <w:p w14:paraId="2C1BBDB5" w14:textId="5CDFFFDE" w:rsidR="00FE0347" w:rsidRDefault="00FE0347" w:rsidP="00FE0347">
      <w:pPr>
        <w:rPr>
          <w:rFonts w:ascii="Arial" w:hAnsi="Arial" w:cs="Arial"/>
          <w:color w:val="00B0F0"/>
          <w:sz w:val="22"/>
          <w:szCs w:val="22"/>
        </w:rPr>
      </w:pPr>
    </w:p>
    <w:p w14:paraId="7CFD177E" w14:textId="73981B8D" w:rsidR="00A1796E" w:rsidRDefault="005D27B9" w:rsidP="00FE0347">
      <w:pPr>
        <w:rPr>
          <w:rFonts w:ascii="Arial" w:hAnsi="Arial" w:cs="Arial"/>
          <w:color w:val="00B0F0"/>
          <w:sz w:val="22"/>
          <w:szCs w:val="22"/>
        </w:rPr>
      </w:pPr>
      <w:r w:rsidRPr="005D27B9">
        <w:rPr>
          <w:rFonts w:ascii="Arial" w:hAnsi="Arial" w:cs="Arial"/>
          <w:noProof/>
          <w:color w:val="00B0F0"/>
          <w:sz w:val="22"/>
          <w:szCs w:val="22"/>
        </w:rPr>
        <w:drawing>
          <wp:inline distT="0" distB="0" distL="0" distR="0" wp14:anchorId="2D65E915" wp14:editId="5393407B">
            <wp:extent cx="4354717" cy="3108319"/>
            <wp:effectExtent l="0" t="0" r="1905" b="3810"/>
            <wp:docPr id="2718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0927" name=""/>
                    <pic:cNvPicPr/>
                  </pic:nvPicPr>
                  <pic:blipFill>
                    <a:blip r:embed="rId9"/>
                    <a:stretch>
                      <a:fillRect/>
                    </a:stretch>
                  </pic:blipFill>
                  <pic:spPr>
                    <a:xfrm>
                      <a:off x="0" y="0"/>
                      <a:ext cx="4356016" cy="3109246"/>
                    </a:xfrm>
                    <a:prstGeom prst="rect">
                      <a:avLst/>
                    </a:prstGeom>
                  </pic:spPr>
                </pic:pic>
              </a:graphicData>
            </a:graphic>
          </wp:inline>
        </w:drawing>
      </w:r>
    </w:p>
    <w:p w14:paraId="41F5A0C4" w14:textId="07871FC5" w:rsidR="009C7AC6" w:rsidRPr="00174669" w:rsidRDefault="009C7AC6" w:rsidP="00FE0347">
      <w:pPr>
        <w:rPr>
          <w:rFonts w:ascii="Arial" w:hAnsi="Arial" w:cs="Arial"/>
          <w:color w:val="00B0F0"/>
          <w:sz w:val="22"/>
          <w:szCs w:val="22"/>
        </w:rPr>
      </w:pPr>
    </w:p>
    <w:p w14:paraId="1526110F" w14:textId="063E24F3" w:rsidR="00CA4530" w:rsidRPr="00B2520E" w:rsidRDefault="00A1796E" w:rsidP="00A1796E">
      <w:pPr>
        <w:rPr>
          <w:rFonts w:ascii="Arial" w:hAnsi="Arial" w:cs="Arial"/>
          <w:b/>
          <w:bCs/>
          <w:color w:val="000000" w:themeColor="text1"/>
          <w:sz w:val="22"/>
          <w:szCs w:val="22"/>
        </w:rPr>
      </w:pPr>
      <w:bookmarkStart w:id="1" w:name="_Toc209613040"/>
      <w:r w:rsidRPr="00D07027">
        <w:rPr>
          <w:rStyle w:val="Heading1Char"/>
          <w:rFonts w:ascii="Arial" w:hAnsi="Arial" w:cs="Arial"/>
          <w:b/>
          <w:bCs/>
          <w:color w:val="000000" w:themeColor="text1"/>
          <w:sz w:val="22"/>
          <w:szCs w:val="22"/>
        </w:rPr>
        <w:t xml:space="preserve">Figure S2. Few gut microbial ASVs </w:t>
      </w:r>
      <w:r w:rsidR="006C5121">
        <w:rPr>
          <w:rStyle w:val="Heading1Char"/>
          <w:rFonts w:ascii="Arial" w:hAnsi="Arial" w:cs="Arial"/>
          <w:b/>
          <w:bCs/>
          <w:color w:val="000000" w:themeColor="text1"/>
          <w:sz w:val="22"/>
          <w:szCs w:val="22"/>
        </w:rPr>
        <w:t>differ in abundance</w:t>
      </w:r>
      <w:r w:rsidR="006C5121" w:rsidRPr="00D07027">
        <w:rPr>
          <w:rStyle w:val="Heading1Char"/>
          <w:rFonts w:ascii="Arial" w:hAnsi="Arial" w:cs="Arial"/>
          <w:b/>
          <w:bCs/>
          <w:color w:val="000000" w:themeColor="text1"/>
          <w:sz w:val="22"/>
          <w:szCs w:val="22"/>
        </w:rPr>
        <w:t xml:space="preserve"> </w:t>
      </w:r>
      <w:r w:rsidRPr="00D07027">
        <w:rPr>
          <w:rStyle w:val="Heading1Char"/>
          <w:rFonts w:ascii="Arial" w:hAnsi="Arial" w:cs="Arial"/>
          <w:b/>
          <w:bCs/>
          <w:color w:val="000000" w:themeColor="text1"/>
          <w:sz w:val="22"/>
          <w:szCs w:val="22"/>
        </w:rPr>
        <w:t>between PPA and ovarian cycling.</w:t>
      </w:r>
      <w:bookmarkEnd w:id="1"/>
      <w:r w:rsidR="00E60D0A" w:rsidRPr="00D07027">
        <w:rPr>
          <w:rFonts w:ascii="Arial" w:hAnsi="Arial" w:cs="Arial"/>
          <w:b/>
          <w:bCs/>
          <w:color w:val="000000" w:themeColor="text1"/>
          <w:sz w:val="22"/>
          <w:szCs w:val="22"/>
        </w:rPr>
        <w:t xml:space="preserve"> </w:t>
      </w:r>
      <w:r w:rsidRPr="00174669">
        <w:rPr>
          <w:rFonts w:ascii="Arial" w:hAnsi="Arial" w:cs="Arial"/>
          <w:sz w:val="22"/>
          <w:szCs w:val="22"/>
        </w:rPr>
        <w:t xml:space="preserve">Volcano plot showing the effect of </w:t>
      </w:r>
      <w:r>
        <w:rPr>
          <w:rFonts w:ascii="Arial" w:hAnsi="Arial" w:cs="Arial"/>
          <w:sz w:val="22"/>
          <w:szCs w:val="22"/>
        </w:rPr>
        <w:t>PPA compared to ovarian</w:t>
      </w:r>
      <w:r w:rsidRPr="00174669">
        <w:rPr>
          <w:rFonts w:ascii="Arial" w:hAnsi="Arial" w:cs="Arial"/>
          <w:sz w:val="22"/>
          <w:szCs w:val="22"/>
        </w:rPr>
        <w:t xml:space="preserve"> cycling on the abundances of the </w:t>
      </w:r>
      <w:r w:rsidR="00857D0C" w:rsidRPr="00857D0C">
        <w:rPr>
          <w:rFonts w:ascii="Arial" w:hAnsi="Arial" w:cs="Arial"/>
          <w:color w:val="000000" w:themeColor="text1"/>
          <w:sz w:val="22"/>
          <w:szCs w:val="22"/>
        </w:rPr>
        <w:t>401</w:t>
      </w:r>
      <w:r w:rsidRPr="00857D0C">
        <w:rPr>
          <w:rFonts w:ascii="Arial" w:hAnsi="Arial" w:cs="Arial"/>
          <w:color w:val="000000" w:themeColor="text1"/>
          <w:sz w:val="22"/>
          <w:szCs w:val="22"/>
        </w:rPr>
        <w:t xml:space="preserve"> ASVs present in</w:t>
      </w:r>
      <w:r w:rsidR="006F6462" w:rsidRPr="00857D0C">
        <w:rPr>
          <w:rFonts w:ascii="Arial" w:hAnsi="Arial" w:cs="Arial"/>
          <w:color w:val="000000" w:themeColor="text1"/>
          <w:sz w:val="22"/>
          <w:szCs w:val="22"/>
        </w:rPr>
        <w:t xml:space="preserve"> at least</w:t>
      </w:r>
      <w:r w:rsidRPr="00857D0C">
        <w:rPr>
          <w:rFonts w:ascii="Arial" w:hAnsi="Arial" w:cs="Arial"/>
          <w:color w:val="000000" w:themeColor="text1"/>
          <w:sz w:val="22"/>
          <w:szCs w:val="22"/>
        </w:rPr>
        <w:t xml:space="preserve"> 20% </w:t>
      </w:r>
      <w:r w:rsidR="006F6462" w:rsidRPr="00857D0C">
        <w:rPr>
          <w:rFonts w:ascii="Arial" w:hAnsi="Arial" w:cs="Arial"/>
          <w:color w:val="000000" w:themeColor="text1"/>
          <w:sz w:val="22"/>
          <w:szCs w:val="22"/>
        </w:rPr>
        <w:t>of</w:t>
      </w:r>
      <w:r w:rsidRPr="00857D0C">
        <w:rPr>
          <w:rFonts w:ascii="Arial" w:hAnsi="Arial" w:cs="Arial"/>
          <w:color w:val="000000" w:themeColor="text1"/>
          <w:sz w:val="22"/>
          <w:szCs w:val="22"/>
        </w:rPr>
        <w:t xml:space="preserve"> samples. </w:t>
      </w:r>
      <w:r w:rsidRPr="00174669">
        <w:rPr>
          <w:rFonts w:ascii="Arial" w:hAnsi="Arial" w:cs="Arial"/>
          <w:sz w:val="22"/>
          <w:szCs w:val="22"/>
        </w:rPr>
        <w:t xml:space="preserve">Each point represents an individual </w:t>
      </w:r>
      <w:proofErr w:type="gramStart"/>
      <w:r w:rsidRPr="00174669">
        <w:rPr>
          <w:rFonts w:ascii="Arial" w:hAnsi="Arial" w:cs="Arial"/>
          <w:sz w:val="22"/>
          <w:szCs w:val="22"/>
        </w:rPr>
        <w:t>ASV</w:t>
      </w:r>
      <w:proofErr w:type="gramEnd"/>
      <w:r w:rsidRPr="00174669">
        <w:rPr>
          <w:rFonts w:ascii="Arial" w:hAnsi="Arial" w:cs="Arial"/>
          <w:sz w:val="22"/>
          <w:szCs w:val="22"/>
        </w:rPr>
        <w:t xml:space="preserve"> and the color of each point represents the ASV’s assigned phyla. Points above the horizontal red line are statistically significant associations (</w:t>
      </w:r>
      <w:r w:rsidR="00F52427">
        <w:rPr>
          <w:rFonts w:ascii="Arial" w:hAnsi="Arial" w:cs="Arial"/>
          <w:sz w:val="22"/>
          <w:szCs w:val="22"/>
        </w:rPr>
        <w:t>q&lt;0.05</w:t>
      </w:r>
      <w:r w:rsidRPr="00174669">
        <w:rPr>
          <w:rFonts w:ascii="Arial" w:hAnsi="Arial" w:cs="Arial"/>
          <w:sz w:val="22"/>
          <w:szCs w:val="22"/>
        </w:rPr>
        <w:t xml:space="preserve">). Points to the left or right of the vertical red lines have relatively large fold changes of </w:t>
      </w:r>
      <w:r>
        <w:rPr>
          <w:rFonts w:ascii="Arial" w:hAnsi="Arial" w:cs="Arial"/>
          <w:sz w:val="22"/>
          <w:szCs w:val="22"/>
        </w:rPr>
        <w:sym w:font="Symbol" w:char="F0B3"/>
      </w:r>
      <w:r w:rsidRPr="00174669">
        <w:rPr>
          <w:rFonts w:ascii="Arial" w:hAnsi="Arial" w:cs="Arial"/>
          <w:sz w:val="22"/>
          <w:szCs w:val="22"/>
        </w:rPr>
        <w:t>1.</w:t>
      </w:r>
      <w:r>
        <w:rPr>
          <w:rFonts w:ascii="Arial" w:hAnsi="Arial" w:cs="Arial"/>
          <w:sz w:val="22"/>
          <w:szCs w:val="22"/>
        </w:rPr>
        <w:t>5</w:t>
      </w:r>
      <w:r w:rsidRPr="00174669">
        <w:rPr>
          <w:rFonts w:ascii="Arial" w:hAnsi="Arial" w:cs="Arial"/>
          <w:sz w:val="22"/>
          <w:szCs w:val="22"/>
        </w:rPr>
        <w:t xml:space="preserve"> or </w:t>
      </w:r>
      <w:r>
        <w:rPr>
          <w:rFonts w:ascii="Arial" w:hAnsi="Arial" w:cs="Arial"/>
          <w:sz w:val="22"/>
          <w:szCs w:val="22"/>
        </w:rPr>
        <w:sym w:font="Symbol" w:char="F020"/>
      </w:r>
      <w:r>
        <w:rPr>
          <w:rFonts w:ascii="Cambria Math" w:hAnsi="Cambria Math" w:cs="Cambria Math"/>
          <w:sz w:val="22"/>
          <w:szCs w:val="22"/>
        </w:rPr>
        <w:t>≤</w:t>
      </w:r>
      <w:r w:rsidRPr="00174669">
        <w:rPr>
          <w:rFonts w:ascii="Arial" w:hAnsi="Arial" w:cs="Arial"/>
          <w:sz w:val="22"/>
          <w:szCs w:val="22"/>
        </w:rPr>
        <w:t>-1.</w:t>
      </w:r>
      <w:r>
        <w:rPr>
          <w:rFonts w:ascii="Arial" w:hAnsi="Arial" w:cs="Arial"/>
          <w:sz w:val="22"/>
          <w:szCs w:val="22"/>
        </w:rPr>
        <w:t>5</w:t>
      </w:r>
      <w:r w:rsidRPr="00174669">
        <w:rPr>
          <w:rFonts w:ascii="Arial" w:hAnsi="Arial" w:cs="Arial"/>
          <w:sz w:val="22"/>
          <w:szCs w:val="22"/>
        </w:rPr>
        <w:t>.</w:t>
      </w:r>
      <w:r w:rsidR="00E60D0A">
        <w:rPr>
          <w:rFonts w:ascii="Arial" w:hAnsi="Arial" w:cs="Arial"/>
          <w:sz w:val="22"/>
          <w:szCs w:val="22"/>
        </w:rPr>
        <w:t xml:space="preserve"> </w:t>
      </w:r>
      <w:r w:rsidR="00E60D0A" w:rsidRPr="00B2520E">
        <w:rPr>
          <w:rFonts w:ascii="Arial" w:hAnsi="Arial" w:cs="Arial"/>
          <w:color w:val="000000" w:themeColor="text1"/>
          <w:sz w:val="22"/>
          <w:szCs w:val="22"/>
        </w:rPr>
        <w:t xml:space="preserve">Model results used to generate this table are found in table </w:t>
      </w:r>
      <w:r w:rsidR="00B2520E" w:rsidRPr="00B2520E">
        <w:rPr>
          <w:rFonts w:ascii="Arial" w:hAnsi="Arial" w:cs="Arial"/>
          <w:color w:val="000000" w:themeColor="text1"/>
          <w:sz w:val="22"/>
          <w:szCs w:val="22"/>
        </w:rPr>
        <w:t>S4</w:t>
      </w:r>
      <w:r w:rsidR="00E60D0A" w:rsidRPr="00B2520E">
        <w:rPr>
          <w:rFonts w:ascii="Arial" w:hAnsi="Arial" w:cs="Arial"/>
          <w:color w:val="000000" w:themeColor="text1"/>
          <w:sz w:val="22"/>
          <w:szCs w:val="22"/>
        </w:rPr>
        <w:t>.</w:t>
      </w:r>
    </w:p>
    <w:p w14:paraId="29C84423" w14:textId="02EAC152" w:rsidR="00995293" w:rsidRPr="00B2520E" w:rsidRDefault="00995293">
      <w:pPr>
        <w:rPr>
          <w:rFonts w:ascii="Arial" w:hAnsi="Arial" w:cs="Arial"/>
          <w:color w:val="000000" w:themeColor="text1"/>
          <w:sz w:val="22"/>
          <w:szCs w:val="22"/>
        </w:rPr>
      </w:pPr>
      <w:r w:rsidRPr="00B2520E">
        <w:rPr>
          <w:rFonts w:ascii="Arial" w:hAnsi="Arial" w:cs="Arial"/>
          <w:color w:val="000000" w:themeColor="text1"/>
          <w:sz w:val="22"/>
          <w:szCs w:val="22"/>
        </w:rPr>
        <w:br w:type="page"/>
      </w:r>
    </w:p>
    <w:p w14:paraId="030708A9" w14:textId="6DCE1688" w:rsidR="00995293" w:rsidRDefault="00995293" w:rsidP="00A1796E">
      <w:pPr>
        <w:rPr>
          <w:rFonts w:ascii="Arial" w:hAnsi="Arial" w:cs="Arial"/>
          <w:sz w:val="22"/>
          <w:szCs w:val="22"/>
        </w:rPr>
      </w:pPr>
    </w:p>
    <w:p w14:paraId="54B00288" w14:textId="77777777" w:rsidR="005D27B9" w:rsidRDefault="005D27B9" w:rsidP="00A1796E">
      <w:pPr>
        <w:rPr>
          <w:rFonts w:ascii="Arial" w:hAnsi="Arial" w:cs="Arial"/>
          <w:sz w:val="22"/>
          <w:szCs w:val="22"/>
        </w:rPr>
      </w:pPr>
    </w:p>
    <w:p w14:paraId="6DA19757" w14:textId="187D9114" w:rsidR="005D27B9" w:rsidRDefault="00F53084" w:rsidP="00A1796E">
      <w:pPr>
        <w:rPr>
          <w:rFonts w:ascii="Arial" w:hAnsi="Arial" w:cs="Arial"/>
          <w:sz w:val="22"/>
          <w:szCs w:val="22"/>
        </w:rPr>
      </w:pPr>
      <w:r w:rsidRPr="00F53084">
        <w:rPr>
          <w:rFonts w:ascii="Arial" w:hAnsi="Arial" w:cs="Arial"/>
          <w:noProof/>
          <w:sz w:val="22"/>
          <w:szCs w:val="22"/>
        </w:rPr>
        <w:drawing>
          <wp:inline distT="0" distB="0" distL="0" distR="0" wp14:anchorId="2433613E" wp14:editId="6568E00A">
            <wp:extent cx="5077475" cy="5892800"/>
            <wp:effectExtent l="0" t="0" r="2540" b="0"/>
            <wp:docPr id="182891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2727" name=""/>
                    <pic:cNvPicPr/>
                  </pic:nvPicPr>
                  <pic:blipFill>
                    <a:blip r:embed="rId10"/>
                    <a:stretch>
                      <a:fillRect/>
                    </a:stretch>
                  </pic:blipFill>
                  <pic:spPr>
                    <a:xfrm>
                      <a:off x="0" y="0"/>
                      <a:ext cx="5077490" cy="5892817"/>
                    </a:xfrm>
                    <a:prstGeom prst="rect">
                      <a:avLst/>
                    </a:prstGeom>
                  </pic:spPr>
                </pic:pic>
              </a:graphicData>
            </a:graphic>
          </wp:inline>
        </w:drawing>
      </w:r>
    </w:p>
    <w:p w14:paraId="67D89AB1" w14:textId="77777777" w:rsidR="005870B6" w:rsidRDefault="005870B6" w:rsidP="00A1796E">
      <w:pPr>
        <w:rPr>
          <w:rFonts w:ascii="Arial" w:hAnsi="Arial" w:cs="Arial"/>
          <w:sz w:val="22"/>
          <w:szCs w:val="22"/>
        </w:rPr>
      </w:pPr>
    </w:p>
    <w:p w14:paraId="5110DDE1" w14:textId="77777777" w:rsidR="00C471B6" w:rsidRDefault="00C471B6" w:rsidP="009E1175">
      <w:pPr>
        <w:rPr>
          <w:rStyle w:val="Heading1Char"/>
          <w:rFonts w:ascii="Arial" w:hAnsi="Arial" w:cs="Arial"/>
          <w:b/>
          <w:bCs/>
          <w:color w:val="000000" w:themeColor="text1"/>
          <w:sz w:val="22"/>
          <w:szCs w:val="22"/>
        </w:rPr>
      </w:pPr>
    </w:p>
    <w:p w14:paraId="7F6FD6AA" w14:textId="3E14FF30" w:rsidR="00C96B2A" w:rsidRPr="00C96B2A" w:rsidRDefault="009E1175">
      <w:pPr>
        <w:rPr>
          <w:rStyle w:val="Heading1Char"/>
          <w:rFonts w:ascii="Arial" w:eastAsiaTheme="minorHAnsi" w:hAnsi="Arial" w:cs="Arial"/>
          <w:b/>
          <w:bCs/>
          <w:color w:val="auto"/>
          <w:sz w:val="22"/>
          <w:szCs w:val="22"/>
        </w:rPr>
      </w:pPr>
      <w:bookmarkStart w:id="2" w:name="_Toc209613041"/>
      <w:r w:rsidRPr="00A641A7">
        <w:rPr>
          <w:rStyle w:val="Heading1Char"/>
          <w:rFonts w:ascii="Arial" w:hAnsi="Arial" w:cs="Arial"/>
          <w:b/>
          <w:bCs/>
          <w:color w:val="000000" w:themeColor="text1"/>
          <w:sz w:val="22"/>
          <w:szCs w:val="22"/>
        </w:rPr>
        <w:t xml:space="preserve">Figure S3. </w:t>
      </w:r>
      <w:r w:rsidR="00F71E7D" w:rsidRPr="00A641A7">
        <w:rPr>
          <w:rStyle w:val="Heading1Char"/>
          <w:rFonts w:ascii="Arial" w:hAnsi="Arial" w:cs="Arial"/>
          <w:b/>
          <w:bCs/>
          <w:color w:val="000000" w:themeColor="text1"/>
          <w:sz w:val="22"/>
          <w:szCs w:val="22"/>
        </w:rPr>
        <w:t>Gut microbiota in</w:t>
      </w:r>
      <w:r w:rsidR="005D3589" w:rsidRPr="00A641A7">
        <w:rPr>
          <w:rStyle w:val="Heading1Char"/>
          <w:rFonts w:ascii="Arial" w:hAnsi="Arial" w:cs="Arial"/>
          <w:b/>
          <w:bCs/>
          <w:color w:val="000000" w:themeColor="text1"/>
          <w:sz w:val="22"/>
          <w:szCs w:val="22"/>
        </w:rPr>
        <w:t xml:space="preserve"> the</w:t>
      </w:r>
      <w:r w:rsidR="00F71E7D" w:rsidRPr="00A641A7">
        <w:rPr>
          <w:rStyle w:val="Heading1Char"/>
          <w:rFonts w:ascii="Arial" w:hAnsi="Arial" w:cs="Arial"/>
          <w:b/>
          <w:bCs/>
          <w:color w:val="000000" w:themeColor="text1"/>
          <w:sz w:val="22"/>
          <w:szCs w:val="22"/>
        </w:rPr>
        <w:t xml:space="preserve"> </w:t>
      </w:r>
      <w:r w:rsidRPr="00A641A7">
        <w:rPr>
          <w:rStyle w:val="Heading1Char"/>
          <w:rFonts w:ascii="Arial" w:hAnsi="Arial" w:cs="Arial"/>
          <w:b/>
          <w:bCs/>
          <w:color w:val="000000" w:themeColor="text1"/>
          <w:sz w:val="22"/>
          <w:szCs w:val="22"/>
        </w:rPr>
        <w:t>first three months of PPA are distinct from later PPA.</w:t>
      </w:r>
      <w:bookmarkEnd w:id="2"/>
      <w:r w:rsidR="00A641A7" w:rsidRPr="00A641A7">
        <w:rPr>
          <w:rFonts w:ascii="Arial" w:hAnsi="Arial" w:cs="Arial"/>
          <w:b/>
          <w:bCs/>
          <w:color w:val="000000" w:themeColor="text1"/>
          <w:sz w:val="22"/>
          <w:szCs w:val="22"/>
        </w:rPr>
        <w:t xml:space="preserve"> </w:t>
      </w:r>
      <w:r w:rsidRPr="00174669">
        <w:rPr>
          <w:rFonts w:ascii="Arial" w:hAnsi="Arial" w:cs="Arial"/>
          <w:sz w:val="22"/>
          <w:szCs w:val="22"/>
        </w:rPr>
        <w:t xml:space="preserve">(A) ASV richness as a function of </w:t>
      </w:r>
      <w:r w:rsidR="00C059B0">
        <w:rPr>
          <w:rFonts w:ascii="Arial" w:hAnsi="Arial" w:cs="Arial"/>
          <w:sz w:val="22"/>
          <w:szCs w:val="22"/>
        </w:rPr>
        <w:t xml:space="preserve">the period of </w:t>
      </w:r>
      <w:r w:rsidRPr="00174669">
        <w:rPr>
          <w:rFonts w:ascii="Arial" w:hAnsi="Arial" w:cs="Arial"/>
          <w:sz w:val="22"/>
          <w:szCs w:val="22"/>
        </w:rPr>
        <w:t xml:space="preserve">PPA. ASV richness is significantly higher during early PPA than later </w:t>
      </w:r>
      <w:r w:rsidR="00C059B0">
        <w:rPr>
          <w:rFonts w:ascii="Arial" w:hAnsi="Arial" w:cs="Arial"/>
          <w:sz w:val="22"/>
          <w:szCs w:val="22"/>
        </w:rPr>
        <w:t>periods</w:t>
      </w:r>
      <w:r w:rsidR="00C059B0" w:rsidRPr="00174669">
        <w:rPr>
          <w:rFonts w:ascii="Arial" w:hAnsi="Arial" w:cs="Arial"/>
          <w:sz w:val="22"/>
          <w:szCs w:val="22"/>
        </w:rPr>
        <w:t xml:space="preserve"> </w:t>
      </w:r>
      <w:r w:rsidRPr="00174669">
        <w:rPr>
          <w:rFonts w:ascii="Arial" w:hAnsi="Arial" w:cs="Arial"/>
          <w:sz w:val="22"/>
          <w:szCs w:val="22"/>
        </w:rPr>
        <w:t>of PPA</w:t>
      </w:r>
      <w:r w:rsidR="00C059B0">
        <w:rPr>
          <w:rFonts w:ascii="Arial" w:hAnsi="Arial" w:cs="Arial"/>
          <w:sz w:val="22"/>
          <w:szCs w:val="22"/>
        </w:rPr>
        <w:t xml:space="preserve"> (</w:t>
      </w:r>
      <w:r w:rsidRPr="00174669">
        <w:rPr>
          <w:rFonts w:ascii="Arial" w:hAnsi="Arial" w:cs="Arial"/>
          <w:sz w:val="22"/>
          <w:szCs w:val="22"/>
        </w:rPr>
        <w:t>Table S5</w:t>
      </w:r>
      <w:r w:rsidR="00C059B0">
        <w:rPr>
          <w:rFonts w:ascii="Arial" w:hAnsi="Arial" w:cs="Arial"/>
          <w:sz w:val="22"/>
          <w:szCs w:val="22"/>
        </w:rPr>
        <w:t>)</w:t>
      </w:r>
      <w:r w:rsidRPr="00174669">
        <w:rPr>
          <w:rFonts w:ascii="Arial" w:hAnsi="Arial" w:cs="Arial"/>
          <w:sz w:val="22"/>
          <w:szCs w:val="22"/>
        </w:rPr>
        <w:t xml:space="preserve">. (B-E) Volcano plots showing the effect of three to six months in PPA (B), six to nine months in PPA (C), nine months in PPA to infant weaning (D), and one month to cycling resumption (E) compared to zero to three months in PPA on the abundances of the </w:t>
      </w:r>
      <w:r w:rsidR="00857D0C" w:rsidRPr="00857D0C">
        <w:rPr>
          <w:rFonts w:ascii="Arial" w:hAnsi="Arial" w:cs="Arial"/>
          <w:color w:val="000000" w:themeColor="text1"/>
          <w:sz w:val="22"/>
          <w:szCs w:val="22"/>
        </w:rPr>
        <w:t>401</w:t>
      </w:r>
      <w:r w:rsidRPr="00857D0C">
        <w:rPr>
          <w:rFonts w:ascii="Arial" w:hAnsi="Arial" w:cs="Arial"/>
          <w:color w:val="000000" w:themeColor="text1"/>
          <w:sz w:val="22"/>
          <w:szCs w:val="22"/>
        </w:rPr>
        <w:t xml:space="preserve"> bacterial ASVs.</w:t>
      </w:r>
      <w:r w:rsidRPr="00857D0C">
        <w:rPr>
          <w:rFonts w:ascii="Arial" w:hAnsi="Arial" w:cs="Arial"/>
          <w:b/>
          <w:bCs/>
          <w:color w:val="000000" w:themeColor="text1"/>
          <w:sz w:val="22"/>
          <w:szCs w:val="22"/>
        </w:rPr>
        <w:t xml:space="preserve"> </w:t>
      </w:r>
      <w:r w:rsidRPr="00174669">
        <w:rPr>
          <w:rFonts w:ascii="Arial" w:hAnsi="Arial" w:cs="Arial"/>
          <w:sz w:val="22"/>
          <w:szCs w:val="22"/>
        </w:rPr>
        <w:t xml:space="preserve">Each point represents an individual </w:t>
      </w:r>
      <w:proofErr w:type="gramStart"/>
      <w:r w:rsidRPr="00174669">
        <w:rPr>
          <w:rFonts w:ascii="Arial" w:hAnsi="Arial" w:cs="Arial"/>
          <w:sz w:val="22"/>
          <w:szCs w:val="22"/>
        </w:rPr>
        <w:t>ASV</w:t>
      </w:r>
      <w:proofErr w:type="gramEnd"/>
      <w:r w:rsidRPr="00174669">
        <w:rPr>
          <w:rFonts w:ascii="Arial" w:hAnsi="Arial" w:cs="Arial"/>
          <w:sz w:val="22"/>
          <w:szCs w:val="22"/>
        </w:rPr>
        <w:t xml:space="preserve"> and the color of each point represents the ASV’s assigned </w:t>
      </w:r>
      <w:r w:rsidR="00C059B0" w:rsidRPr="00174669">
        <w:rPr>
          <w:rFonts w:ascii="Arial" w:hAnsi="Arial" w:cs="Arial"/>
          <w:sz w:val="22"/>
          <w:szCs w:val="22"/>
        </w:rPr>
        <w:t>phyl</w:t>
      </w:r>
      <w:r w:rsidR="00C059B0">
        <w:rPr>
          <w:rFonts w:ascii="Arial" w:hAnsi="Arial" w:cs="Arial"/>
          <w:sz w:val="22"/>
          <w:szCs w:val="22"/>
        </w:rPr>
        <w:t>um</w:t>
      </w:r>
      <w:r w:rsidRPr="00174669">
        <w:rPr>
          <w:rFonts w:ascii="Arial" w:hAnsi="Arial" w:cs="Arial"/>
          <w:sz w:val="22"/>
          <w:szCs w:val="22"/>
        </w:rPr>
        <w:t>.</w:t>
      </w:r>
      <w:r w:rsidR="00446857">
        <w:rPr>
          <w:rFonts w:ascii="Arial" w:hAnsi="Arial" w:cs="Arial"/>
          <w:sz w:val="22"/>
          <w:szCs w:val="22"/>
        </w:rPr>
        <w:t xml:space="preserve"> </w:t>
      </w:r>
      <w:r w:rsidR="00672702" w:rsidRPr="00174669">
        <w:rPr>
          <w:rFonts w:ascii="Arial" w:hAnsi="Arial" w:cs="Arial"/>
          <w:sz w:val="22"/>
          <w:szCs w:val="22"/>
        </w:rPr>
        <w:t>Points above the horizontal red line are statistically significant (</w:t>
      </w:r>
      <w:r w:rsidR="00F52427">
        <w:rPr>
          <w:rFonts w:ascii="Arial" w:hAnsi="Arial" w:cs="Arial"/>
          <w:sz w:val="22"/>
          <w:szCs w:val="22"/>
        </w:rPr>
        <w:t>q&lt;0.05</w:t>
      </w:r>
      <w:r w:rsidR="00672702" w:rsidRPr="00174669">
        <w:rPr>
          <w:rFonts w:ascii="Arial" w:hAnsi="Arial" w:cs="Arial"/>
          <w:sz w:val="22"/>
          <w:szCs w:val="22"/>
        </w:rPr>
        <w:t xml:space="preserve">). Points to the left or right of the vertical red lines have fold changes of </w:t>
      </w:r>
      <w:r w:rsidR="00672702">
        <w:rPr>
          <w:rFonts w:ascii="Arial" w:hAnsi="Arial" w:cs="Arial"/>
          <w:sz w:val="22"/>
          <w:szCs w:val="22"/>
        </w:rPr>
        <w:sym w:font="Symbol" w:char="F0B3"/>
      </w:r>
      <w:r w:rsidR="00672702" w:rsidRPr="00174669">
        <w:rPr>
          <w:rFonts w:ascii="Arial" w:hAnsi="Arial" w:cs="Arial"/>
          <w:sz w:val="22"/>
          <w:szCs w:val="22"/>
        </w:rPr>
        <w:t>1.</w:t>
      </w:r>
      <w:r w:rsidR="00672702">
        <w:rPr>
          <w:rFonts w:ascii="Arial" w:hAnsi="Arial" w:cs="Arial"/>
          <w:sz w:val="22"/>
          <w:szCs w:val="22"/>
        </w:rPr>
        <w:t>5</w:t>
      </w:r>
      <w:r w:rsidR="00672702" w:rsidRPr="00174669">
        <w:rPr>
          <w:rFonts w:ascii="Arial" w:hAnsi="Arial" w:cs="Arial"/>
          <w:sz w:val="22"/>
          <w:szCs w:val="22"/>
        </w:rPr>
        <w:t xml:space="preserve"> or </w:t>
      </w:r>
      <w:r w:rsidR="00672702">
        <w:rPr>
          <w:rFonts w:ascii="Arial" w:hAnsi="Arial" w:cs="Arial"/>
          <w:sz w:val="22"/>
          <w:szCs w:val="22"/>
        </w:rPr>
        <w:sym w:font="Symbol" w:char="F020"/>
      </w:r>
      <w:r w:rsidR="00672702">
        <w:rPr>
          <w:rFonts w:ascii="Cambria Math" w:hAnsi="Cambria Math" w:cs="Cambria Math"/>
          <w:sz w:val="22"/>
          <w:szCs w:val="22"/>
        </w:rPr>
        <w:t>≤</w:t>
      </w:r>
      <w:r w:rsidR="00672702" w:rsidRPr="00174669">
        <w:rPr>
          <w:rFonts w:ascii="Arial" w:hAnsi="Arial" w:cs="Arial"/>
          <w:sz w:val="22"/>
          <w:szCs w:val="22"/>
        </w:rPr>
        <w:t>-1.</w:t>
      </w:r>
      <w:r w:rsidR="00672702">
        <w:rPr>
          <w:rFonts w:ascii="Arial" w:hAnsi="Arial" w:cs="Arial"/>
          <w:sz w:val="22"/>
          <w:szCs w:val="22"/>
        </w:rPr>
        <w:t>5</w:t>
      </w:r>
      <w:r w:rsidR="00672702" w:rsidRPr="00174669">
        <w:rPr>
          <w:rFonts w:ascii="Arial" w:hAnsi="Arial" w:cs="Arial"/>
          <w:sz w:val="22"/>
          <w:szCs w:val="22"/>
        </w:rPr>
        <w:t>.</w:t>
      </w:r>
      <w:r w:rsidR="00672702">
        <w:rPr>
          <w:rFonts w:ascii="Arial" w:hAnsi="Arial" w:cs="Arial"/>
          <w:sz w:val="22"/>
          <w:szCs w:val="22"/>
        </w:rPr>
        <w:t xml:space="preserve"> </w:t>
      </w:r>
      <w:r w:rsidR="00446857" w:rsidRPr="00807FED">
        <w:rPr>
          <w:rFonts w:ascii="Arial" w:hAnsi="Arial" w:cs="Arial"/>
          <w:color w:val="000000" w:themeColor="text1"/>
          <w:sz w:val="22"/>
          <w:szCs w:val="22"/>
        </w:rPr>
        <w:t xml:space="preserve">Model results used to generate </w:t>
      </w:r>
      <w:r w:rsidR="00FD1DC3">
        <w:rPr>
          <w:rFonts w:ascii="Arial" w:hAnsi="Arial" w:cs="Arial"/>
          <w:color w:val="000000" w:themeColor="text1"/>
          <w:sz w:val="22"/>
          <w:szCs w:val="22"/>
        </w:rPr>
        <w:t xml:space="preserve">panels B-E </w:t>
      </w:r>
      <w:r w:rsidR="00446857" w:rsidRPr="00807FED">
        <w:rPr>
          <w:rFonts w:ascii="Arial" w:hAnsi="Arial" w:cs="Arial"/>
          <w:color w:val="000000" w:themeColor="text1"/>
          <w:sz w:val="22"/>
          <w:szCs w:val="22"/>
        </w:rPr>
        <w:t xml:space="preserve">are in </w:t>
      </w:r>
      <w:r w:rsidR="00807FED" w:rsidRPr="00807FED">
        <w:rPr>
          <w:rFonts w:ascii="Arial" w:hAnsi="Arial" w:cs="Arial"/>
          <w:color w:val="000000" w:themeColor="text1"/>
          <w:sz w:val="22"/>
          <w:szCs w:val="22"/>
        </w:rPr>
        <w:t>Table S8</w:t>
      </w:r>
      <w:r w:rsidR="00B07E2B">
        <w:rPr>
          <w:rFonts w:ascii="Arial" w:hAnsi="Arial" w:cs="Arial"/>
          <w:color w:val="000000" w:themeColor="text1"/>
          <w:sz w:val="22"/>
          <w:szCs w:val="22"/>
        </w:rPr>
        <w:t>.</w:t>
      </w:r>
    </w:p>
    <w:p w14:paraId="7598C503" w14:textId="4C6A169F" w:rsidR="00B07E2B" w:rsidRDefault="00B07E2B" w:rsidP="009E1175">
      <w:pPr>
        <w:rPr>
          <w:rStyle w:val="Heading1Char"/>
          <w:rFonts w:ascii="Arial" w:hAnsi="Arial" w:cs="Arial"/>
          <w:b/>
          <w:bCs/>
          <w:color w:val="000000" w:themeColor="text1"/>
          <w:sz w:val="22"/>
          <w:szCs w:val="22"/>
        </w:rPr>
      </w:pPr>
    </w:p>
    <w:p w14:paraId="36BC36C8" w14:textId="7D78C685" w:rsidR="005D27B9" w:rsidRDefault="00506A55" w:rsidP="009E1175">
      <w:pPr>
        <w:rPr>
          <w:rStyle w:val="Heading1Char"/>
          <w:rFonts w:ascii="Arial" w:hAnsi="Arial" w:cs="Arial"/>
          <w:b/>
          <w:bCs/>
          <w:color w:val="000000" w:themeColor="text1"/>
          <w:sz w:val="22"/>
          <w:szCs w:val="22"/>
        </w:rPr>
      </w:pPr>
      <w:r w:rsidRPr="00506A55">
        <w:rPr>
          <w:rStyle w:val="Heading1Char"/>
          <w:rFonts w:ascii="Arial" w:hAnsi="Arial" w:cs="Arial"/>
          <w:b/>
          <w:bCs/>
          <w:noProof/>
          <w:color w:val="000000" w:themeColor="text1"/>
          <w:sz w:val="22"/>
          <w:szCs w:val="22"/>
        </w:rPr>
        <w:lastRenderedPageBreak/>
        <w:drawing>
          <wp:inline distT="0" distB="0" distL="0" distR="0" wp14:anchorId="1D64DA59" wp14:editId="61466244">
            <wp:extent cx="5110764" cy="5554134"/>
            <wp:effectExtent l="0" t="0" r="0" b="0"/>
            <wp:docPr id="140784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44636" name=""/>
                    <pic:cNvPicPr/>
                  </pic:nvPicPr>
                  <pic:blipFill>
                    <a:blip r:embed="rId11"/>
                    <a:stretch>
                      <a:fillRect/>
                    </a:stretch>
                  </pic:blipFill>
                  <pic:spPr>
                    <a:xfrm>
                      <a:off x="0" y="0"/>
                      <a:ext cx="5111154" cy="5554558"/>
                    </a:xfrm>
                    <a:prstGeom prst="rect">
                      <a:avLst/>
                    </a:prstGeom>
                  </pic:spPr>
                </pic:pic>
              </a:graphicData>
            </a:graphic>
          </wp:inline>
        </w:drawing>
      </w:r>
    </w:p>
    <w:p w14:paraId="680640D8" w14:textId="77777777" w:rsidR="005870B6" w:rsidRDefault="005870B6" w:rsidP="009E1175">
      <w:pPr>
        <w:rPr>
          <w:rStyle w:val="Heading1Char"/>
          <w:rFonts w:ascii="Arial" w:hAnsi="Arial" w:cs="Arial"/>
          <w:b/>
          <w:bCs/>
          <w:color w:val="000000" w:themeColor="text1"/>
          <w:sz w:val="22"/>
          <w:szCs w:val="22"/>
        </w:rPr>
      </w:pPr>
    </w:p>
    <w:p w14:paraId="04A4CEAA" w14:textId="77777777" w:rsidR="00B07E2B" w:rsidRDefault="00B07E2B" w:rsidP="009E1175">
      <w:pPr>
        <w:rPr>
          <w:rStyle w:val="Heading1Char"/>
          <w:rFonts w:ascii="Arial" w:hAnsi="Arial" w:cs="Arial"/>
          <w:b/>
          <w:bCs/>
          <w:color w:val="000000" w:themeColor="text1"/>
          <w:sz w:val="22"/>
          <w:szCs w:val="22"/>
        </w:rPr>
      </w:pPr>
    </w:p>
    <w:p w14:paraId="314C91A3" w14:textId="008B2861" w:rsidR="009E1175" w:rsidRPr="00AD0036" w:rsidRDefault="009E1175" w:rsidP="009E1175">
      <w:pPr>
        <w:rPr>
          <w:rFonts w:ascii="Arial" w:hAnsi="Arial" w:cs="Arial"/>
          <w:b/>
          <w:bCs/>
          <w:color w:val="000000" w:themeColor="text1"/>
          <w:sz w:val="22"/>
          <w:szCs w:val="22"/>
        </w:rPr>
      </w:pPr>
      <w:bookmarkStart w:id="3" w:name="_Toc209613042"/>
      <w:r w:rsidRPr="00A641A7">
        <w:rPr>
          <w:rStyle w:val="Heading1Char"/>
          <w:rFonts w:ascii="Arial" w:hAnsi="Arial" w:cs="Arial"/>
          <w:b/>
          <w:bCs/>
          <w:color w:val="000000" w:themeColor="text1"/>
          <w:sz w:val="22"/>
          <w:szCs w:val="22"/>
        </w:rPr>
        <w:t xml:space="preserve">Figure S4. </w:t>
      </w:r>
      <w:r w:rsidR="00EC381A" w:rsidRPr="00A641A7">
        <w:rPr>
          <w:rStyle w:val="Heading1Char"/>
          <w:rFonts w:ascii="Arial" w:hAnsi="Arial" w:cs="Arial"/>
          <w:b/>
          <w:bCs/>
          <w:color w:val="000000" w:themeColor="text1"/>
          <w:sz w:val="22"/>
          <w:szCs w:val="22"/>
        </w:rPr>
        <w:t>Gut microbial changes are small across ovarian cycle phases</w:t>
      </w:r>
      <w:r w:rsidRPr="00A641A7">
        <w:rPr>
          <w:rStyle w:val="Heading1Char"/>
          <w:rFonts w:ascii="Arial" w:hAnsi="Arial" w:cs="Arial"/>
          <w:b/>
          <w:bCs/>
          <w:color w:val="000000" w:themeColor="text1"/>
          <w:sz w:val="22"/>
          <w:szCs w:val="22"/>
        </w:rPr>
        <w:t>.</w:t>
      </w:r>
      <w:bookmarkEnd w:id="3"/>
      <w:r w:rsidR="00AD0036" w:rsidRPr="00A641A7">
        <w:rPr>
          <w:rFonts w:ascii="Arial" w:hAnsi="Arial" w:cs="Arial"/>
          <w:b/>
          <w:bCs/>
          <w:color w:val="000000" w:themeColor="text1"/>
          <w:sz w:val="22"/>
          <w:szCs w:val="22"/>
        </w:rPr>
        <w:t xml:space="preserve"> </w:t>
      </w:r>
      <w:r w:rsidRPr="00174669">
        <w:rPr>
          <w:rFonts w:ascii="Arial" w:hAnsi="Arial" w:cs="Arial"/>
          <w:sz w:val="22"/>
          <w:szCs w:val="22"/>
        </w:rPr>
        <w:t>(A) ASV richness as a function of ovarian cycle phase. ASV richness does not significantly differ between phases</w:t>
      </w:r>
      <w:r w:rsidR="004F495C">
        <w:rPr>
          <w:rFonts w:ascii="Arial" w:hAnsi="Arial" w:cs="Arial"/>
          <w:sz w:val="22"/>
          <w:szCs w:val="22"/>
        </w:rPr>
        <w:t xml:space="preserve"> (</w:t>
      </w:r>
      <w:r w:rsidRPr="00174669">
        <w:rPr>
          <w:rFonts w:ascii="Arial" w:hAnsi="Arial" w:cs="Arial"/>
          <w:sz w:val="22"/>
          <w:szCs w:val="22"/>
        </w:rPr>
        <w:t>Table S5</w:t>
      </w:r>
      <w:r w:rsidR="004F495C">
        <w:rPr>
          <w:rFonts w:ascii="Arial" w:hAnsi="Arial" w:cs="Arial"/>
          <w:sz w:val="22"/>
          <w:szCs w:val="22"/>
        </w:rPr>
        <w:t>)</w:t>
      </w:r>
      <w:r w:rsidRPr="00174669">
        <w:rPr>
          <w:rFonts w:ascii="Arial" w:hAnsi="Arial" w:cs="Arial"/>
          <w:sz w:val="22"/>
          <w:szCs w:val="22"/>
        </w:rPr>
        <w:t xml:space="preserve">. (B-D) Volcano plots showing the effect of the menstrual (B), follicular (C), and luteal (D) phases compared to the peri-ovulatory phase on the abundances of the </w:t>
      </w:r>
      <w:r w:rsidR="00857D0C" w:rsidRPr="00857D0C">
        <w:rPr>
          <w:rFonts w:ascii="Arial" w:hAnsi="Arial" w:cs="Arial"/>
          <w:color w:val="000000" w:themeColor="text1"/>
          <w:sz w:val="22"/>
          <w:szCs w:val="22"/>
        </w:rPr>
        <w:t>401</w:t>
      </w:r>
      <w:r w:rsidRPr="00857D0C">
        <w:rPr>
          <w:rFonts w:ascii="Arial" w:hAnsi="Arial" w:cs="Arial"/>
          <w:color w:val="000000" w:themeColor="text1"/>
          <w:sz w:val="22"/>
          <w:szCs w:val="22"/>
        </w:rPr>
        <w:t xml:space="preserve"> bacterial ASVs.</w:t>
      </w:r>
      <w:r w:rsidRPr="00857D0C">
        <w:rPr>
          <w:rFonts w:ascii="Arial" w:hAnsi="Arial" w:cs="Arial"/>
          <w:b/>
          <w:bCs/>
          <w:color w:val="000000" w:themeColor="text1"/>
          <w:sz w:val="22"/>
          <w:szCs w:val="22"/>
        </w:rPr>
        <w:t xml:space="preserve"> </w:t>
      </w:r>
      <w:r w:rsidRPr="00174669">
        <w:rPr>
          <w:rFonts w:ascii="Arial" w:hAnsi="Arial" w:cs="Arial"/>
          <w:sz w:val="22"/>
          <w:szCs w:val="22"/>
        </w:rPr>
        <w:t xml:space="preserve">Each point represents an individual </w:t>
      </w:r>
      <w:proofErr w:type="gramStart"/>
      <w:r w:rsidRPr="00174669">
        <w:rPr>
          <w:rFonts w:ascii="Arial" w:hAnsi="Arial" w:cs="Arial"/>
          <w:sz w:val="22"/>
          <w:szCs w:val="22"/>
        </w:rPr>
        <w:t>ASV</w:t>
      </w:r>
      <w:proofErr w:type="gramEnd"/>
      <w:r w:rsidRPr="00174669">
        <w:rPr>
          <w:rFonts w:ascii="Arial" w:hAnsi="Arial" w:cs="Arial"/>
          <w:sz w:val="22"/>
          <w:szCs w:val="22"/>
        </w:rPr>
        <w:t xml:space="preserve"> and the color of each point represents the ASV’s assigned phyla.</w:t>
      </w:r>
      <w:r w:rsidR="00446857">
        <w:rPr>
          <w:rFonts w:ascii="Arial" w:hAnsi="Arial" w:cs="Arial"/>
          <w:sz w:val="22"/>
          <w:szCs w:val="22"/>
        </w:rPr>
        <w:t xml:space="preserve"> </w:t>
      </w:r>
      <w:r w:rsidR="00FB0998" w:rsidRPr="00174669">
        <w:rPr>
          <w:rFonts w:ascii="Arial" w:hAnsi="Arial" w:cs="Arial"/>
          <w:sz w:val="22"/>
          <w:szCs w:val="22"/>
        </w:rPr>
        <w:t>Points above the horizontal red line are statistically significant (</w:t>
      </w:r>
      <w:r w:rsidR="00F52427">
        <w:rPr>
          <w:rFonts w:ascii="Arial" w:hAnsi="Arial" w:cs="Arial"/>
          <w:sz w:val="22"/>
          <w:szCs w:val="22"/>
        </w:rPr>
        <w:t>q&lt;0.05</w:t>
      </w:r>
      <w:r w:rsidR="00FB0998" w:rsidRPr="00174669">
        <w:rPr>
          <w:rFonts w:ascii="Arial" w:hAnsi="Arial" w:cs="Arial"/>
          <w:sz w:val="22"/>
          <w:szCs w:val="22"/>
        </w:rPr>
        <w:t xml:space="preserve">). Points to the left or right of the vertical red lines have fold changes of </w:t>
      </w:r>
      <w:r w:rsidR="00FB0998">
        <w:rPr>
          <w:rFonts w:ascii="Arial" w:hAnsi="Arial" w:cs="Arial"/>
          <w:sz w:val="22"/>
          <w:szCs w:val="22"/>
        </w:rPr>
        <w:sym w:font="Symbol" w:char="F0B3"/>
      </w:r>
      <w:r w:rsidR="00FB0998" w:rsidRPr="00174669">
        <w:rPr>
          <w:rFonts w:ascii="Arial" w:hAnsi="Arial" w:cs="Arial"/>
          <w:sz w:val="22"/>
          <w:szCs w:val="22"/>
        </w:rPr>
        <w:t>1.</w:t>
      </w:r>
      <w:r w:rsidR="00FB0998">
        <w:rPr>
          <w:rFonts w:ascii="Arial" w:hAnsi="Arial" w:cs="Arial"/>
          <w:sz w:val="22"/>
          <w:szCs w:val="22"/>
        </w:rPr>
        <w:t>5</w:t>
      </w:r>
      <w:r w:rsidR="00FB0998" w:rsidRPr="00174669">
        <w:rPr>
          <w:rFonts w:ascii="Arial" w:hAnsi="Arial" w:cs="Arial"/>
          <w:sz w:val="22"/>
          <w:szCs w:val="22"/>
        </w:rPr>
        <w:t xml:space="preserve"> or </w:t>
      </w:r>
      <w:r w:rsidR="00FB0998">
        <w:rPr>
          <w:rFonts w:ascii="Arial" w:hAnsi="Arial" w:cs="Arial"/>
          <w:sz w:val="22"/>
          <w:szCs w:val="22"/>
        </w:rPr>
        <w:sym w:font="Symbol" w:char="F020"/>
      </w:r>
      <w:r w:rsidR="00FB0998">
        <w:rPr>
          <w:rFonts w:ascii="Cambria Math" w:hAnsi="Cambria Math" w:cs="Cambria Math"/>
          <w:sz w:val="22"/>
          <w:szCs w:val="22"/>
        </w:rPr>
        <w:t>≤</w:t>
      </w:r>
      <w:r w:rsidR="00FB0998" w:rsidRPr="00174669">
        <w:rPr>
          <w:rFonts w:ascii="Arial" w:hAnsi="Arial" w:cs="Arial"/>
          <w:sz w:val="22"/>
          <w:szCs w:val="22"/>
        </w:rPr>
        <w:t>-1.</w:t>
      </w:r>
      <w:r w:rsidR="00FB0998">
        <w:rPr>
          <w:rFonts w:ascii="Arial" w:hAnsi="Arial" w:cs="Arial"/>
          <w:sz w:val="22"/>
          <w:szCs w:val="22"/>
        </w:rPr>
        <w:t>5</w:t>
      </w:r>
      <w:r w:rsidR="00FB0998" w:rsidRPr="00174669">
        <w:rPr>
          <w:rFonts w:ascii="Arial" w:hAnsi="Arial" w:cs="Arial"/>
          <w:sz w:val="22"/>
          <w:szCs w:val="22"/>
        </w:rPr>
        <w:t>.</w:t>
      </w:r>
      <w:r w:rsidR="00FB0998">
        <w:rPr>
          <w:rFonts w:ascii="Arial" w:hAnsi="Arial" w:cs="Arial"/>
          <w:sz w:val="22"/>
          <w:szCs w:val="22"/>
        </w:rPr>
        <w:t xml:space="preserve"> </w:t>
      </w:r>
      <w:r w:rsidR="00446857" w:rsidRPr="00807FED">
        <w:rPr>
          <w:rFonts w:ascii="Arial" w:hAnsi="Arial" w:cs="Arial"/>
          <w:color w:val="000000" w:themeColor="text1"/>
          <w:sz w:val="22"/>
          <w:szCs w:val="22"/>
        </w:rPr>
        <w:t xml:space="preserve">Model results used to generate </w:t>
      </w:r>
      <w:r w:rsidR="00F40BE4">
        <w:rPr>
          <w:rFonts w:ascii="Arial" w:hAnsi="Arial" w:cs="Arial"/>
          <w:color w:val="000000" w:themeColor="text1"/>
          <w:sz w:val="22"/>
          <w:szCs w:val="22"/>
        </w:rPr>
        <w:t>panels B-D</w:t>
      </w:r>
      <w:r w:rsidR="00446857" w:rsidRPr="00807FED">
        <w:rPr>
          <w:rFonts w:ascii="Arial" w:hAnsi="Arial" w:cs="Arial"/>
          <w:color w:val="000000" w:themeColor="text1"/>
          <w:sz w:val="22"/>
          <w:szCs w:val="22"/>
        </w:rPr>
        <w:t xml:space="preserve"> are in </w:t>
      </w:r>
      <w:r w:rsidR="00807FED" w:rsidRPr="00807FED">
        <w:rPr>
          <w:rFonts w:ascii="Arial" w:hAnsi="Arial" w:cs="Arial"/>
          <w:color w:val="000000" w:themeColor="text1"/>
          <w:sz w:val="22"/>
          <w:szCs w:val="22"/>
        </w:rPr>
        <w:t>Table S9</w:t>
      </w:r>
      <w:r w:rsidR="00446857" w:rsidRPr="00807FED">
        <w:rPr>
          <w:rFonts w:ascii="Arial" w:hAnsi="Arial" w:cs="Arial"/>
          <w:color w:val="000000" w:themeColor="text1"/>
          <w:sz w:val="22"/>
          <w:szCs w:val="22"/>
        </w:rPr>
        <w:t>.</w:t>
      </w:r>
    </w:p>
    <w:p w14:paraId="634EA310" w14:textId="77E79D52" w:rsidR="00850A86" w:rsidRPr="00BB5792" w:rsidRDefault="00850A86">
      <w:pPr>
        <w:rPr>
          <w:rFonts w:ascii="Arial" w:hAnsi="Arial" w:cs="Arial"/>
          <w:sz w:val="22"/>
          <w:szCs w:val="22"/>
        </w:rPr>
      </w:pPr>
    </w:p>
    <w:p w14:paraId="543E1C57" w14:textId="14D73B32" w:rsidR="009E7921" w:rsidRDefault="009E7921" w:rsidP="009E7921">
      <w:pPr>
        <w:rPr>
          <w:rFonts w:ascii="Arial" w:hAnsi="Arial" w:cs="Arial"/>
          <w:b/>
          <w:bCs/>
          <w:sz w:val="22"/>
          <w:szCs w:val="22"/>
        </w:rPr>
      </w:pPr>
    </w:p>
    <w:p w14:paraId="5BCABC70" w14:textId="43C0E298" w:rsidR="0045795F" w:rsidRDefault="0045795F" w:rsidP="009E7921">
      <w:pPr>
        <w:rPr>
          <w:rFonts w:ascii="Arial" w:hAnsi="Arial" w:cs="Arial"/>
          <w:b/>
          <w:bCs/>
          <w:sz w:val="22"/>
          <w:szCs w:val="22"/>
        </w:rPr>
      </w:pPr>
    </w:p>
    <w:p w14:paraId="7127CC9D" w14:textId="0B76EAB9" w:rsidR="004C7E2C" w:rsidRDefault="004C7E2C" w:rsidP="009E7921">
      <w:pPr>
        <w:rPr>
          <w:rFonts w:ascii="Arial" w:hAnsi="Arial" w:cs="Arial"/>
          <w:b/>
          <w:bCs/>
          <w:sz w:val="22"/>
          <w:szCs w:val="22"/>
        </w:rPr>
      </w:pPr>
      <w:r w:rsidRPr="004C7E2C">
        <w:rPr>
          <w:rFonts w:ascii="Arial" w:hAnsi="Arial" w:cs="Arial"/>
          <w:b/>
          <w:bCs/>
          <w:noProof/>
          <w:sz w:val="22"/>
          <w:szCs w:val="22"/>
        </w:rPr>
        <w:lastRenderedPageBreak/>
        <w:drawing>
          <wp:inline distT="0" distB="0" distL="0" distR="0" wp14:anchorId="6C17749A" wp14:editId="3AFE2AE8">
            <wp:extent cx="5943600" cy="2346960"/>
            <wp:effectExtent l="0" t="0" r="0" b="2540"/>
            <wp:docPr id="634505000" name="Picture 1" descr="A diagram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5000" name="Picture 1" descr="A diagram of different types of numbers&#10;&#10;Description automatically generated with medium confidence"/>
                    <pic:cNvPicPr/>
                  </pic:nvPicPr>
                  <pic:blipFill>
                    <a:blip r:embed="rId12"/>
                    <a:stretch>
                      <a:fillRect/>
                    </a:stretch>
                  </pic:blipFill>
                  <pic:spPr>
                    <a:xfrm>
                      <a:off x="0" y="0"/>
                      <a:ext cx="5943600" cy="2346960"/>
                    </a:xfrm>
                    <a:prstGeom prst="rect">
                      <a:avLst/>
                    </a:prstGeom>
                  </pic:spPr>
                </pic:pic>
              </a:graphicData>
            </a:graphic>
          </wp:inline>
        </w:drawing>
      </w:r>
    </w:p>
    <w:p w14:paraId="6F430DD0" w14:textId="77777777" w:rsidR="00850A86" w:rsidRPr="00174669" w:rsidRDefault="00850A86" w:rsidP="009E7921">
      <w:pPr>
        <w:rPr>
          <w:rFonts w:ascii="Arial" w:hAnsi="Arial" w:cs="Arial"/>
          <w:b/>
          <w:bCs/>
          <w:sz w:val="22"/>
          <w:szCs w:val="22"/>
        </w:rPr>
      </w:pPr>
    </w:p>
    <w:p w14:paraId="5A8DAF03" w14:textId="5AC4D8E9" w:rsidR="00A1796E" w:rsidRPr="00300EB3" w:rsidRDefault="009E7921" w:rsidP="00A1796E">
      <w:pPr>
        <w:rPr>
          <w:rFonts w:ascii="Arial" w:hAnsi="Arial" w:cs="Arial"/>
          <w:color w:val="000000" w:themeColor="text1"/>
          <w:sz w:val="22"/>
          <w:szCs w:val="22"/>
        </w:rPr>
      </w:pPr>
      <w:bookmarkStart w:id="4" w:name="_Toc209613043"/>
      <w:r w:rsidRPr="00A641A7">
        <w:rPr>
          <w:rStyle w:val="Heading1Char"/>
          <w:rFonts w:ascii="Arial" w:hAnsi="Arial" w:cs="Arial"/>
          <w:b/>
          <w:bCs/>
          <w:color w:val="000000" w:themeColor="text1"/>
          <w:sz w:val="22"/>
          <w:szCs w:val="22"/>
        </w:rPr>
        <w:t>Figure S</w:t>
      </w:r>
      <w:r w:rsidR="00446857" w:rsidRPr="00A641A7">
        <w:rPr>
          <w:rStyle w:val="Heading1Char"/>
          <w:rFonts w:ascii="Arial" w:hAnsi="Arial" w:cs="Arial"/>
          <w:b/>
          <w:bCs/>
          <w:color w:val="000000" w:themeColor="text1"/>
          <w:sz w:val="22"/>
          <w:szCs w:val="22"/>
        </w:rPr>
        <w:t>5</w:t>
      </w:r>
      <w:r w:rsidRPr="00A641A7">
        <w:rPr>
          <w:rStyle w:val="Heading1Char"/>
          <w:rFonts w:ascii="Arial" w:hAnsi="Arial" w:cs="Arial"/>
          <w:b/>
          <w:bCs/>
          <w:color w:val="000000" w:themeColor="text1"/>
          <w:sz w:val="22"/>
          <w:szCs w:val="22"/>
        </w:rPr>
        <w:t xml:space="preserve">. </w:t>
      </w:r>
      <w:r w:rsidRPr="0051076B">
        <w:rPr>
          <w:rStyle w:val="Heading1Char"/>
          <w:rFonts w:ascii="Arial" w:hAnsi="Arial" w:cs="Arial"/>
          <w:b/>
          <w:bCs/>
          <w:color w:val="000000" w:themeColor="text1"/>
          <w:sz w:val="22"/>
          <w:szCs w:val="22"/>
        </w:rPr>
        <w:t xml:space="preserve">Reproductive state explains more variation in </w:t>
      </w:r>
      <w:r w:rsidR="00B07E2B" w:rsidRPr="0051076B">
        <w:rPr>
          <w:rStyle w:val="Heading1Char"/>
          <w:rFonts w:ascii="Arial" w:hAnsi="Arial" w:cs="Arial"/>
          <w:b/>
          <w:bCs/>
          <w:color w:val="000000" w:themeColor="text1"/>
          <w:sz w:val="22"/>
          <w:szCs w:val="22"/>
        </w:rPr>
        <w:t xml:space="preserve">microbiota composition </w:t>
      </w:r>
      <w:r w:rsidR="003E5884">
        <w:rPr>
          <w:rStyle w:val="Heading1Char"/>
          <w:rFonts w:ascii="Arial" w:hAnsi="Arial" w:cs="Arial"/>
          <w:b/>
          <w:bCs/>
          <w:color w:val="000000" w:themeColor="text1"/>
          <w:sz w:val="22"/>
          <w:szCs w:val="22"/>
        </w:rPr>
        <w:t>within individuals</w:t>
      </w:r>
      <w:r w:rsidRPr="0051076B">
        <w:rPr>
          <w:rStyle w:val="Heading1Char"/>
          <w:rFonts w:ascii="Arial" w:hAnsi="Arial" w:cs="Arial"/>
          <w:b/>
          <w:bCs/>
          <w:color w:val="000000" w:themeColor="text1"/>
          <w:sz w:val="22"/>
          <w:szCs w:val="22"/>
        </w:rPr>
        <w:t xml:space="preserve">, compared to </w:t>
      </w:r>
      <w:r w:rsidR="003E5884">
        <w:rPr>
          <w:rStyle w:val="Heading1Char"/>
          <w:rFonts w:ascii="Arial" w:hAnsi="Arial" w:cs="Arial"/>
          <w:b/>
          <w:bCs/>
          <w:color w:val="000000" w:themeColor="text1"/>
          <w:sz w:val="22"/>
          <w:szCs w:val="22"/>
        </w:rPr>
        <w:t>across</w:t>
      </w:r>
      <w:r w:rsidRPr="0051076B">
        <w:rPr>
          <w:rStyle w:val="Heading1Char"/>
          <w:rFonts w:ascii="Arial" w:hAnsi="Arial" w:cs="Arial"/>
          <w:b/>
          <w:bCs/>
          <w:color w:val="000000" w:themeColor="text1"/>
          <w:sz w:val="22"/>
          <w:szCs w:val="22"/>
        </w:rPr>
        <w:t xml:space="preserve"> all samples</w:t>
      </w:r>
      <w:bookmarkEnd w:id="4"/>
      <w:r w:rsidR="003E5884">
        <w:rPr>
          <w:rStyle w:val="Heading1Char"/>
          <w:rFonts w:ascii="Arial" w:hAnsi="Arial" w:cs="Arial"/>
          <w:b/>
          <w:bCs/>
          <w:color w:val="000000" w:themeColor="text1"/>
          <w:sz w:val="22"/>
          <w:szCs w:val="22"/>
        </w:rPr>
        <w:t xml:space="preserve">. </w:t>
      </w:r>
      <w:r w:rsidRPr="00174669">
        <w:rPr>
          <w:rFonts w:ascii="Arial" w:hAnsi="Arial" w:cs="Arial"/>
          <w:color w:val="000000" w:themeColor="text1"/>
          <w:sz w:val="22"/>
          <w:szCs w:val="22"/>
        </w:rPr>
        <w:t>Each plot shows the first two princip</w:t>
      </w:r>
      <w:r w:rsidR="008E3743">
        <w:rPr>
          <w:rFonts w:ascii="Arial" w:hAnsi="Arial" w:cs="Arial"/>
          <w:color w:val="000000" w:themeColor="text1"/>
          <w:sz w:val="22"/>
          <w:szCs w:val="22"/>
        </w:rPr>
        <w:t>al</w:t>
      </w:r>
      <w:r w:rsidRPr="00174669">
        <w:rPr>
          <w:rFonts w:ascii="Arial" w:hAnsi="Arial" w:cs="Arial"/>
          <w:color w:val="000000" w:themeColor="text1"/>
          <w:sz w:val="22"/>
          <w:szCs w:val="22"/>
        </w:rPr>
        <w:t xml:space="preserve"> components</w:t>
      </w:r>
      <w:r w:rsidR="005116B0">
        <w:rPr>
          <w:rFonts w:ascii="Arial" w:hAnsi="Arial" w:cs="Arial"/>
          <w:color w:val="000000" w:themeColor="text1"/>
          <w:sz w:val="22"/>
          <w:szCs w:val="22"/>
        </w:rPr>
        <w:t xml:space="preserve"> of Aitchison distances between samples</w:t>
      </w:r>
      <w:r w:rsidRPr="00174669">
        <w:rPr>
          <w:rFonts w:ascii="Arial" w:hAnsi="Arial" w:cs="Arial"/>
          <w:color w:val="000000" w:themeColor="text1"/>
          <w:sz w:val="22"/>
          <w:szCs w:val="22"/>
        </w:rPr>
        <w:t xml:space="preserve"> </w:t>
      </w:r>
      <w:r w:rsidR="000A35B7">
        <w:rPr>
          <w:rFonts w:ascii="Arial" w:hAnsi="Arial" w:cs="Arial"/>
          <w:color w:val="000000" w:themeColor="text1"/>
          <w:sz w:val="22"/>
          <w:szCs w:val="22"/>
        </w:rPr>
        <w:t xml:space="preserve">within </w:t>
      </w:r>
      <w:r w:rsidR="005116B0">
        <w:rPr>
          <w:rFonts w:ascii="Arial" w:hAnsi="Arial" w:cs="Arial"/>
          <w:color w:val="000000" w:themeColor="text1"/>
          <w:sz w:val="22"/>
          <w:szCs w:val="22"/>
        </w:rPr>
        <w:t>an</w:t>
      </w:r>
      <w:r w:rsidRPr="00174669">
        <w:rPr>
          <w:rFonts w:ascii="Arial" w:hAnsi="Arial" w:cs="Arial"/>
          <w:color w:val="000000" w:themeColor="text1"/>
          <w:sz w:val="22"/>
          <w:szCs w:val="22"/>
        </w:rPr>
        <w:t xml:space="preserve"> individual female</w:t>
      </w:r>
      <w:r w:rsidR="000A35B7">
        <w:rPr>
          <w:rFonts w:ascii="Arial" w:hAnsi="Arial" w:cs="Arial"/>
          <w:color w:val="000000" w:themeColor="text1"/>
          <w:sz w:val="22"/>
          <w:szCs w:val="22"/>
        </w:rPr>
        <w:t xml:space="preserve"> (female ID is indicated by a </w:t>
      </w:r>
      <w:r w:rsidR="004C7E2C">
        <w:rPr>
          <w:rFonts w:ascii="Arial" w:hAnsi="Arial" w:cs="Arial"/>
          <w:color w:val="000000" w:themeColor="text1"/>
          <w:sz w:val="22"/>
          <w:szCs w:val="22"/>
        </w:rPr>
        <w:t>unique</w:t>
      </w:r>
      <w:r w:rsidR="000A35B7">
        <w:rPr>
          <w:rFonts w:ascii="Arial" w:hAnsi="Arial" w:cs="Arial"/>
          <w:color w:val="000000" w:themeColor="text1"/>
          <w:sz w:val="22"/>
          <w:szCs w:val="22"/>
        </w:rPr>
        <w:t xml:space="preserve"> code above each plot)</w:t>
      </w:r>
      <w:r w:rsidR="005116B0">
        <w:rPr>
          <w:rFonts w:ascii="Arial" w:hAnsi="Arial" w:cs="Arial"/>
          <w:color w:val="000000" w:themeColor="text1"/>
          <w:sz w:val="22"/>
          <w:szCs w:val="22"/>
        </w:rPr>
        <w:t>.</w:t>
      </w:r>
      <w:r w:rsidRPr="00174669">
        <w:rPr>
          <w:rFonts w:ascii="Arial" w:hAnsi="Arial" w:cs="Arial"/>
          <w:color w:val="000000" w:themeColor="text1"/>
          <w:sz w:val="22"/>
          <w:szCs w:val="22"/>
        </w:rPr>
        <w:t xml:space="preserve"> </w:t>
      </w:r>
      <w:r w:rsidR="005116B0">
        <w:rPr>
          <w:rFonts w:ascii="Arial" w:hAnsi="Arial" w:cs="Arial"/>
          <w:color w:val="000000" w:themeColor="text1"/>
          <w:sz w:val="22"/>
          <w:szCs w:val="22"/>
        </w:rPr>
        <w:t xml:space="preserve">Each point represents </w:t>
      </w:r>
      <w:r w:rsidR="000A35B7">
        <w:rPr>
          <w:rFonts w:ascii="Arial" w:hAnsi="Arial" w:cs="Arial"/>
          <w:color w:val="000000" w:themeColor="text1"/>
          <w:sz w:val="22"/>
          <w:szCs w:val="22"/>
        </w:rPr>
        <w:t>one</w:t>
      </w:r>
      <w:r w:rsidR="005116B0">
        <w:rPr>
          <w:rFonts w:ascii="Arial" w:hAnsi="Arial" w:cs="Arial"/>
          <w:color w:val="000000" w:themeColor="text1"/>
          <w:sz w:val="22"/>
          <w:szCs w:val="22"/>
        </w:rPr>
        <w:t xml:space="preserve"> </w:t>
      </w:r>
      <w:proofErr w:type="gramStart"/>
      <w:r w:rsidR="005116B0">
        <w:rPr>
          <w:rFonts w:ascii="Arial" w:hAnsi="Arial" w:cs="Arial"/>
          <w:color w:val="000000" w:themeColor="text1"/>
          <w:sz w:val="22"/>
          <w:szCs w:val="22"/>
        </w:rPr>
        <w:t>sample</w:t>
      </w:r>
      <w:proofErr w:type="gramEnd"/>
      <w:r w:rsidR="005116B0">
        <w:rPr>
          <w:rFonts w:ascii="Arial" w:hAnsi="Arial" w:cs="Arial"/>
          <w:color w:val="000000" w:themeColor="text1"/>
          <w:sz w:val="22"/>
          <w:szCs w:val="22"/>
        </w:rPr>
        <w:t xml:space="preserve"> and p</w:t>
      </w:r>
      <w:r w:rsidRPr="00174669">
        <w:rPr>
          <w:rFonts w:ascii="Arial" w:hAnsi="Arial" w:cs="Arial"/>
          <w:color w:val="000000" w:themeColor="text1"/>
          <w:sz w:val="22"/>
          <w:szCs w:val="22"/>
        </w:rPr>
        <w:t xml:space="preserve">oints </w:t>
      </w:r>
      <w:r w:rsidR="000A35B7">
        <w:rPr>
          <w:rFonts w:ascii="Arial" w:hAnsi="Arial" w:cs="Arial"/>
          <w:color w:val="000000" w:themeColor="text1"/>
          <w:sz w:val="22"/>
          <w:szCs w:val="22"/>
        </w:rPr>
        <w:t xml:space="preserve">are </w:t>
      </w:r>
      <w:r w:rsidRPr="00174669">
        <w:rPr>
          <w:rFonts w:ascii="Arial" w:hAnsi="Arial" w:cs="Arial"/>
          <w:color w:val="000000" w:themeColor="text1"/>
          <w:sz w:val="22"/>
          <w:szCs w:val="22"/>
        </w:rPr>
        <w:t xml:space="preserve">colored by reproductive state. </w:t>
      </w:r>
      <w:r w:rsidRPr="00300EB3">
        <w:rPr>
          <w:rFonts w:ascii="Arial" w:hAnsi="Arial" w:cs="Arial"/>
          <w:color w:val="000000" w:themeColor="text1"/>
          <w:sz w:val="22"/>
          <w:szCs w:val="22"/>
        </w:rPr>
        <w:t>R</w:t>
      </w:r>
      <w:r w:rsidRPr="00300EB3">
        <w:rPr>
          <w:rFonts w:ascii="Arial" w:hAnsi="Arial" w:cs="Arial"/>
          <w:color w:val="000000" w:themeColor="text1"/>
          <w:sz w:val="22"/>
          <w:szCs w:val="22"/>
          <w:vertAlign w:val="superscript"/>
        </w:rPr>
        <w:t>2</w:t>
      </w:r>
      <w:r w:rsidRPr="00300EB3">
        <w:rPr>
          <w:rFonts w:ascii="Arial" w:hAnsi="Arial" w:cs="Arial"/>
          <w:color w:val="000000" w:themeColor="text1"/>
          <w:sz w:val="22"/>
          <w:szCs w:val="22"/>
        </w:rPr>
        <w:t xml:space="preserve"> and p-values are from </w:t>
      </w:r>
      <w:r w:rsidR="00300EB3" w:rsidRPr="00300EB3">
        <w:rPr>
          <w:rFonts w:ascii="Arial" w:hAnsi="Arial" w:cs="Arial"/>
          <w:color w:val="000000" w:themeColor="text1"/>
          <w:sz w:val="22"/>
          <w:szCs w:val="22"/>
        </w:rPr>
        <w:t>ANOVAs</w:t>
      </w:r>
      <w:r w:rsidRPr="00300EB3">
        <w:rPr>
          <w:rFonts w:ascii="Arial" w:hAnsi="Arial" w:cs="Arial"/>
          <w:color w:val="000000" w:themeColor="text1"/>
          <w:sz w:val="22"/>
          <w:szCs w:val="22"/>
        </w:rPr>
        <w:t xml:space="preserve"> on the </w:t>
      </w:r>
      <w:r w:rsidR="00300EB3" w:rsidRPr="00300EB3">
        <w:rPr>
          <w:rFonts w:ascii="Arial" w:hAnsi="Arial" w:cs="Arial"/>
          <w:color w:val="000000" w:themeColor="text1"/>
          <w:sz w:val="22"/>
          <w:szCs w:val="22"/>
        </w:rPr>
        <w:t xml:space="preserve">Redundancy Analysis (RDA) </w:t>
      </w:r>
      <w:r w:rsidRPr="00300EB3">
        <w:rPr>
          <w:rFonts w:ascii="Arial" w:hAnsi="Arial" w:cs="Arial"/>
          <w:color w:val="000000" w:themeColor="text1"/>
          <w:sz w:val="22"/>
          <w:szCs w:val="22"/>
        </w:rPr>
        <w:t>for each female in Table S</w:t>
      </w:r>
      <w:r w:rsidR="00F111EF" w:rsidRPr="00300EB3">
        <w:rPr>
          <w:rFonts w:ascii="Arial" w:hAnsi="Arial" w:cs="Arial"/>
          <w:color w:val="000000" w:themeColor="text1"/>
          <w:sz w:val="22"/>
          <w:szCs w:val="22"/>
        </w:rPr>
        <w:t>10</w:t>
      </w:r>
      <w:r w:rsidRPr="00300EB3">
        <w:rPr>
          <w:rFonts w:ascii="Arial" w:hAnsi="Arial" w:cs="Arial"/>
          <w:color w:val="000000" w:themeColor="text1"/>
          <w:sz w:val="22"/>
          <w:szCs w:val="22"/>
        </w:rPr>
        <w:t>.</w:t>
      </w:r>
    </w:p>
    <w:p w14:paraId="52076C5F" w14:textId="471CC026" w:rsidR="00ED28EC" w:rsidRPr="00FF179A" w:rsidRDefault="00ED28EC">
      <w:pPr>
        <w:rPr>
          <w:rFonts w:ascii="Arial" w:hAnsi="Arial" w:cs="Arial"/>
          <w:b/>
          <w:bCs/>
          <w:sz w:val="22"/>
          <w:szCs w:val="22"/>
        </w:rPr>
      </w:pPr>
    </w:p>
    <w:sectPr w:rsidR="00ED28EC" w:rsidRPr="00FF179A">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81D66" w14:textId="77777777" w:rsidR="00D060FD" w:rsidRDefault="00D060FD" w:rsidP="00AD0036">
      <w:r>
        <w:separator/>
      </w:r>
    </w:p>
  </w:endnote>
  <w:endnote w:type="continuationSeparator" w:id="0">
    <w:p w14:paraId="06ABD4F3" w14:textId="77777777" w:rsidR="00D060FD" w:rsidRDefault="00D060FD" w:rsidP="00AD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6625520"/>
      <w:docPartObj>
        <w:docPartGallery w:val="Page Numbers (Bottom of Page)"/>
        <w:docPartUnique/>
      </w:docPartObj>
    </w:sdtPr>
    <w:sdtContent>
      <w:p w14:paraId="37F997C6" w14:textId="2768F2C9" w:rsidR="00AD0036" w:rsidRDefault="00AD0036" w:rsidP="003A0F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E37A6" w14:textId="77777777" w:rsidR="00AD0036" w:rsidRDefault="00AD0036" w:rsidP="00AD00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6486390"/>
      <w:docPartObj>
        <w:docPartGallery w:val="Page Numbers (Bottom of Page)"/>
        <w:docPartUnique/>
      </w:docPartObj>
    </w:sdtPr>
    <w:sdtContent>
      <w:p w14:paraId="6755168B" w14:textId="68FDE4AA" w:rsidR="00AD0036" w:rsidRDefault="00AD0036" w:rsidP="003A0F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4FD2C1" w14:textId="77777777" w:rsidR="00AD0036" w:rsidRDefault="00AD0036" w:rsidP="00AD00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FD6F7" w14:textId="77777777" w:rsidR="00D060FD" w:rsidRDefault="00D060FD" w:rsidP="00AD0036">
      <w:r>
        <w:separator/>
      </w:r>
    </w:p>
  </w:footnote>
  <w:footnote w:type="continuationSeparator" w:id="0">
    <w:p w14:paraId="22C2387E" w14:textId="77777777" w:rsidR="00D060FD" w:rsidRDefault="00D060FD" w:rsidP="00AD0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922"/>
    <w:rsid w:val="00024001"/>
    <w:rsid w:val="00030CF8"/>
    <w:rsid w:val="00055736"/>
    <w:rsid w:val="000A35B7"/>
    <w:rsid w:val="000D6C93"/>
    <w:rsid w:val="000E5B35"/>
    <w:rsid w:val="00163C4F"/>
    <w:rsid w:val="001D23F7"/>
    <w:rsid w:val="001D54E6"/>
    <w:rsid w:val="002048C0"/>
    <w:rsid w:val="00212326"/>
    <w:rsid w:val="00212432"/>
    <w:rsid w:val="00226811"/>
    <w:rsid w:val="002371B0"/>
    <w:rsid w:val="00241ED1"/>
    <w:rsid w:val="00281D2D"/>
    <w:rsid w:val="00300EB3"/>
    <w:rsid w:val="00314E6D"/>
    <w:rsid w:val="00332495"/>
    <w:rsid w:val="00337385"/>
    <w:rsid w:val="003455EB"/>
    <w:rsid w:val="0035783F"/>
    <w:rsid w:val="003604B3"/>
    <w:rsid w:val="00373F0B"/>
    <w:rsid w:val="003773D0"/>
    <w:rsid w:val="003823C1"/>
    <w:rsid w:val="003A145C"/>
    <w:rsid w:val="003E5884"/>
    <w:rsid w:val="003E65BD"/>
    <w:rsid w:val="003F4B79"/>
    <w:rsid w:val="004125BC"/>
    <w:rsid w:val="00446857"/>
    <w:rsid w:val="0045795F"/>
    <w:rsid w:val="004A4042"/>
    <w:rsid w:val="004C7E2C"/>
    <w:rsid w:val="004D109B"/>
    <w:rsid w:val="004D7AEC"/>
    <w:rsid w:val="004F495C"/>
    <w:rsid w:val="00506A55"/>
    <w:rsid w:val="0051076B"/>
    <w:rsid w:val="005116B0"/>
    <w:rsid w:val="005372B5"/>
    <w:rsid w:val="00571FAC"/>
    <w:rsid w:val="005870B6"/>
    <w:rsid w:val="005878D7"/>
    <w:rsid w:val="005D27B9"/>
    <w:rsid w:val="005D3589"/>
    <w:rsid w:val="005D37A7"/>
    <w:rsid w:val="005F4103"/>
    <w:rsid w:val="006065A7"/>
    <w:rsid w:val="00632BFE"/>
    <w:rsid w:val="00672702"/>
    <w:rsid w:val="006B6232"/>
    <w:rsid w:val="006C5121"/>
    <w:rsid w:val="006E3586"/>
    <w:rsid w:val="006F1184"/>
    <w:rsid w:val="006F6462"/>
    <w:rsid w:val="007221C1"/>
    <w:rsid w:val="007607F5"/>
    <w:rsid w:val="00774D4E"/>
    <w:rsid w:val="00793E50"/>
    <w:rsid w:val="00795278"/>
    <w:rsid w:val="007D1324"/>
    <w:rsid w:val="007F6601"/>
    <w:rsid w:val="00807FED"/>
    <w:rsid w:val="00824922"/>
    <w:rsid w:val="0084512A"/>
    <w:rsid w:val="00850A86"/>
    <w:rsid w:val="00857D0C"/>
    <w:rsid w:val="00862541"/>
    <w:rsid w:val="008E3743"/>
    <w:rsid w:val="008E70CD"/>
    <w:rsid w:val="00903474"/>
    <w:rsid w:val="00904396"/>
    <w:rsid w:val="0090670E"/>
    <w:rsid w:val="00910C6D"/>
    <w:rsid w:val="00924EE4"/>
    <w:rsid w:val="00995293"/>
    <w:rsid w:val="009C7AC6"/>
    <w:rsid w:val="009E1175"/>
    <w:rsid w:val="009E7921"/>
    <w:rsid w:val="00A1796E"/>
    <w:rsid w:val="00A641A7"/>
    <w:rsid w:val="00A8581C"/>
    <w:rsid w:val="00AA6305"/>
    <w:rsid w:val="00AB2615"/>
    <w:rsid w:val="00AD0036"/>
    <w:rsid w:val="00AF1AD7"/>
    <w:rsid w:val="00B07522"/>
    <w:rsid w:val="00B07E2B"/>
    <w:rsid w:val="00B2520E"/>
    <w:rsid w:val="00B2667E"/>
    <w:rsid w:val="00B3422B"/>
    <w:rsid w:val="00BB3A0B"/>
    <w:rsid w:val="00BB5792"/>
    <w:rsid w:val="00C059B0"/>
    <w:rsid w:val="00C471B6"/>
    <w:rsid w:val="00C86522"/>
    <w:rsid w:val="00C96B2A"/>
    <w:rsid w:val="00CA4530"/>
    <w:rsid w:val="00CE6B68"/>
    <w:rsid w:val="00CF5402"/>
    <w:rsid w:val="00D060FD"/>
    <w:rsid w:val="00D07027"/>
    <w:rsid w:val="00D278E6"/>
    <w:rsid w:val="00D33BC7"/>
    <w:rsid w:val="00D438BB"/>
    <w:rsid w:val="00D55B28"/>
    <w:rsid w:val="00D9297A"/>
    <w:rsid w:val="00DB17BD"/>
    <w:rsid w:val="00DC6A5C"/>
    <w:rsid w:val="00E4048D"/>
    <w:rsid w:val="00E41E14"/>
    <w:rsid w:val="00E46D9D"/>
    <w:rsid w:val="00E60D0A"/>
    <w:rsid w:val="00E96CD6"/>
    <w:rsid w:val="00EA4967"/>
    <w:rsid w:val="00EB4DBA"/>
    <w:rsid w:val="00EB6B4D"/>
    <w:rsid w:val="00EC381A"/>
    <w:rsid w:val="00ED28EC"/>
    <w:rsid w:val="00EE28E5"/>
    <w:rsid w:val="00EF38DC"/>
    <w:rsid w:val="00F111EF"/>
    <w:rsid w:val="00F40BE4"/>
    <w:rsid w:val="00F478F8"/>
    <w:rsid w:val="00F52427"/>
    <w:rsid w:val="00F53084"/>
    <w:rsid w:val="00F67188"/>
    <w:rsid w:val="00F71E7D"/>
    <w:rsid w:val="00FA03AB"/>
    <w:rsid w:val="00FB0998"/>
    <w:rsid w:val="00FB0CA4"/>
    <w:rsid w:val="00FD1DC3"/>
    <w:rsid w:val="00FE0347"/>
    <w:rsid w:val="00FE0834"/>
    <w:rsid w:val="00FF1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093C"/>
  <w15:chartTrackingRefBased/>
  <w15:docId w15:val="{13ADCF85-E007-B34F-A293-F3465DF2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47"/>
  </w:style>
  <w:style w:type="paragraph" w:styleId="Heading1">
    <w:name w:val="heading 1"/>
    <w:basedOn w:val="Normal"/>
    <w:next w:val="Normal"/>
    <w:link w:val="Heading1Char"/>
    <w:uiPriority w:val="9"/>
    <w:qFormat/>
    <w:rsid w:val="008249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49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49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49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49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492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92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92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92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9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49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49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49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49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49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9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9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922"/>
    <w:rPr>
      <w:rFonts w:eastAsiaTheme="majorEastAsia" w:cstheme="majorBidi"/>
      <w:color w:val="272727" w:themeColor="text1" w:themeTint="D8"/>
    </w:rPr>
  </w:style>
  <w:style w:type="paragraph" w:styleId="Title">
    <w:name w:val="Title"/>
    <w:basedOn w:val="Normal"/>
    <w:next w:val="Normal"/>
    <w:link w:val="TitleChar"/>
    <w:uiPriority w:val="10"/>
    <w:qFormat/>
    <w:rsid w:val="008249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9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92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9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9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24922"/>
    <w:rPr>
      <w:i/>
      <w:iCs/>
      <w:color w:val="404040" w:themeColor="text1" w:themeTint="BF"/>
    </w:rPr>
  </w:style>
  <w:style w:type="paragraph" w:styleId="ListParagraph">
    <w:name w:val="List Paragraph"/>
    <w:basedOn w:val="Normal"/>
    <w:uiPriority w:val="34"/>
    <w:qFormat/>
    <w:rsid w:val="00824922"/>
    <w:pPr>
      <w:ind w:left="720"/>
      <w:contextualSpacing/>
    </w:pPr>
  </w:style>
  <w:style w:type="character" w:styleId="IntenseEmphasis">
    <w:name w:val="Intense Emphasis"/>
    <w:basedOn w:val="DefaultParagraphFont"/>
    <w:uiPriority w:val="21"/>
    <w:qFormat/>
    <w:rsid w:val="00824922"/>
    <w:rPr>
      <w:i/>
      <w:iCs/>
      <w:color w:val="0F4761" w:themeColor="accent1" w:themeShade="BF"/>
    </w:rPr>
  </w:style>
  <w:style w:type="paragraph" w:styleId="IntenseQuote">
    <w:name w:val="Intense Quote"/>
    <w:basedOn w:val="Normal"/>
    <w:next w:val="Normal"/>
    <w:link w:val="IntenseQuoteChar"/>
    <w:uiPriority w:val="30"/>
    <w:qFormat/>
    <w:rsid w:val="008249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4922"/>
    <w:rPr>
      <w:i/>
      <w:iCs/>
      <w:color w:val="0F4761" w:themeColor="accent1" w:themeShade="BF"/>
    </w:rPr>
  </w:style>
  <w:style w:type="character" w:styleId="IntenseReference">
    <w:name w:val="Intense Reference"/>
    <w:basedOn w:val="DefaultParagraphFont"/>
    <w:uiPriority w:val="32"/>
    <w:qFormat/>
    <w:rsid w:val="00824922"/>
    <w:rPr>
      <w:b/>
      <w:bCs/>
      <w:smallCaps/>
      <w:color w:val="0F4761" w:themeColor="accent1" w:themeShade="BF"/>
      <w:spacing w:val="5"/>
    </w:rPr>
  </w:style>
  <w:style w:type="character" w:styleId="CommentReference">
    <w:name w:val="annotation reference"/>
    <w:basedOn w:val="DefaultParagraphFont"/>
    <w:uiPriority w:val="99"/>
    <w:semiHidden/>
    <w:unhideWhenUsed/>
    <w:rsid w:val="00FE0347"/>
    <w:rPr>
      <w:sz w:val="16"/>
      <w:szCs w:val="16"/>
    </w:rPr>
  </w:style>
  <w:style w:type="paragraph" w:styleId="CommentText">
    <w:name w:val="annotation text"/>
    <w:basedOn w:val="Normal"/>
    <w:link w:val="CommentTextChar"/>
    <w:uiPriority w:val="99"/>
    <w:unhideWhenUsed/>
    <w:rsid w:val="00FE0347"/>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FE0347"/>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D109B"/>
    <w:rPr>
      <w:rFonts w:eastAsiaTheme="minorHAnsi"/>
      <w:b/>
      <w:bCs/>
      <w:kern w:val="2"/>
      <w14:ligatures w14:val="standardContextual"/>
    </w:rPr>
  </w:style>
  <w:style w:type="character" w:customStyle="1" w:styleId="CommentSubjectChar">
    <w:name w:val="Comment Subject Char"/>
    <w:basedOn w:val="CommentTextChar"/>
    <w:link w:val="CommentSubject"/>
    <w:uiPriority w:val="99"/>
    <w:semiHidden/>
    <w:rsid w:val="004D109B"/>
    <w:rPr>
      <w:rFonts w:eastAsiaTheme="minorEastAsia"/>
      <w:b/>
      <w:bCs/>
      <w:kern w:val="0"/>
      <w:sz w:val="20"/>
      <w:szCs w:val="20"/>
      <w14:ligatures w14:val="none"/>
    </w:rPr>
  </w:style>
  <w:style w:type="paragraph" w:styleId="Revision">
    <w:name w:val="Revision"/>
    <w:hidden/>
    <w:uiPriority w:val="99"/>
    <w:semiHidden/>
    <w:rsid w:val="00C059B0"/>
  </w:style>
  <w:style w:type="paragraph" w:styleId="Footer">
    <w:name w:val="footer"/>
    <w:basedOn w:val="Normal"/>
    <w:link w:val="FooterChar"/>
    <w:uiPriority w:val="99"/>
    <w:unhideWhenUsed/>
    <w:rsid w:val="00AD0036"/>
    <w:pPr>
      <w:tabs>
        <w:tab w:val="center" w:pos="4680"/>
        <w:tab w:val="right" w:pos="9360"/>
      </w:tabs>
    </w:pPr>
  </w:style>
  <w:style w:type="character" w:customStyle="1" w:styleId="FooterChar">
    <w:name w:val="Footer Char"/>
    <w:basedOn w:val="DefaultParagraphFont"/>
    <w:link w:val="Footer"/>
    <w:uiPriority w:val="99"/>
    <w:rsid w:val="00AD0036"/>
  </w:style>
  <w:style w:type="character" w:styleId="PageNumber">
    <w:name w:val="page number"/>
    <w:basedOn w:val="DefaultParagraphFont"/>
    <w:uiPriority w:val="99"/>
    <w:semiHidden/>
    <w:unhideWhenUsed/>
    <w:rsid w:val="00AD0036"/>
  </w:style>
  <w:style w:type="paragraph" w:styleId="TOCHeading">
    <w:name w:val="TOC Heading"/>
    <w:basedOn w:val="Heading1"/>
    <w:next w:val="Normal"/>
    <w:uiPriority w:val="39"/>
    <w:unhideWhenUsed/>
    <w:qFormat/>
    <w:rsid w:val="00D07027"/>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5878D7"/>
    <w:pPr>
      <w:tabs>
        <w:tab w:val="right" w:leader="dot" w:pos="9350"/>
      </w:tabs>
      <w:spacing w:before="120"/>
    </w:pPr>
    <w:rPr>
      <w:rFonts w:ascii="Arial" w:hAnsi="Arial" w:cs="Arial"/>
      <w:i/>
      <w:iCs/>
      <w:noProof/>
    </w:rPr>
  </w:style>
  <w:style w:type="character" w:styleId="Hyperlink">
    <w:name w:val="Hyperlink"/>
    <w:basedOn w:val="DefaultParagraphFont"/>
    <w:uiPriority w:val="99"/>
    <w:unhideWhenUsed/>
    <w:rsid w:val="00D07027"/>
    <w:rPr>
      <w:color w:val="467886" w:themeColor="hyperlink"/>
      <w:u w:val="single"/>
    </w:rPr>
  </w:style>
  <w:style w:type="paragraph" w:styleId="TOC2">
    <w:name w:val="toc 2"/>
    <w:basedOn w:val="Normal"/>
    <w:next w:val="Normal"/>
    <w:autoRedefine/>
    <w:uiPriority w:val="39"/>
    <w:semiHidden/>
    <w:unhideWhenUsed/>
    <w:rsid w:val="00D07027"/>
    <w:pPr>
      <w:spacing w:before="120"/>
      <w:ind w:left="240"/>
    </w:pPr>
    <w:rPr>
      <w:b/>
      <w:bCs/>
      <w:sz w:val="22"/>
      <w:szCs w:val="22"/>
    </w:rPr>
  </w:style>
  <w:style w:type="paragraph" w:styleId="TOC3">
    <w:name w:val="toc 3"/>
    <w:basedOn w:val="Normal"/>
    <w:next w:val="Normal"/>
    <w:autoRedefine/>
    <w:uiPriority w:val="39"/>
    <w:semiHidden/>
    <w:unhideWhenUsed/>
    <w:rsid w:val="00D07027"/>
    <w:pPr>
      <w:ind w:left="480"/>
    </w:pPr>
    <w:rPr>
      <w:sz w:val="20"/>
      <w:szCs w:val="20"/>
    </w:rPr>
  </w:style>
  <w:style w:type="paragraph" w:styleId="TOC4">
    <w:name w:val="toc 4"/>
    <w:basedOn w:val="Normal"/>
    <w:next w:val="Normal"/>
    <w:autoRedefine/>
    <w:uiPriority w:val="39"/>
    <w:semiHidden/>
    <w:unhideWhenUsed/>
    <w:rsid w:val="00D07027"/>
    <w:pPr>
      <w:ind w:left="720"/>
    </w:pPr>
    <w:rPr>
      <w:sz w:val="20"/>
      <w:szCs w:val="20"/>
    </w:rPr>
  </w:style>
  <w:style w:type="paragraph" w:styleId="TOC5">
    <w:name w:val="toc 5"/>
    <w:basedOn w:val="Normal"/>
    <w:next w:val="Normal"/>
    <w:autoRedefine/>
    <w:uiPriority w:val="39"/>
    <w:semiHidden/>
    <w:unhideWhenUsed/>
    <w:rsid w:val="00D07027"/>
    <w:pPr>
      <w:ind w:left="960"/>
    </w:pPr>
    <w:rPr>
      <w:sz w:val="20"/>
      <w:szCs w:val="20"/>
    </w:rPr>
  </w:style>
  <w:style w:type="paragraph" w:styleId="TOC6">
    <w:name w:val="toc 6"/>
    <w:basedOn w:val="Normal"/>
    <w:next w:val="Normal"/>
    <w:autoRedefine/>
    <w:uiPriority w:val="39"/>
    <w:semiHidden/>
    <w:unhideWhenUsed/>
    <w:rsid w:val="00D07027"/>
    <w:pPr>
      <w:ind w:left="1200"/>
    </w:pPr>
    <w:rPr>
      <w:sz w:val="20"/>
      <w:szCs w:val="20"/>
    </w:rPr>
  </w:style>
  <w:style w:type="paragraph" w:styleId="TOC7">
    <w:name w:val="toc 7"/>
    <w:basedOn w:val="Normal"/>
    <w:next w:val="Normal"/>
    <w:autoRedefine/>
    <w:uiPriority w:val="39"/>
    <w:semiHidden/>
    <w:unhideWhenUsed/>
    <w:rsid w:val="00D07027"/>
    <w:pPr>
      <w:ind w:left="1440"/>
    </w:pPr>
    <w:rPr>
      <w:sz w:val="20"/>
      <w:szCs w:val="20"/>
    </w:rPr>
  </w:style>
  <w:style w:type="paragraph" w:styleId="TOC8">
    <w:name w:val="toc 8"/>
    <w:basedOn w:val="Normal"/>
    <w:next w:val="Normal"/>
    <w:autoRedefine/>
    <w:uiPriority w:val="39"/>
    <w:semiHidden/>
    <w:unhideWhenUsed/>
    <w:rsid w:val="00D07027"/>
    <w:pPr>
      <w:ind w:left="1680"/>
    </w:pPr>
    <w:rPr>
      <w:sz w:val="20"/>
      <w:szCs w:val="20"/>
    </w:rPr>
  </w:style>
  <w:style w:type="paragraph" w:styleId="TOC9">
    <w:name w:val="toc 9"/>
    <w:basedOn w:val="Normal"/>
    <w:next w:val="Normal"/>
    <w:autoRedefine/>
    <w:uiPriority w:val="39"/>
    <w:semiHidden/>
    <w:unhideWhenUsed/>
    <w:rsid w:val="00D07027"/>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elsea.southworth2@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1C199-0557-7C49-8F67-4C7DF203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Southworth</dc:creator>
  <cp:keywords/>
  <dc:description/>
  <cp:lastModifiedBy>Chelsea Southworth</cp:lastModifiedBy>
  <cp:revision>17</cp:revision>
  <dcterms:created xsi:type="dcterms:W3CDTF">2025-09-29T16:39:00Z</dcterms:created>
  <dcterms:modified xsi:type="dcterms:W3CDTF">2025-11-30T22:25:00Z</dcterms:modified>
</cp:coreProperties>
</file>