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Supplementary Appendix: Endoscopic Versus Open Lumbar Decompression: A Propensity-Matched National Cohort Study of 50,000 Patients with 90-Day Follow-Up</w:t>
      </w:r>
    </w:p>
    <w:p w:rsidR="00000000" w:rsidDel="00000000" w:rsidP="00000000" w:rsidRDefault="00000000" w:rsidRPr="00000000" w14:paraId="00000002">
      <w:pPr>
        <w:spacing w:after="160" w:line="4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Dana Hazem,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Rohit Srinivas,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Harlene Kaur,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Rahul Kumar,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Rohan Phadke,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Swapna Vaja,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Nathan J. Lee, MD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Geisel School of Medicine at Dartmouth, Hanover, NH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School of Medicine, University of Texas at Southwestern, Dallas, TX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T.H. Chan School of Medicine, UMass Chan Medical School, Worcester, Massachusetts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School of Medicine, Baylor College of Medicine, Houston, TX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Orthopedic Surgery, Rush University Medical Center, Chicago, IL,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5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5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Corresponding Author: </w:t>
      </w:r>
    </w:p>
    <w:p w:rsidR="00000000" w:rsidDel="00000000" w:rsidP="00000000" w:rsidRDefault="00000000" w:rsidRPr="00000000" w14:paraId="0000000A">
      <w:pPr>
        <w:spacing w:line="5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Rahul Kumar;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rahul.kumar5@umassmed.edu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</w:t>
      </w:r>
    </w:p>
    <w:p w:rsidR="00000000" w:rsidDel="00000000" w:rsidP="00000000" w:rsidRDefault="00000000" w:rsidRPr="00000000" w14:paraId="0000000B">
      <w:pPr>
        <w:spacing w:line="5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ORCID: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0000-0001-8574-2895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0" w:before="480" w:line="417.3910434782608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j2ndit5wco1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Supplementary Appendix: Endoscopic vs Non-Endoscopic Lumbar Decompression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200" w:line="451.76505882352944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29glwip3t6k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A. Cohort Selection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200" w:line="516.922615384615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sj4im03xq7p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Cohort 1: Endoscopic Lumbar Decompression (ENDO)</w:t>
      </w:r>
    </w:p>
    <w:p w:rsidR="00000000" w:rsidDel="00000000" w:rsidP="00000000" w:rsidRDefault="00000000" w:rsidRPr="00000000" w14:paraId="0000000F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  Inclusion Criteria</w:t>
      </w:r>
    </w:p>
    <w:p w:rsidR="00000000" w:rsidDel="00000000" w:rsidP="00000000" w:rsidRDefault="00000000" w:rsidRPr="00000000" w14:paraId="00000010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·   Age ≥ 18 years</w:t>
      </w:r>
    </w:p>
    <w:p w:rsidR="00000000" w:rsidDel="00000000" w:rsidP="00000000" w:rsidRDefault="00000000" w:rsidRPr="00000000" w14:paraId="00000011">
      <w:pPr>
        <w:spacing w:after="200"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  Lumbar decompression identified by CPT 62380 or ICD-10-PCS percutaneous endoscopic codes:</w:t>
      </w:r>
    </w:p>
    <w:p w:rsidR="00000000" w:rsidDel="00000000" w:rsidP="00000000" w:rsidRDefault="00000000" w:rsidRPr="00000000" w14:paraId="00000012">
      <w:pPr>
        <w:spacing w:line="479.99945454545457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0SB24ZZ – Excision, lumbar intervertebral disc, percutaneous endoscopic</w:t>
      </w:r>
    </w:p>
    <w:p w:rsidR="00000000" w:rsidDel="00000000" w:rsidP="00000000" w:rsidRDefault="00000000" w:rsidRPr="00000000" w14:paraId="00000013">
      <w:pPr>
        <w:spacing w:line="479.99945454545457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0SB34ZZ – Excision, lumbar vertebra, percutaneous endoscopic</w:t>
      </w:r>
    </w:p>
    <w:p w:rsidR="00000000" w:rsidDel="00000000" w:rsidP="00000000" w:rsidRDefault="00000000" w:rsidRPr="00000000" w14:paraId="00000014">
      <w:pPr>
        <w:spacing w:line="479.99945454545457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0SB40ZZ – Release, lumbar spinal cord, percutaneous endoscopic</w:t>
      </w:r>
    </w:p>
    <w:p w:rsidR="00000000" w:rsidDel="00000000" w:rsidP="00000000" w:rsidRDefault="00000000" w:rsidRPr="00000000" w14:paraId="00000015">
      <w:pPr>
        <w:spacing w:line="479.99945454545457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0SB44ZZ – Release, lumbar spinal nerve, percutaneous endoscopic</w:t>
      </w:r>
    </w:p>
    <w:p w:rsidR="00000000" w:rsidDel="00000000" w:rsidP="00000000" w:rsidRDefault="00000000" w:rsidRPr="00000000" w14:paraId="00000016">
      <w:pPr>
        <w:spacing w:after="200" w:line="479.99945454545457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0SB54ZZ – Division, lumbar vertebra, percutaneous endoscopic</w:t>
      </w:r>
    </w:p>
    <w:p w:rsidR="00000000" w:rsidDel="00000000" w:rsidP="00000000" w:rsidRDefault="00000000" w:rsidRPr="00000000" w14:paraId="00000017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Degenerative spinal indication within 90 days pre-index (ICD-10: M48.06, M54.16, M47.26, M51.26, etc.)</w:t>
      </w:r>
    </w:p>
    <w:p w:rsidR="00000000" w:rsidDel="00000000" w:rsidP="00000000" w:rsidRDefault="00000000" w:rsidRPr="00000000" w14:paraId="00000018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Index event = day of endoscopic procedure</w:t>
      </w:r>
    </w:p>
    <w:p w:rsidR="00000000" w:rsidDel="00000000" w:rsidP="00000000" w:rsidRDefault="00000000" w:rsidRPr="00000000" w14:paraId="00000019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Exclusion Criteria</w:t>
      </w:r>
    </w:p>
    <w:p w:rsidR="00000000" w:rsidDel="00000000" w:rsidP="00000000" w:rsidRDefault="00000000" w:rsidRPr="00000000" w14:paraId="0000001A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Any concurrent open decompression (CPT 63030, 63047) or fusion (CPT 22630, 22633)</w:t>
      </w:r>
    </w:p>
    <w:p w:rsidR="00000000" w:rsidDel="00000000" w:rsidP="00000000" w:rsidRDefault="00000000" w:rsidRPr="00000000" w14:paraId="0000001B">
      <w:pPr>
        <w:spacing w:after="200"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Fracture, tumor, infection, or deformity diagnosis within 1 year pre-index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200" w:line="516.922615384615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ku44ra993l16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Cohort 2: Non-Endoscopic (Open) Lumbar Decompression (NON-ENDO)</w:t>
      </w:r>
    </w:p>
    <w:p w:rsidR="00000000" w:rsidDel="00000000" w:rsidP="00000000" w:rsidRDefault="00000000" w:rsidRPr="00000000" w14:paraId="0000001D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    Inclusion Criteria</w:t>
      </w:r>
    </w:p>
    <w:p w:rsidR="00000000" w:rsidDel="00000000" w:rsidP="00000000" w:rsidRDefault="00000000" w:rsidRPr="00000000" w14:paraId="0000001E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· Age ≥ 18 years</w:t>
      </w:r>
    </w:p>
    <w:p w:rsidR="00000000" w:rsidDel="00000000" w:rsidP="00000000" w:rsidRDefault="00000000" w:rsidRPr="00000000" w14:paraId="0000001F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Conventional lumbar decompression (CPT 63030 or 63047)</w:t>
      </w:r>
    </w:p>
    <w:p w:rsidR="00000000" w:rsidDel="00000000" w:rsidP="00000000" w:rsidRDefault="00000000" w:rsidRPr="00000000" w14:paraId="00000020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Degenerative lumbar indication within 90 days pre-index</w:t>
      </w:r>
    </w:p>
    <w:p w:rsidR="00000000" w:rsidDel="00000000" w:rsidP="00000000" w:rsidRDefault="00000000" w:rsidRPr="00000000" w14:paraId="00000021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    Exclusion Criteria</w:t>
      </w:r>
    </w:p>
    <w:p w:rsidR="00000000" w:rsidDel="00000000" w:rsidP="00000000" w:rsidRDefault="00000000" w:rsidRPr="00000000" w14:paraId="00000022">
      <w:pPr>
        <w:spacing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CPT 62380 or any endoscopic PCS code</w:t>
      </w:r>
    </w:p>
    <w:p w:rsidR="00000000" w:rsidDel="00000000" w:rsidP="00000000" w:rsidRDefault="00000000" w:rsidRPr="00000000" w14:paraId="00000023">
      <w:pPr>
        <w:spacing w:after="200" w:line="479.99945454545457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 Fusion or tumor/fracture/infection/deformity diagnoses within 1 year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0" w:before="200" w:line="451.76505882352944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kmf2flr71ya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B. Index Setup</w:t>
      </w:r>
    </w:p>
    <w:p w:rsidR="00000000" w:rsidDel="00000000" w:rsidP="00000000" w:rsidRDefault="00000000" w:rsidRPr="00000000" w14:paraId="00000025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Index date: date of decompression procedure</w:t>
      </w:r>
    </w:p>
    <w:p w:rsidR="00000000" w:rsidDel="00000000" w:rsidP="00000000" w:rsidRDefault="00000000" w:rsidRPr="00000000" w14:paraId="00000026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Follow-up windows: 30 days and 90 days post-index</w:t>
      </w:r>
    </w:p>
    <w:p w:rsidR="00000000" w:rsidDel="00000000" w:rsidP="00000000" w:rsidRDefault="00000000" w:rsidRPr="00000000" w14:paraId="00000027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Data range: 2017–2025 (TriNetX Research Network, United States)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0" w:before="200" w:line="451.76505882352944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eqicffdj2vk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C. Propensity Score Matching</w:t>
      </w:r>
    </w:p>
    <w:p w:rsidR="00000000" w:rsidDel="00000000" w:rsidP="00000000" w:rsidRDefault="00000000" w:rsidRPr="00000000" w14:paraId="00000029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1:1 greedy nearest-neighbor matching (caliper = 0.2 SD)</w:t>
      </w:r>
    </w:p>
    <w:p w:rsidR="00000000" w:rsidDel="00000000" w:rsidP="00000000" w:rsidRDefault="00000000" w:rsidRPr="00000000" w14:paraId="0000002A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Covariates: age, sex, race/ethnicity, year of surgery, hypertension, diabetes, obesity, hyperlipidemia, CKD, COPD, CHF, CAD/MI, smoking, surgical indication</w:t>
      </w:r>
    </w:p>
    <w:p w:rsidR="00000000" w:rsidDel="00000000" w:rsidP="00000000" w:rsidRDefault="00000000" w:rsidRPr="00000000" w14:paraId="0000002B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Cohort size after matching: ENDO = 25,242; NON-ENDO = 25,242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0" w:before="200" w:line="451.76505882352944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s3626o4o6c86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D. Outcome Definitions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3000"/>
        <w:gridCol w:w="2865"/>
        <w:tblGridChange w:id="0">
          <w:tblGrid>
            <w:gridCol w:w="3000"/>
            <w:gridCol w:w="3000"/>
            <w:gridCol w:w="286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Definition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ICD-10 / CPT / PCS Codes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Incidental durotomy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Accidental dural tear during procedure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G97.41, G96.11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CSF leak / pseudomeningocele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Post-op CSF leak or pseudomeningocele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G96.0x, G96.198, G96.81x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Unplanned reoperation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Repeat decompression within 90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CPT 63030, 63035, 63047, 63048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Meningitis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Post-op bacterial/viral/unspecified meningitis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G00.x, A87.x, G03.x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Superficial 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Infection following the procedure, superficial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T81.41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Deep 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Infection following the procedure, deep incisional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T81.42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Wound disruption/dehiscence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Post-op wound disruption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T81.3x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Deep vein thrombosis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embolism/thrombosis of lower-extremity veins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I82.4x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Myocardial infarction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MI (I21.x) – binary presence within 90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I21.x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Healthcare utilization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 visit or inpatient readmission within 90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Encounter type = ED/Inpatient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Mortality (if available)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All-cause death within 90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0" w:line="479.99945454545457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TriNetX mortality flag = true</w:t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0" w:before="200" w:line="451.76505882352944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wl3gi86s9j4k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E. Composite Definitions</w:t>
      </w:r>
    </w:p>
    <w:p w:rsidR="00000000" w:rsidDel="00000000" w:rsidP="00000000" w:rsidRDefault="00000000" w:rsidRPr="00000000" w14:paraId="00000052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Dural complication composite: durotomy + CSF leak + pseudomeningocele</w:t>
      </w:r>
    </w:p>
    <w:p w:rsidR="00000000" w:rsidDel="00000000" w:rsidP="00000000" w:rsidRDefault="00000000" w:rsidRPr="00000000" w14:paraId="00000053">
      <w:pPr>
        <w:spacing w:after="200" w:line="479.999454545454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Infectious composite: meningitis + SSI (superficial/deep) + wound disruption</w:t>
      </w:r>
    </w:p>
    <w:p w:rsidR="00000000" w:rsidDel="00000000" w:rsidP="00000000" w:rsidRDefault="00000000" w:rsidRPr="00000000" w14:paraId="00000054">
      <w:pPr>
        <w:spacing w:after="200" w:line="479.99945454545457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• Vascular complication composite: DVT + MI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hul.kumar5@umassmed.edu" TargetMode="External"/><Relationship Id="rId7" Type="http://schemas.openxmlformats.org/officeDocument/2006/relationships/hyperlink" Target="https://orcid.org/0000-0001-8574-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