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E51E5"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Supplementary analyses and robustness</w:t>
      </w:r>
    </w:p>
    <w:p w14:paraId="5EA892DC"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In exploratory checks, we inspected distributional features and potential leverage points. Given the modest sample size (n=10/group), non‑parametric tests were pre‑specified for between‑group analyses to minimize parametric assumptions. For within‑group changes, paired tests were chosen to capitalize on repeated measures design. Visual inspection of residuals did not reveal gross deviations from normality for the paired differences, but the decision to report exact p‑values and retain two‑tailed testing was maintained to avoid inflation of type I error.</w:t>
      </w:r>
    </w:p>
    <w:p w14:paraId="0416E581"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Effect sizes, while secondary, were informative. The mean change (aged − baseline) was +23.3 µm for Lava Ultimate, +31.5 µm for IPS e.max CAD, and +27.8 µm for IPS Empress CAD. Assuming a common pooled SD of approximately 15–20 µm, these changes correspond to small‑to‑moderate standardized effects for the glass‑ceramics and a smaller effect for the RNC, consistent with the dichotomy observed in significance testing.</w:t>
      </w:r>
    </w:p>
    <w:p w14:paraId="7D6F48B2"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Measurement uncertainty and sampling density</w:t>
      </w:r>
    </w:p>
    <w:p w14:paraId="3144D5C4"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Marginal gap measurement is sensitive to optical calibration, focal plane alignment, and edge detection thresholds. We mitigated these sources of error by calibrating each session to a certified ruler standard and by repeating each landmark measurement five times before averaging. Sampling density (≥20 points per restoration) increases precision and reduces the influence of local outliers, as recommended in methodological reviews [1,7,11]. Researchers adopting micro‑CT/CBCT methods should likewise report voxel size, segmentation thresholds, and alignment algorithms, which can materially influence derived gap metrics [8–10].</w:t>
      </w:r>
    </w:p>
    <w:p w14:paraId="38C998D8"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Protocol nuances likely to affect outcomes</w:t>
      </w:r>
    </w:p>
    <w:p w14:paraId="28F96BBD"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Cement space and seating load: Excessive cement space may inflate measured gaps, whereas insufficient space risks hydrostatic entrapment and incomplete seating. Our seating load of 250 g for one minute was chosen to approximate typical veneer seating pressures while avoiding damage to margins. Future work could systematically vary cement space (e.g., 20–100 µm) and quantify its interaction with material class.</w:t>
      </w:r>
    </w:p>
    <w:p w14:paraId="03A70044"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Finishing and edge integrity: Microscopic chipping at the veneer margin introduces apparent vertical gaps even when internal fit is acceptable. Multi‑step rubberized finishing reduces micro‑chipping relative to coarse diamond finishing, especially for glass‑ceramics [14–16]. Scan strategies that avoid excessive marginal thinning may further improve adaptation.</w:t>
      </w:r>
    </w:p>
    <w:p w14:paraId="38C1D292"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Surface pre‑treatments: Airborne‑particle abrasion of RNC promotes micromechanical retention without compromising marginal integrity, whereas hydrofluoric etch/silane remain the gold standard for glass‑ceramics. Consistency in these steps is vital for reproducibility and may partly explain inter‑study variability.</w:t>
      </w:r>
    </w:p>
    <w:p w14:paraId="7EB808C5"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lastRenderedPageBreak/>
        <w:t>Clinical pathway and maintenance</w:t>
      </w:r>
    </w:p>
    <w:p w14:paraId="753576AF"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In clinical workflows, a pragmatic approach is to prioritize enamel preservation and ensure adequate isolation for adhesive cementation. When using glass‑ceramics, careful finishing and occlusal adjustment are indicated to prevent edge chipping. For patients with high thermal cycling (e.g., frequent hot/cold beverage use), periodic evaluation of margins at recall is prudent. If minor roughness or staining occurs without structural compromise, repolishing and maintenance of the glaze/polish can help preserve the adhesive interface.</w:t>
      </w:r>
    </w:p>
    <w:p w14:paraId="1F170100"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Future research directions</w:t>
      </w:r>
    </w:p>
    <w:p w14:paraId="508E265B"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 xml:space="preserve">Three‑dimensional mapping of absolute marginal discrepancy and internal fit using micro‑CT or optical coherence tomography would extend the present findings beyond 2D vertical gap measurements. Mechanical fatigue (chewing simulation) and pH cycling should be layered onto UV‑condensation protocols to emulate complex intraoral challenges. Comparative evaluations of alternative resin‑matrix ceramics (e.g., Cerasmart, Brilliant Crios) against multiple LDS/LEU formulations will clarify whether the resilience observed here generalizes across families [12,13,27–29]. Finally, prospective clinical cohorts with digital monitoring could </w:t>
      </w:r>
      <w:proofErr w:type="gramStart"/>
      <w:r w:rsidRPr="004159EB">
        <w:rPr>
          <w:rFonts w:ascii="Cambria" w:eastAsia="MS Mincho" w:hAnsi="Cambria" w:cs="Arial"/>
          <w:kern w:val="0"/>
          <w:sz w:val="22"/>
          <w:szCs w:val="22"/>
          <w:lang w:eastAsia="en-US"/>
          <w14:ligatures w14:val="none"/>
        </w:rPr>
        <w:t>connect in‑vitro</w:t>
      </w:r>
      <w:proofErr w:type="gramEnd"/>
      <w:r w:rsidRPr="004159EB">
        <w:rPr>
          <w:rFonts w:ascii="Cambria" w:eastAsia="MS Mincho" w:hAnsi="Cambria" w:cs="Arial"/>
          <w:kern w:val="0"/>
          <w:sz w:val="22"/>
          <w:szCs w:val="22"/>
          <w:lang w:eastAsia="en-US"/>
          <w14:ligatures w14:val="none"/>
        </w:rPr>
        <w:t xml:space="preserve"> changes in marginal </w:t>
      </w:r>
      <w:proofErr w:type="gramStart"/>
      <w:r w:rsidRPr="004159EB">
        <w:rPr>
          <w:rFonts w:ascii="Cambria" w:eastAsia="MS Mincho" w:hAnsi="Cambria" w:cs="Arial"/>
          <w:kern w:val="0"/>
          <w:sz w:val="22"/>
          <w:szCs w:val="22"/>
          <w:lang w:eastAsia="en-US"/>
          <w14:ligatures w14:val="none"/>
        </w:rPr>
        <w:t>gap</w:t>
      </w:r>
      <w:proofErr w:type="gramEnd"/>
      <w:r w:rsidRPr="004159EB">
        <w:rPr>
          <w:rFonts w:ascii="Cambria" w:eastAsia="MS Mincho" w:hAnsi="Cambria" w:cs="Arial"/>
          <w:kern w:val="0"/>
          <w:sz w:val="22"/>
          <w:szCs w:val="22"/>
          <w:lang w:eastAsia="en-US"/>
          <w14:ligatures w14:val="none"/>
        </w:rPr>
        <w:t xml:space="preserve"> to long‑term outcomes such as staining, debonding, and secondary caries.</w:t>
      </w:r>
    </w:p>
    <w:p w14:paraId="7862443A"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Reporting and transparency checklist (BMC alignment)</w:t>
      </w:r>
    </w:p>
    <w:p w14:paraId="6CE056BC"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We followed the BMC Oral Health structure for abstracts and IMRaD reporting and included declarations on ethics, data availability, funding, authorship, and the use of generative AI in writing. Key parameters necessary for reproducibility—blocks/materials, preparation design, cement brand, surface treatment protocols, seating load, microscope magnification, calibration method, landmarking scheme, and aging regimen—are specified in Methods. Raw data and analysis scripts will be hosted in an open repository upon acceptance to facilitate verification and reuse [19,39].</w:t>
      </w:r>
    </w:p>
    <w:p w14:paraId="756C5943"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Limitations and generalizability</w:t>
      </w:r>
    </w:p>
    <w:p w14:paraId="58A95FFE"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Generalizability beyond the specific veneer geometry, materials, and cement used here should be made cautiously. Firstly, typodont dies cannot reproduce the viscoelastic and thermomechanical behavior of natural teeth under pulpal perfusion and occlusal loading. Secondly, AAA using UV‑condensation cycles does not incorporate cyclic mastication, enzymatic action, or chromogenic challenges that may differentially impact resin‑matrix versus ceramic systems. Thirdly, although the absolute means fall within commonly accepted clinical ranges, clinical acceptability also depends on caries risk, oral hygiene, and occlusal scheme, which vary among patients.</w:t>
      </w:r>
    </w:p>
    <w:p w14:paraId="74D46877"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Sample size rationale and power</w:t>
      </w:r>
    </w:p>
    <w:p w14:paraId="13B88B3A"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 xml:space="preserve">A priori power calculation was guided by prior veneer gap data showing SDs of ~10–20 µm. With n=10 per group, the design affords approximately 80% power to detect within‑group mean changes of ≥15–20 µm using paired tests at α=0.05, assuming normality of differences. Between‑group differences of ≤15 µm would require larger samples to detect </w:t>
      </w:r>
      <w:r w:rsidRPr="004159EB">
        <w:rPr>
          <w:rFonts w:ascii="Cambria" w:eastAsia="MS Mincho" w:hAnsi="Cambria" w:cs="Arial"/>
          <w:kern w:val="0"/>
          <w:sz w:val="22"/>
          <w:szCs w:val="22"/>
          <w:lang w:eastAsia="en-US"/>
          <w14:ligatures w14:val="none"/>
        </w:rPr>
        <w:lastRenderedPageBreak/>
        <w:t>reliably; thus, non‑significant between‑material results here should be interpreted with appropriate caution.</w:t>
      </w:r>
    </w:p>
    <w:p w14:paraId="29C1FC6D"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Terminology clarifications</w:t>
      </w:r>
    </w:p>
    <w:p w14:paraId="11FD9899"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We report vertical marginal gap values as defined by the linear perpendicular distance between the restoration’s margin and the preparation finish line at the measurement point. This metric differs from absolute marginal discrepancy, which additionally accounts for over‑ or under‑extension of the restoration margin relative to the finish line and is best captured via replica or 3D imaging [1,7,11]. The distinction is important when comparing across studies using different methodologies.</w:t>
      </w:r>
    </w:p>
    <w:p w14:paraId="48D3E57F" w14:textId="77777777" w:rsidR="004159EB" w:rsidRPr="004159EB" w:rsidRDefault="004159EB" w:rsidP="004159EB">
      <w:pPr>
        <w:keepNext/>
        <w:keepLines/>
        <w:spacing w:before="200" w:after="0" w:line="276" w:lineRule="auto"/>
        <w:outlineLvl w:val="1"/>
        <w:rPr>
          <w:rFonts w:ascii="Calibri" w:eastAsia="MS Gothic" w:hAnsi="Calibri" w:cs="Times New Roman"/>
          <w:b/>
          <w:bCs/>
          <w:color w:val="4F81BD"/>
          <w:kern w:val="0"/>
          <w:sz w:val="26"/>
          <w:szCs w:val="26"/>
          <w:lang w:eastAsia="en-US"/>
          <w14:ligatures w14:val="none"/>
        </w:rPr>
      </w:pPr>
      <w:r w:rsidRPr="004159EB">
        <w:rPr>
          <w:rFonts w:ascii="Calibri" w:eastAsia="MS Gothic" w:hAnsi="Calibri" w:cs="Times New Roman"/>
          <w:b/>
          <w:bCs/>
          <w:color w:val="4F81BD"/>
          <w:kern w:val="0"/>
          <w:sz w:val="26"/>
          <w:szCs w:val="26"/>
          <w:lang w:eastAsia="en-US"/>
          <w14:ligatures w14:val="none"/>
        </w:rPr>
        <w:t>Clinical decision-making checklist</w:t>
      </w:r>
    </w:p>
    <w:p w14:paraId="041810A8" w14:textId="77777777" w:rsidR="004159EB" w:rsidRPr="004159EB" w:rsidRDefault="004159EB" w:rsidP="004159EB">
      <w:pPr>
        <w:spacing w:after="200" w:line="276" w:lineRule="auto"/>
        <w:rPr>
          <w:rFonts w:ascii="Cambria" w:eastAsia="MS Mincho" w:hAnsi="Cambria" w:cs="Arial"/>
          <w:kern w:val="0"/>
          <w:sz w:val="22"/>
          <w:szCs w:val="22"/>
          <w:lang w:eastAsia="en-US"/>
          <w14:ligatures w14:val="none"/>
        </w:rPr>
      </w:pPr>
      <w:r w:rsidRPr="004159EB">
        <w:rPr>
          <w:rFonts w:ascii="Cambria" w:eastAsia="MS Mincho" w:hAnsi="Cambria" w:cs="Arial"/>
          <w:kern w:val="0"/>
          <w:sz w:val="22"/>
          <w:szCs w:val="22"/>
          <w:lang w:eastAsia="en-US"/>
          <w14:ligatures w14:val="none"/>
        </w:rPr>
        <w:t>For anterior cases in which marginal adaptation stability is prioritized alongside high esthetic demands, we suggest the following pragmatic checklist: (1) preserve enamel and employ a butt‑joint or overlap design that maintains bulk at the finish line; (2) calibrate CAM cement space carefully (e.g., 40–80 µm) and verify using a try‑in spacer; (3) standardize seating load and polymerization sequence to minimize hydraulic effects; (4) finish margins with multi‑step rubberized abrasives and repolish at recall; (5) select material based on risk profile—RNC for resilience under thermal/hygroscopic cycling, LDS/LEU for superior optical stability in low‑risk environments; and (6) document baseline photographs and, where available, quantitative gap measurements to support longitudinal comparison. These steps, many of which echo recent recommendations in the methods literature, are straightforward to implement and likely to yield clinically meaningful improvements in long‑term veneer adaptation [1,7,14–16].</w:t>
      </w:r>
    </w:p>
    <w:p w14:paraId="583097BA" w14:textId="77777777" w:rsidR="009542D6" w:rsidRDefault="009542D6"/>
    <w:sectPr w:rsidR="009542D6" w:rsidSect="004159E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9EB"/>
    <w:rsid w:val="00264C10"/>
    <w:rsid w:val="004159EB"/>
    <w:rsid w:val="00470242"/>
    <w:rsid w:val="005B4670"/>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A1303"/>
  <w15:chartTrackingRefBased/>
  <w15:docId w15:val="{CDD44332-3E01-48DB-A92A-B9267E818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9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9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9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9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9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9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9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9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9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9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9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9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9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9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9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9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9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9EB"/>
    <w:rPr>
      <w:rFonts w:eastAsiaTheme="majorEastAsia" w:cstheme="majorBidi"/>
      <w:color w:val="272727" w:themeColor="text1" w:themeTint="D8"/>
    </w:rPr>
  </w:style>
  <w:style w:type="paragraph" w:styleId="Title">
    <w:name w:val="Title"/>
    <w:basedOn w:val="Normal"/>
    <w:next w:val="Normal"/>
    <w:link w:val="TitleChar"/>
    <w:uiPriority w:val="10"/>
    <w:qFormat/>
    <w:rsid w:val="004159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9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9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9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9EB"/>
    <w:pPr>
      <w:spacing w:before="160"/>
      <w:jc w:val="center"/>
    </w:pPr>
    <w:rPr>
      <w:i/>
      <w:iCs/>
      <w:color w:val="404040" w:themeColor="text1" w:themeTint="BF"/>
    </w:rPr>
  </w:style>
  <w:style w:type="character" w:customStyle="1" w:styleId="QuoteChar">
    <w:name w:val="Quote Char"/>
    <w:basedOn w:val="DefaultParagraphFont"/>
    <w:link w:val="Quote"/>
    <w:uiPriority w:val="29"/>
    <w:rsid w:val="004159EB"/>
    <w:rPr>
      <w:i/>
      <w:iCs/>
      <w:color w:val="404040" w:themeColor="text1" w:themeTint="BF"/>
    </w:rPr>
  </w:style>
  <w:style w:type="paragraph" w:styleId="ListParagraph">
    <w:name w:val="List Paragraph"/>
    <w:basedOn w:val="Normal"/>
    <w:uiPriority w:val="34"/>
    <w:qFormat/>
    <w:rsid w:val="004159EB"/>
    <w:pPr>
      <w:ind w:left="720"/>
      <w:contextualSpacing/>
    </w:pPr>
  </w:style>
  <w:style w:type="character" w:styleId="IntenseEmphasis">
    <w:name w:val="Intense Emphasis"/>
    <w:basedOn w:val="DefaultParagraphFont"/>
    <w:uiPriority w:val="21"/>
    <w:qFormat/>
    <w:rsid w:val="004159EB"/>
    <w:rPr>
      <w:i/>
      <w:iCs/>
      <w:color w:val="0F4761" w:themeColor="accent1" w:themeShade="BF"/>
    </w:rPr>
  </w:style>
  <w:style w:type="paragraph" w:styleId="IntenseQuote">
    <w:name w:val="Intense Quote"/>
    <w:basedOn w:val="Normal"/>
    <w:next w:val="Normal"/>
    <w:link w:val="IntenseQuoteChar"/>
    <w:uiPriority w:val="30"/>
    <w:qFormat/>
    <w:rsid w:val="004159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9EB"/>
    <w:rPr>
      <w:i/>
      <w:iCs/>
      <w:color w:val="0F4761" w:themeColor="accent1" w:themeShade="BF"/>
    </w:rPr>
  </w:style>
  <w:style w:type="character" w:styleId="IntenseReference">
    <w:name w:val="Intense Reference"/>
    <w:basedOn w:val="DefaultParagraphFont"/>
    <w:uiPriority w:val="32"/>
    <w:qFormat/>
    <w:rsid w:val="004159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1014</Words>
  <Characters>6542</Characters>
  <Application>Microsoft Office Word</Application>
  <DocSecurity>0</DocSecurity>
  <Lines>98</Lines>
  <Paragraphs>23</Paragraphs>
  <ScaleCrop>false</ScaleCrop>
  <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2025-12-19T07:25:00Z</dcterms:created>
  <dcterms:modified xsi:type="dcterms:W3CDTF">2025-12-19T07:26:00Z</dcterms:modified>
</cp:coreProperties>
</file>