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55B93" w14:textId="4763A674" w:rsidR="00BA7AD3" w:rsidRPr="00BA7AD3" w:rsidRDefault="00BA7AD3" w:rsidP="00BA7AD3">
      <w:pPr>
        <w:ind w:left="720" w:hanging="360"/>
        <w:rPr>
          <w:rFonts w:ascii="Times New Roman" w:hAnsi="Times New Roman" w:cs="Times New Roman"/>
          <w:b/>
          <w:bCs/>
        </w:rPr>
      </w:pPr>
      <w:r w:rsidRPr="00BA7AD3">
        <w:rPr>
          <w:rFonts w:ascii="Times New Roman" w:hAnsi="Times New Roman" w:cs="Times New Roman"/>
          <w:b/>
          <w:bCs/>
        </w:rPr>
        <w:t xml:space="preserve">Highlight </w:t>
      </w:r>
    </w:p>
    <w:p w14:paraId="11965F81" w14:textId="7FC0B02B" w:rsidR="00BA7AD3" w:rsidRPr="00BA7AD3" w:rsidRDefault="00BA7AD3" w:rsidP="00BA7AD3">
      <w:pPr>
        <w:pStyle w:val="NormalWeb"/>
        <w:numPr>
          <w:ilvl w:val="0"/>
          <w:numId w:val="1"/>
        </w:numPr>
      </w:pPr>
      <w:r w:rsidRPr="00BA7AD3">
        <w:rPr>
          <w:rStyle w:val="Strong"/>
          <w:rFonts w:eastAsiaTheme="majorEastAsia"/>
          <w:b w:val="0"/>
          <w:bCs w:val="0"/>
        </w:rPr>
        <w:t>AD and pyrolysis altered nutrient composition differently</w:t>
      </w:r>
      <w:r>
        <w:t>: AD increased pH, Ca, and Mg, while pyrolysis strongly enriched P, K, Ca, and Mg</w:t>
      </w:r>
      <w:r w:rsidRPr="00BA7AD3">
        <w:t>.</w:t>
      </w:r>
    </w:p>
    <w:p w14:paraId="50DA97A0" w14:textId="49BC46F3" w:rsidR="00BA7AD3" w:rsidRPr="00BA7AD3" w:rsidRDefault="00BA7AD3" w:rsidP="00BA7AD3">
      <w:pPr>
        <w:pStyle w:val="NormalWeb"/>
        <w:numPr>
          <w:ilvl w:val="0"/>
          <w:numId w:val="1"/>
        </w:numPr>
      </w:pPr>
      <w:r w:rsidRPr="00BA7AD3">
        <w:rPr>
          <w:rStyle w:val="Strong"/>
          <w:rFonts w:eastAsiaTheme="majorEastAsia"/>
          <w:b w:val="0"/>
          <w:bCs w:val="0"/>
        </w:rPr>
        <w:t>Pyrolysis concentrated heavy metals</w:t>
      </w:r>
      <w:r w:rsidRPr="00BA7AD3">
        <w:t xml:space="preserve">, with </w:t>
      </w:r>
      <w:r w:rsidRPr="00BA7AD3">
        <w:rPr>
          <w:rStyle w:val="Strong"/>
          <w:rFonts w:eastAsiaTheme="majorEastAsia"/>
          <w:b w:val="0"/>
          <w:bCs w:val="0"/>
        </w:rPr>
        <w:t>Zn and Cu</w:t>
      </w:r>
      <w:r w:rsidRPr="00BA7AD3">
        <w:t xml:space="preserve"> emerging as the main constraints for </w:t>
      </w:r>
      <w:r w:rsidR="00C21F45">
        <w:t>fertilizer</w:t>
      </w:r>
      <w:r w:rsidRPr="00BA7AD3">
        <w:t xml:space="preserve"> eligibility under Norway’s 2025 regulation.</w:t>
      </w:r>
    </w:p>
    <w:p w14:paraId="6CF7C511" w14:textId="2A6385EE" w:rsidR="00BA7AD3" w:rsidRPr="00BA7AD3" w:rsidRDefault="00BA7AD3" w:rsidP="00BA7AD3">
      <w:pPr>
        <w:pStyle w:val="NormalWeb"/>
        <w:numPr>
          <w:ilvl w:val="0"/>
          <w:numId w:val="1"/>
        </w:numPr>
      </w:pPr>
      <w:r w:rsidRPr="00BA7AD3">
        <w:rPr>
          <w:rStyle w:val="Strong"/>
          <w:rFonts w:eastAsiaTheme="majorEastAsia"/>
          <w:b w:val="0"/>
          <w:bCs w:val="0"/>
        </w:rPr>
        <w:t xml:space="preserve">Cd, Pb, Hg, and </w:t>
      </w:r>
      <w:proofErr w:type="gramStart"/>
      <w:r w:rsidRPr="00BA7AD3">
        <w:rPr>
          <w:rStyle w:val="Strong"/>
          <w:rFonts w:eastAsiaTheme="majorEastAsia"/>
          <w:b w:val="0"/>
          <w:bCs w:val="0"/>
        </w:rPr>
        <w:t>As</w:t>
      </w:r>
      <w:proofErr w:type="gramEnd"/>
      <w:r w:rsidRPr="00BA7AD3">
        <w:rPr>
          <w:rStyle w:val="Strong"/>
          <w:rFonts w:eastAsiaTheme="majorEastAsia"/>
          <w:b w:val="0"/>
          <w:bCs w:val="0"/>
        </w:rPr>
        <w:t xml:space="preserve"> remained below regulatory limits</w:t>
      </w:r>
      <w:r w:rsidRPr="00BA7AD3">
        <w:t xml:space="preserve"> across all feedstocks and pyrolysis temperatures.</w:t>
      </w:r>
    </w:p>
    <w:p w14:paraId="78500540" w14:textId="68F20D31" w:rsidR="00BA7AD3" w:rsidRPr="00BA7AD3" w:rsidRDefault="00BA7AD3" w:rsidP="00BA7AD3">
      <w:pPr>
        <w:pStyle w:val="NormalWeb"/>
        <w:numPr>
          <w:ilvl w:val="0"/>
          <w:numId w:val="1"/>
        </w:numPr>
      </w:pPr>
      <w:r w:rsidRPr="00BA7AD3">
        <w:rPr>
          <w:rStyle w:val="Strong"/>
          <w:rFonts w:eastAsiaTheme="majorEastAsia"/>
          <w:b w:val="0"/>
          <w:bCs w:val="0"/>
        </w:rPr>
        <w:t>Only digested manure biochar at 400 °C and one sludge type (CTRSS 400 °C)</w:t>
      </w:r>
      <w:r w:rsidRPr="00BA7AD3">
        <w:t xml:space="preserve"> met both phosphorus and heavy-metal requirements for use as </w:t>
      </w:r>
      <w:r w:rsidR="00C21F45">
        <w:t>fertilizer</w:t>
      </w:r>
      <w:r w:rsidRPr="00BA7AD3">
        <w:t>.</w:t>
      </w:r>
    </w:p>
    <w:p w14:paraId="4F78E5DF" w14:textId="77777777" w:rsidR="00BA7AD3" w:rsidRDefault="00BA7AD3"/>
    <w:sectPr w:rsidR="00BA7AD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07C6A"/>
    <w:multiLevelType w:val="hybridMultilevel"/>
    <w:tmpl w:val="6EA406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05027F"/>
    <w:multiLevelType w:val="hybridMultilevel"/>
    <w:tmpl w:val="7EA039A2"/>
    <w:lvl w:ilvl="0" w:tplc="DE40EBB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1624314">
    <w:abstractNumId w:val="0"/>
  </w:num>
  <w:num w:numId="2" w16cid:durableId="10295268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AD3"/>
    <w:rsid w:val="00133B6A"/>
    <w:rsid w:val="00BA7AD3"/>
    <w:rsid w:val="00C2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F71BE"/>
  <w15:chartTrackingRefBased/>
  <w15:docId w15:val="{24CF5DB1-BD1F-4760-AA6C-D792EA597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7A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7A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7A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7A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7A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7A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7A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7A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7A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7A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7A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7A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7A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7A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7A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7A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7A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7A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7A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7A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7A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7A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7A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7A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7A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7A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7A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7A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7AD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A7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BA7A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463</Characters>
  <Application>Microsoft Office Word</Application>
  <DocSecurity>0</DocSecurity>
  <Lines>3</Lines>
  <Paragraphs>1</Paragraphs>
  <ScaleCrop>false</ScaleCrop>
  <Company>NMBU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Merkeb Woldu Bezabeh</dc:creator>
  <cp:keywords/>
  <dc:description/>
  <cp:lastModifiedBy>Merkeb Woldu Bezabeh</cp:lastModifiedBy>
  <cp:revision>2</cp:revision>
  <dcterms:created xsi:type="dcterms:W3CDTF">2025-11-28T14:00:00Z</dcterms:created>
  <dcterms:modified xsi:type="dcterms:W3CDTF">2025-11-28T14:08:00Z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53f62615-cf8f-498d-803d-09f77afb31ad</vt:lpwstr>
  </property>
  <property fmtid="{D5CDD505-2E9C-101B-9397-08002B2CF9AE}" pid="3" name="MSIP_Label_d0484126-3486-41a9-802e-7f1e2277276c_Enabled">
    <vt:lpwstr>true</vt:lpwstr>
  </property>
  <property fmtid="{D5CDD505-2E9C-101B-9397-08002B2CF9AE}" pid="4" name="MSIP_Label_d0484126-3486-41a9-802e-7f1e2277276c_SetDate">
    <vt:lpwstr>2025-11-28T14:07:35Z</vt:lpwstr>
  </property>
  <property fmtid="{D5CDD505-2E9C-101B-9397-08002B2CF9AE}" pid="5" name="MSIP_Label_d0484126-3486-41a9-802e-7f1e2277276c_Method">
    <vt:lpwstr>Standard</vt:lpwstr>
  </property>
  <property fmtid="{D5CDD505-2E9C-101B-9397-08002B2CF9AE}" pid="6" name="MSIP_Label_d0484126-3486-41a9-802e-7f1e2277276c_Name">
    <vt:lpwstr>d0484126-3486-41a9-802e-7f1e2277276c</vt:lpwstr>
  </property>
  <property fmtid="{D5CDD505-2E9C-101B-9397-08002B2CF9AE}" pid="7" name="MSIP_Label_d0484126-3486-41a9-802e-7f1e2277276c_SiteId">
    <vt:lpwstr>eec01f8e-737f-43e3-9ed5-f8a59913bd82</vt:lpwstr>
  </property>
  <property fmtid="{D5CDD505-2E9C-101B-9397-08002B2CF9AE}" pid="8" name="MSIP_Label_d0484126-3486-41a9-802e-7f1e2277276c_ActionId">
    <vt:lpwstr>edf36793-b8c3-4fef-89f1-ded89a01ea5d</vt:lpwstr>
  </property>
  <property fmtid="{D5CDD505-2E9C-101B-9397-08002B2CF9AE}" pid="9" name="MSIP_Label_d0484126-3486-41a9-802e-7f1e2277276c_ContentBits">
    <vt:lpwstr>0</vt:lpwstr>
  </property>
  <property fmtid="{D5CDD505-2E9C-101B-9397-08002B2CF9AE}" pid="10" name="MSIP_Label_d0484126-3486-41a9-802e-7f1e2277276c_Tag">
    <vt:lpwstr>10, 3, 0, 1</vt:lpwstr>
  </property>
</Properties>
</file>