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5093" w14:textId="5CBC3DB0" w:rsidR="00785842" w:rsidRPr="00F704C7" w:rsidRDefault="004F4BCD" w:rsidP="00F704C7">
      <w:pPr>
        <w:pStyle w:val="Nadpis1"/>
      </w:pPr>
      <w:r w:rsidRPr="00F704C7">
        <w:t xml:space="preserve">Supplemental Material 1 – </w:t>
      </w:r>
      <w:r w:rsidR="00785842" w:rsidRPr="00F704C7">
        <w:t>Definition</w:t>
      </w:r>
      <w:r w:rsidRPr="00F704C7">
        <w:t>s of</w:t>
      </w:r>
      <w:r w:rsidR="00C0431B" w:rsidRPr="00F704C7">
        <w:t xml:space="preserve"> confirmed or suspected</w:t>
      </w:r>
      <w:r w:rsidRPr="00F704C7">
        <w:t xml:space="preserve"> infection and non-infection</w:t>
      </w:r>
    </w:p>
    <w:p w14:paraId="1EF2321B" w14:textId="753E0B02" w:rsidR="004719A8" w:rsidRPr="00F704C7" w:rsidRDefault="00785842" w:rsidP="00C46423">
      <w:pPr>
        <w:spacing w:line="480" w:lineRule="auto"/>
        <w:jc w:val="both"/>
        <w:rPr>
          <w:rFonts w:ascii="Times New Roman" w:hAnsi="Times New Roman" w:cs="Times New Roman"/>
          <w:sz w:val="20"/>
          <w:szCs w:val="20"/>
        </w:rPr>
      </w:pPr>
      <w:r w:rsidRPr="00F704C7">
        <w:rPr>
          <w:rFonts w:ascii="Times New Roman" w:hAnsi="Times New Roman" w:cs="Times New Roman"/>
          <w:sz w:val="20"/>
          <w:szCs w:val="20"/>
        </w:rPr>
        <w:t xml:space="preserve">A confirmed infection was defined as an infection with an identified causative pathogen. The study protocol did not include any predetermined microbial testing. The choice of when to perform the test and which tests to carry out was made by the treating physician. The following tests were considered diagnostic for bacterial infections: blood cultures or bacterial cultures from other sampling site (e.g. urine, sputum, skin, stool, effusions or other appropriate materials), broad-spectrum – Multiplex PCR (detecting </w:t>
      </w:r>
      <w:r w:rsidRPr="00F704C7">
        <w:rPr>
          <w:rFonts w:ascii="Times New Roman" w:hAnsi="Times New Roman" w:cs="Times New Roman"/>
          <w:i/>
          <w:iCs/>
          <w:sz w:val="20"/>
          <w:szCs w:val="20"/>
        </w:rPr>
        <w:t xml:space="preserve">Influenza A, Influenza B, Respiratory syncitial virus, Adenovirus, Bocavirus, Rhinovirus, Enterovirus </w:t>
      </w:r>
      <w:r w:rsidRPr="00F704C7">
        <w:rPr>
          <w:rFonts w:ascii="Times New Roman" w:hAnsi="Times New Roman" w:cs="Times New Roman"/>
          <w:sz w:val="20"/>
          <w:szCs w:val="20"/>
        </w:rPr>
        <w:t xml:space="preserve">and </w:t>
      </w:r>
      <w:r w:rsidRPr="00F704C7">
        <w:rPr>
          <w:rFonts w:ascii="Times New Roman" w:hAnsi="Times New Roman" w:cs="Times New Roman"/>
          <w:i/>
          <w:iCs/>
          <w:sz w:val="20"/>
          <w:szCs w:val="20"/>
        </w:rPr>
        <w:t>Parainfluenza virus</w:t>
      </w:r>
      <w:r w:rsidRPr="00F704C7">
        <w:rPr>
          <w:rFonts w:ascii="Times New Roman" w:hAnsi="Times New Roman" w:cs="Times New Roman"/>
          <w:sz w:val="20"/>
          <w:szCs w:val="20"/>
        </w:rPr>
        <w:t xml:space="preserve">) or BioFire Pneumonia plus PCR detecting (detecting </w:t>
      </w:r>
      <w:r w:rsidRPr="00F704C7">
        <w:rPr>
          <w:rFonts w:ascii="Times New Roman" w:hAnsi="Times New Roman" w:cs="Times New Roman"/>
          <w:i/>
          <w:iCs/>
          <w:sz w:val="20"/>
          <w:szCs w:val="20"/>
        </w:rPr>
        <w:t xml:space="preserve">A. baumanii complex, E. cloacae, E. coli, H. inlfuenzae, Klebsiella spp., M. catarrhalis, Proteus spp., P. aeruginosa, S. aureus, Adenovirus, Coronavirus, Human metapneumovirus, Rhinovirus, Enterovirus, Influenza A, Influenza B, SARS-CoV-2 virus, Parainfluenza virus </w:t>
      </w:r>
      <w:r w:rsidRPr="00F704C7">
        <w:rPr>
          <w:rFonts w:ascii="Times New Roman" w:hAnsi="Times New Roman" w:cs="Times New Roman"/>
          <w:sz w:val="20"/>
          <w:szCs w:val="20"/>
        </w:rPr>
        <w:t xml:space="preserve">and </w:t>
      </w:r>
      <w:r w:rsidRPr="00F704C7">
        <w:rPr>
          <w:rFonts w:ascii="Times New Roman" w:hAnsi="Times New Roman" w:cs="Times New Roman"/>
          <w:i/>
          <w:iCs/>
          <w:sz w:val="20"/>
          <w:szCs w:val="20"/>
        </w:rPr>
        <w:t>Respiratory syncitial virus</w:t>
      </w:r>
      <w:r w:rsidRPr="00F704C7">
        <w:rPr>
          <w:rFonts w:ascii="Times New Roman" w:hAnsi="Times New Roman" w:cs="Times New Roman"/>
          <w:sz w:val="20"/>
          <w:szCs w:val="20"/>
        </w:rPr>
        <w:t xml:space="preserve">) or pathogen-specific polymerase chain-reaction (PCR), antigen determination for </w:t>
      </w:r>
      <w:r w:rsidRPr="00F704C7">
        <w:rPr>
          <w:rFonts w:ascii="Times New Roman" w:hAnsi="Times New Roman" w:cs="Times New Roman"/>
          <w:i/>
          <w:iCs/>
          <w:sz w:val="20"/>
          <w:szCs w:val="20"/>
        </w:rPr>
        <w:t xml:space="preserve">Clostridium difficile </w:t>
      </w:r>
      <w:r w:rsidRPr="00F704C7">
        <w:rPr>
          <w:rFonts w:ascii="Times New Roman" w:hAnsi="Times New Roman" w:cs="Times New Roman"/>
          <w:sz w:val="20"/>
          <w:szCs w:val="20"/>
        </w:rPr>
        <w:t xml:space="preserve">toxin and urine antigen testing for </w:t>
      </w:r>
      <w:r w:rsidRPr="00F704C7">
        <w:rPr>
          <w:rFonts w:ascii="Times New Roman" w:hAnsi="Times New Roman" w:cs="Times New Roman"/>
          <w:i/>
          <w:iCs/>
          <w:sz w:val="20"/>
          <w:szCs w:val="20"/>
        </w:rPr>
        <w:t xml:space="preserve">Streptococcus pneumoniae </w:t>
      </w:r>
      <w:r w:rsidRPr="00F704C7">
        <w:rPr>
          <w:rFonts w:ascii="Times New Roman" w:hAnsi="Times New Roman" w:cs="Times New Roman"/>
          <w:sz w:val="20"/>
          <w:szCs w:val="20"/>
        </w:rPr>
        <w:t xml:space="preserve">and </w:t>
      </w:r>
      <w:r w:rsidRPr="00F704C7">
        <w:rPr>
          <w:rFonts w:ascii="Times New Roman" w:hAnsi="Times New Roman" w:cs="Times New Roman"/>
          <w:i/>
          <w:iCs/>
          <w:sz w:val="20"/>
          <w:szCs w:val="20"/>
        </w:rPr>
        <w:t>Legionella pneumophila</w:t>
      </w:r>
      <w:r w:rsidRPr="00F704C7">
        <w:rPr>
          <w:rFonts w:ascii="Times New Roman" w:hAnsi="Times New Roman" w:cs="Times New Roman"/>
          <w:sz w:val="20"/>
          <w:szCs w:val="20"/>
        </w:rPr>
        <w:t>. A positive serology result accompanied by relevant clinical symptoms was also considered a confirmed case of atypical pneumonia. PCR testing (either broad-spectrum or pathogen-specific) was primarily used for the purpose of diagnosing viral infections. A positive antigen test result for either COVID-19, influenza A or B, or respiratory syncytial virus was considered diagnostic only if appropriate clinical findings were also present. If no pathogens were detected, a clinical diagnosis of infection was based on the patient's medical history, clinical findings and the results of common laboratory tests and imaging scans (such as C-reactive protein, procalcitonin, blood cell count and urinary sediment analysis, as well as chest X-rays and computed tomography scans). The definitive distinction between clinically diagnosed viral and bacterial infections was made by evaluating the clinical course of the disease, the potential need for subsequent antibiotic prescription, and the dynamics of inflammatory markers. Patients who were suspected of having an infection on admission, but were found not to have one during their hospitalisation, were classified as non-infectious.</w:t>
      </w:r>
    </w:p>
    <w:p w14:paraId="6B20CE82" w14:textId="77777777" w:rsidR="003F23B7" w:rsidRPr="00F704C7" w:rsidRDefault="003F23B7">
      <w:pPr>
        <w:rPr>
          <w:rFonts w:ascii="Times New Roman" w:hAnsi="Times New Roman" w:cs="Times New Roman"/>
          <w:b/>
          <w:bCs/>
        </w:rPr>
      </w:pPr>
      <w:r w:rsidRPr="00F704C7">
        <w:rPr>
          <w:rFonts w:ascii="Times New Roman" w:hAnsi="Times New Roman" w:cs="Times New Roman"/>
          <w:b/>
          <w:bCs/>
        </w:rPr>
        <w:br w:type="page"/>
      </w:r>
    </w:p>
    <w:p w14:paraId="31C92ED5" w14:textId="41BE30D0" w:rsidR="00AF6833" w:rsidRPr="00F704C7" w:rsidRDefault="00AF6833" w:rsidP="0006422C">
      <w:pPr>
        <w:spacing w:after="0" w:line="240" w:lineRule="auto"/>
        <w:rPr>
          <w:rFonts w:ascii="Times New Roman" w:hAnsi="Times New Roman" w:cs="Times New Roman"/>
          <w:i/>
          <w:iCs/>
        </w:rPr>
        <w:sectPr w:rsidR="00AF6833" w:rsidRPr="00F704C7">
          <w:pgSz w:w="11906" w:h="16838"/>
          <w:pgMar w:top="1417" w:right="1417" w:bottom="1417" w:left="1417" w:header="708" w:footer="708" w:gutter="0"/>
          <w:cols w:space="708"/>
          <w:docGrid w:linePitch="360"/>
        </w:sectPr>
      </w:pPr>
    </w:p>
    <w:tbl>
      <w:tblPr>
        <w:tblStyle w:val="Mkatabulky"/>
        <w:tblpPr w:leftFromText="180" w:rightFromText="180" w:tblpY="630"/>
        <w:tblW w:w="0" w:type="auto"/>
        <w:tblLook w:val="04A0" w:firstRow="1" w:lastRow="0" w:firstColumn="1" w:lastColumn="0" w:noHBand="0" w:noVBand="1"/>
      </w:tblPr>
      <w:tblGrid>
        <w:gridCol w:w="2407"/>
        <w:gridCol w:w="1417"/>
        <w:gridCol w:w="1528"/>
        <w:gridCol w:w="1811"/>
        <w:gridCol w:w="1815"/>
        <w:gridCol w:w="1850"/>
        <w:gridCol w:w="1583"/>
        <w:gridCol w:w="1583"/>
      </w:tblGrid>
      <w:tr w:rsidR="00401882" w:rsidRPr="00F704C7" w14:paraId="3CAB2406" w14:textId="77777777" w:rsidTr="00693ED8">
        <w:tc>
          <w:tcPr>
            <w:tcW w:w="3824" w:type="dxa"/>
            <w:gridSpan w:val="2"/>
            <w:vAlign w:val="center"/>
          </w:tcPr>
          <w:p w14:paraId="75A65AA4" w14:textId="77777777" w:rsidR="00401882" w:rsidRPr="00F704C7" w:rsidRDefault="00401882" w:rsidP="00AF6833">
            <w:pPr>
              <w:spacing w:line="360" w:lineRule="auto"/>
              <w:jc w:val="center"/>
              <w:rPr>
                <w:rFonts w:ascii="Times New Roman" w:hAnsi="Times New Roman" w:cs="Times New Roman"/>
                <w:b/>
                <w:bCs/>
                <w:color w:val="212121"/>
                <w:sz w:val="18"/>
                <w:szCs w:val="18"/>
                <w:shd w:val="clear" w:color="auto" w:fill="FFFFFF"/>
              </w:rPr>
            </w:pPr>
          </w:p>
        </w:tc>
        <w:tc>
          <w:tcPr>
            <w:tcW w:w="3339" w:type="dxa"/>
            <w:gridSpan w:val="2"/>
            <w:vAlign w:val="center"/>
          </w:tcPr>
          <w:p w14:paraId="624D146B" w14:textId="0C88623A" w:rsidR="00401882" w:rsidRPr="00F704C7" w:rsidRDefault="00401882" w:rsidP="00AF6833">
            <w:pPr>
              <w:spacing w:line="360" w:lineRule="auto"/>
              <w:jc w:val="center"/>
              <w:rPr>
                <w:rFonts w:ascii="Times New Roman" w:hAnsi="Times New Roman" w:cs="Times New Roman"/>
                <w:b/>
                <w:bCs/>
                <w:color w:val="212121"/>
                <w:sz w:val="18"/>
                <w:szCs w:val="18"/>
                <w:shd w:val="clear" w:color="auto" w:fill="FFFFFF"/>
              </w:rPr>
            </w:pPr>
            <w:r>
              <w:rPr>
                <w:rFonts w:ascii="Times New Roman" w:hAnsi="Times New Roman" w:cs="Times New Roman"/>
                <w:b/>
                <w:bCs/>
                <w:color w:val="212121"/>
                <w:sz w:val="18"/>
                <w:szCs w:val="18"/>
                <w:shd w:val="clear" w:color="auto" w:fill="FFFFFF"/>
              </w:rPr>
              <w:t>bacterial infection</w:t>
            </w:r>
          </w:p>
        </w:tc>
        <w:tc>
          <w:tcPr>
            <w:tcW w:w="3665" w:type="dxa"/>
            <w:gridSpan w:val="2"/>
            <w:vAlign w:val="center"/>
          </w:tcPr>
          <w:p w14:paraId="429A2D59" w14:textId="1D56DF0A" w:rsidR="00401882" w:rsidRPr="00F704C7" w:rsidRDefault="00401882" w:rsidP="00AF6833">
            <w:pPr>
              <w:spacing w:line="360" w:lineRule="auto"/>
              <w:jc w:val="center"/>
              <w:rPr>
                <w:rFonts w:ascii="Times New Roman" w:hAnsi="Times New Roman" w:cs="Times New Roman"/>
                <w:b/>
                <w:bCs/>
                <w:color w:val="212121"/>
                <w:sz w:val="18"/>
                <w:szCs w:val="18"/>
                <w:shd w:val="clear" w:color="auto" w:fill="FFFFFF"/>
              </w:rPr>
            </w:pPr>
            <w:r>
              <w:rPr>
                <w:rFonts w:ascii="Times New Roman" w:hAnsi="Times New Roman" w:cs="Times New Roman"/>
                <w:b/>
                <w:bCs/>
                <w:color w:val="212121"/>
                <w:sz w:val="18"/>
                <w:szCs w:val="18"/>
                <w:shd w:val="clear" w:color="auto" w:fill="FFFFFF"/>
              </w:rPr>
              <w:t>viral infection</w:t>
            </w:r>
          </w:p>
        </w:tc>
        <w:tc>
          <w:tcPr>
            <w:tcW w:w="3166" w:type="dxa"/>
            <w:gridSpan w:val="2"/>
            <w:vAlign w:val="center"/>
          </w:tcPr>
          <w:p w14:paraId="062E637B" w14:textId="3DED1E66" w:rsidR="00401882" w:rsidRPr="00F704C7" w:rsidRDefault="00401882" w:rsidP="00AF6833">
            <w:pPr>
              <w:spacing w:line="360" w:lineRule="auto"/>
              <w:jc w:val="center"/>
              <w:rPr>
                <w:rFonts w:ascii="Times New Roman" w:hAnsi="Times New Roman" w:cs="Times New Roman"/>
                <w:b/>
                <w:bCs/>
                <w:color w:val="212121"/>
                <w:sz w:val="18"/>
                <w:szCs w:val="18"/>
                <w:shd w:val="clear" w:color="auto" w:fill="FFFFFF"/>
              </w:rPr>
            </w:pPr>
            <w:r>
              <w:rPr>
                <w:rFonts w:ascii="Times New Roman" w:hAnsi="Times New Roman" w:cs="Times New Roman"/>
                <w:b/>
                <w:bCs/>
                <w:color w:val="212121"/>
                <w:sz w:val="18"/>
                <w:szCs w:val="18"/>
                <w:shd w:val="clear" w:color="auto" w:fill="FFFFFF"/>
              </w:rPr>
              <w:t>co-infection</w:t>
            </w:r>
          </w:p>
        </w:tc>
      </w:tr>
      <w:tr w:rsidR="00AF6833" w:rsidRPr="00F704C7" w14:paraId="634159F1" w14:textId="77777777" w:rsidTr="00AF6833">
        <w:tc>
          <w:tcPr>
            <w:tcW w:w="2407" w:type="dxa"/>
            <w:vAlign w:val="center"/>
          </w:tcPr>
          <w:p w14:paraId="2AF8E157" w14:textId="77777777" w:rsidR="00AF6833" w:rsidRPr="00F704C7" w:rsidRDefault="00AF6833" w:rsidP="00AF6833">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Subtype of infection</w:t>
            </w:r>
          </w:p>
        </w:tc>
        <w:tc>
          <w:tcPr>
            <w:tcW w:w="1417" w:type="dxa"/>
            <w:vAlign w:val="center"/>
          </w:tcPr>
          <w:p w14:paraId="28E98912" w14:textId="77777777" w:rsidR="00AF6833" w:rsidRPr="00F704C7" w:rsidRDefault="00AF6833" w:rsidP="00AF6833">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 xml:space="preserve">total number of infections </w:t>
            </w:r>
            <w:r w:rsidRPr="00F704C7">
              <w:rPr>
                <w:rFonts w:ascii="Times New Roman" w:hAnsi="Times New Roman" w:cs="Times New Roman"/>
                <w:color w:val="212121"/>
                <w:sz w:val="18"/>
                <w:szCs w:val="18"/>
                <w:shd w:val="clear" w:color="auto" w:fill="FFFFFF"/>
              </w:rPr>
              <w:t>(%)</w:t>
            </w:r>
          </w:p>
        </w:tc>
        <w:tc>
          <w:tcPr>
            <w:tcW w:w="1528" w:type="dxa"/>
            <w:vAlign w:val="center"/>
          </w:tcPr>
          <w:p w14:paraId="79F4A27E" w14:textId="695F0EB0" w:rsidR="00AF6833" w:rsidRPr="00401882" w:rsidRDefault="00401882" w:rsidP="00AF6833">
            <w:pPr>
              <w:spacing w:line="360" w:lineRule="auto"/>
              <w:jc w:val="center"/>
              <w:rPr>
                <w:rFonts w:ascii="Times New Roman" w:hAnsi="Times New Roman" w:cs="Times New Roman"/>
                <w:color w:val="212121"/>
                <w:sz w:val="18"/>
                <w:szCs w:val="18"/>
                <w:shd w:val="clear" w:color="auto" w:fill="FFFFFF"/>
              </w:rPr>
            </w:pPr>
            <w:r w:rsidRPr="00401882">
              <w:rPr>
                <w:rFonts w:ascii="Times New Roman" w:hAnsi="Times New Roman" w:cs="Times New Roman"/>
                <w:color w:val="212121"/>
                <w:sz w:val="18"/>
                <w:szCs w:val="18"/>
                <w:shd w:val="clear" w:color="auto" w:fill="FFFFFF"/>
              </w:rPr>
              <w:t>clinically diagnosed</w:t>
            </w:r>
          </w:p>
          <w:p w14:paraId="390AAE90" w14:textId="77777777" w:rsidR="00AF6833" w:rsidRPr="00F704C7" w:rsidRDefault="00AF6833" w:rsidP="00AF6833">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n=169</w:t>
            </w:r>
          </w:p>
        </w:tc>
        <w:tc>
          <w:tcPr>
            <w:tcW w:w="1811" w:type="dxa"/>
            <w:vAlign w:val="center"/>
          </w:tcPr>
          <w:p w14:paraId="1253ABBD" w14:textId="2930F06D"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confirmed</w:t>
            </w:r>
          </w:p>
          <w:p w14:paraId="2EF02330" w14:textId="77777777" w:rsidR="00AF6833" w:rsidRPr="00F704C7" w:rsidRDefault="00AF6833" w:rsidP="00AF6833">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n=320</w:t>
            </w:r>
          </w:p>
        </w:tc>
        <w:tc>
          <w:tcPr>
            <w:tcW w:w="1815" w:type="dxa"/>
            <w:vAlign w:val="center"/>
          </w:tcPr>
          <w:p w14:paraId="2CC2CB33" w14:textId="6E7C351F"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clinically diagnosed</w:t>
            </w:r>
          </w:p>
          <w:p w14:paraId="47FA2803" w14:textId="77777777" w:rsidR="00AF6833" w:rsidRPr="00F704C7" w:rsidRDefault="00AF6833" w:rsidP="00AF6833">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n=59</w:t>
            </w:r>
          </w:p>
        </w:tc>
        <w:tc>
          <w:tcPr>
            <w:tcW w:w="1850" w:type="dxa"/>
            <w:vAlign w:val="center"/>
          </w:tcPr>
          <w:p w14:paraId="735B3ED6" w14:textId="28536CD1"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confirmed</w:t>
            </w:r>
          </w:p>
          <w:p w14:paraId="0E8694A7" w14:textId="77777777" w:rsidR="00AF6833" w:rsidRPr="00F704C7" w:rsidRDefault="00AF6833" w:rsidP="00AF6833">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n=81</w:t>
            </w:r>
          </w:p>
        </w:tc>
        <w:tc>
          <w:tcPr>
            <w:tcW w:w="1583" w:type="dxa"/>
            <w:vAlign w:val="center"/>
          </w:tcPr>
          <w:p w14:paraId="77EDD8A8" w14:textId="77777777" w:rsidR="00401882" w:rsidRPr="00F704C7" w:rsidRDefault="00401882" w:rsidP="00401882">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clinically diagnosed</w:t>
            </w:r>
          </w:p>
          <w:p w14:paraId="3721E44C" w14:textId="77777777" w:rsidR="00AF6833" w:rsidRPr="00F704C7" w:rsidRDefault="00AF6833" w:rsidP="00AF6833">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n=26</w:t>
            </w:r>
          </w:p>
        </w:tc>
        <w:tc>
          <w:tcPr>
            <w:tcW w:w="1583" w:type="dxa"/>
            <w:vAlign w:val="center"/>
          </w:tcPr>
          <w:p w14:paraId="7515AF87" w14:textId="16E6B690" w:rsidR="00AF6833" w:rsidRPr="00F704C7" w:rsidRDefault="00401882" w:rsidP="00AF6833">
            <w:pPr>
              <w:spacing w:line="360" w:lineRule="auto"/>
              <w:jc w:val="center"/>
              <w:rPr>
                <w:rFonts w:ascii="Times New Roman" w:hAnsi="Times New Roman" w:cs="Times New Roman"/>
                <w:color w:val="212121"/>
                <w:sz w:val="18"/>
                <w:szCs w:val="18"/>
                <w:shd w:val="clear" w:color="auto" w:fill="FFFFFF"/>
              </w:rPr>
            </w:pPr>
            <w:r>
              <w:rPr>
                <w:rFonts w:ascii="Times New Roman" w:hAnsi="Times New Roman" w:cs="Times New Roman"/>
                <w:color w:val="212121"/>
                <w:sz w:val="18"/>
                <w:szCs w:val="18"/>
                <w:shd w:val="clear" w:color="auto" w:fill="FFFFFF"/>
              </w:rPr>
              <w:t>confirmed</w:t>
            </w:r>
          </w:p>
          <w:p w14:paraId="5BFBBAFD" w14:textId="77777777" w:rsidR="00AF6833" w:rsidRPr="00F704C7" w:rsidRDefault="00AF6833" w:rsidP="00AF6833">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n=22</w:t>
            </w:r>
          </w:p>
        </w:tc>
      </w:tr>
      <w:tr w:rsidR="00AF6833" w:rsidRPr="00F704C7" w14:paraId="0DE24E33" w14:textId="77777777" w:rsidTr="00AF6833">
        <w:tc>
          <w:tcPr>
            <w:tcW w:w="2407" w:type="dxa"/>
            <w:vAlign w:val="center"/>
          </w:tcPr>
          <w:p w14:paraId="5D24712E"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Upper respiratory tract infections</w:t>
            </w:r>
          </w:p>
        </w:tc>
        <w:tc>
          <w:tcPr>
            <w:tcW w:w="1417" w:type="dxa"/>
            <w:vAlign w:val="center"/>
          </w:tcPr>
          <w:p w14:paraId="5A16CA80"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27 (4)</w:t>
            </w:r>
          </w:p>
        </w:tc>
        <w:tc>
          <w:tcPr>
            <w:tcW w:w="1528" w:type="dxa"/>
            <w:vAlign w:val="center"/>
          </w:tcPr>
          <w:p w14:paraId="376373B5"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811" w:type="dxa"/>
            <w:vAlign w:val="center"/>
          </w:tcPr>
          <w:p w14:paraId="7D5AAD1C"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815" w:type="dxa"/>
            <w:vAlign w:val="center"/>
          </w:tcPr>
          <w:p w14:paraId="1AAFFA85"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19</w:t>
            </w:r>
          </w:p>
        </w:tc>
        <w:tc>
          <w:tcPr>
            <w:tcW w:w="1850" w:type="dxa"/>
            <w:vAlign w:val="center"/>
          </w:tcPr>
          <w:p w14:paraId="6C2A70CB"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w:t>
            </w:r>
          </w:p>
        </w:tc>
        <w:tc>
          <w:tcPr>
            <w:tcW w:w="1583" w:type="dxa"/>
            <w:vAlign w:val="center"/>
          </w:tcPr>
          <w:p w14:paraId="33360998"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6</w:t>
            </w:r>
          </w:p>
        </w:tc>
        <w:tc>
          <w:tcPr>
            <w:tcW w:w="1583" w:type="dxa"/>
            <w:vAlign w:val="center"/>
          </w:tcPr>
          <w:p w14:paraId="3B1ACAC9"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r>
      <w:tr w:rsidR="00AF6833" w:rsidRPr="00F704C7" w14:paraId="4533047E" w14:textId="77777777" w:rsidTr="00AF6833">
        <w:tc>
          <w:tcPr>
            <w:tcW w:w="2407" w:type="dxa"/>
            <w:vAlign w:val="center"/>
          </w:tcPr>
          <w:p w14:paraId="3DDEB173"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Lower respiratory tract infections</w:t>
            </w:r>
          </w:p>
        </w:tc>
        <w:tc>
          <w:tcPr>
            <w:tcW w:w="1417" w:type="dxa"/>
            <w:vAlign w:val="center"/>
          </w:tcPr>
          <w:p w14:paraId="234A6817"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273 (39)</w:t>
            </w:r>
          </w:p>
        </w:tc>
        <w:tc>
          <w:tcPr>
            <w:tcW w:w="1528" w:type="dxa"/>
            <w:vAlign w:val="center"/>
          </w:tcPr>
          <w:p w14:paraId="7887EFA0"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76</w:t>
            </w:r>
          </w:p>
        </w:tc>
        <w:tc>
          <w:tcPr>
            <w:tcW w:w="1811" w:type="dxa"/>
            <w:vAlign w:val="center"/>
          </w:tcPr>
          <w:p w14:paraId="1200D2F3"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61</w:t>
            </w:r>
          </w:p>
        </w:tc>
        <w:tc>
          <w:tcPr>
            <w:tcW w:w="1815" w:type="dxa"/>
            <w:vAlign w:val="center"/>
          </w:tcPr>
          <w:p w14:paraId="44A977A3"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23</w:t>
            </w:r>
          </w:p>
        </w:tc>
        <w:tc>
          <w:tcPr>
            <w:tcW w:w="1850" w:type="dxa"/>
            <w:vAlign w:val="center"/>
          </w:tcPr>
          <w:p w14:paraId="345F8D5E"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72</w:t>
            </w:r>
          </w:p>
        </w:tc>
        <w:tc>
          <w:tcPr>
            <w:tcW w:w="1583" w:type="dxa"/>
            <w:vAlign w:val="center"/>
          </w:tcPr>
          <w:p w14:paraId="50BF313B"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20</w:t>
            </w:r>
          </w:p>
        </w:tc>
        <w:tc>
          <w:tcPr>
            <w:tcW w:w="1583" w:type="dxa"/>
            <w:vAlign w:val="center"/>
          </w:tcPr>
          <w:p w14:paraId="51D0755B"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21</w:t>
            </w:r>
          </w:p>
        </w:tc>
      </w:tr>
      <w:tr w:rsidR="00AF6833" w:rsidRPr="00F704C7" w14:paraId="1DB527D2" w14:textId="77777777" w:rsidTr="00AF6833">
        <w:tc>
          <w:tcPr>
            <w:tcW w:w="2407" w:type="dxa"/>
            <w:vAlign w:val="center"/>
          </w:tcPr>
          <w:p w14:paraId="514026D8"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Urinary tract infections</w:t>
            </w:r>
          </w:p>
        </w:tc>
        <w:tc>
          <w:tcPr>
            <w:tcW w:w="1417" w:type="dxa"/>
            <w:vAlign w:val="center"/>
          </w:tcPr>
          <w:p w14:paraId="251F1AD7"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169 (24)</w:t>
            </w:r>
          </w:p>
        </w:tc>
        <w:tc>
          <w:tcPr>
            <w:tcW w:w="1528" w:type="dxa"/>
            <w:vAlign w:val="center"/>
          </w:tcPr>
          <w:p w14:paraId="355572F0"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23</w:t>
            </w:r>
          </w:p>
        </w:tc>
        <w:tc>
          <w:tcPr>
            <w:tcW w:w="1811" w:type="dxa"/>
            <w:vAlign w:val="center"/>
          </w:tcPr>
          <w:p w14:paraId="2A2729F2"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140</w:t>
            </w:r>
          </w:p>
        </w:tc>
        <w:tc>
          <w:tcPr>
            <w:tcW w:w="1815" w:type="dxa"/>
            <w:vAlign w:val="center"/>
          </w:tcPr>
          <w:p w14:paraId="3B80EAB4"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850" w:type="dxa"/>
            <w:vAlign w:val="center"/>
          </w:tcPr>
          <w:p w14:paraId="5BB8C14C"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583" w:type="dxa"/>
            <w:vAlign w:val="center"/>
          </w:tcPr>
          <w:p w14:paraId="59DC6C81"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w:t>
            </w:r>
          </w:p>
        </w:tc>
        <w:tc>
          <w:tcPr>
            <w:tcW w:w="1583" w:type="dxa"/>
            <w:vAlign w:val="center"/>
          </w:tcPr>
          <w:p w14:paraId="783B8047"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4</w:t>
            </w:r>
          </w:p>
        </w:tc>
      </w:tr>
      <w:tr w:rsidR="00AF6833" w:rsidRPr="00F704C7" w14:paraId="2319D48A" w14:textId="77777777" w:rsidTr="00AF6833">
        <w:tc>
          <w:tcPr>
            <w:tcW w:w="2407" w:type="dxa"/>
            <w:vAlign w:val="center"/>
          </w:tcPr>
          <w:p w14:paraId="49C558DD"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Gastrointestinal tract infections</w:t>
            </w:r>
          </w:p>
        </w:tc>
        <w:tc>
          <w:tcPr>
            <w:tcW w:w="1417" w:type="dxa"/>
            <w:vAlign w:val="center"/>
          </w:tcPr>
          <w:p w14:paraId="32EEEB41"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28 (4)</w:t>
            </w:r>
          </w:p>
        </w:tc>
        <w:tc>
          <w:tcPr>
            <w:tcW w:w="1528" w:type="dxa"/>
            <w:vAlign w:val="center"/>
          </w:tcPr>
          <w:p w14:paraId="12C3F5B5"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3</w:t>
            </w:r>
          </w:p>
        </w:tc>
        <w:tc>
          <w:tcPr>
            <w:tcW w:w="1811" w:type="dxa"/>
            <w:vAlign w:val="center"/>
          </w:tcPr>
          <w:p w14:paraId="02B5D31C"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11</w:t>
            </w:r>
          </w:p>
        </w:tc>
        <w:tc>
          <w:tcPr>
            <w:tcW w:w="1815" w:type="dxa"/>
            <w:vAlign w:val="center"/>
          </w:tcPr>
          <w:p w14:paraId="14708F0C"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12</w:t>
            </w:r>
          </w:p>
        </w:tc>
        <w:tc>
          <w:tcPr>
            <w:tcW w:w="1850" w:type="dxa"/>
            <w:vAlign w:val="center"/>
          </w:tcPr>
          <w:p w14:paraId="3D2C89D7"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w:t>
            </w:r>
          </w:p>
        </w:tc>
        <w:tc>
          <w:tcPr>
            <w:tcW w:w="1583" w:type="dxa"/>
            <w:vAlign w:val="center"/>
          </w:tcPr>
          <w:p w14:paraId="70B0DCB6"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583" w:type="dxa"/>
            <w:vAlign w:val="center"/>
          </w:tcPr>
          <w:p w14:paraId="4C1029A1"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r>
      <w:tr w:rsidR="00AF6833" w:rsidRPr="00F704C7" w14:paraId="54EBDCA3" w14:textId="77777777" w:rsidTr="00AF6833">
        <w:tc>
          <w:tcPr>
            <w:tcW w:w="2407" w:type="dxa"/>
            <w:vAlign w:val="center"/>
          </w:tcPr>
          <w:p w14:paraId="30FB7DD0"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Biliary tract infections</w:t>
            </w:r>
          </w:p>
        </w:tc>
        <w:tc>
          <w:tcPr>
            <w:tcW w:w="1417" w:type="dxa"/>
            <w:vAlign w:val="center"/>
          </w:tcPr>
          <w:p w14:paraId="3B165992"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33 (5)</w:t>
            </w:r>
          </w:p>
        </w:tc>
        <w:tc>
          <w:tcPr>
            <w:tcW w:w="1528" w:type="dxa"/>
            <w:vAlign w:val="center"/>
          </w:tcPr>
          <w:p w14:paraId="63771B0A"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14</w:t>
            </w:r>
          </w:p>
        </w:tc>
        <w:tc>
          <w:tcPr>
            <w:tcW w:w="1811" w:type="dxa"/>
            <w:vAlign w:val="center"/>
          </w:tcPr>
          <w:p w14:paraId="6B554923"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19</w:t>
            </w:r>
          </w:p>
        </w:tc>
        <w:tc>
          <w:tcPr>
            <w:tcW w:w="1815" w:type="dxa"/>
            <w:vAlign w:val="center"/>
          </w:tcPr>
          <w:p w14:paraId="41E3C33E"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850" w:type="dxa"/>
            <w:vAlign w:val="center"/>
          </w:tcPr>
          <w:p w14:paraId="59C6015B"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583" w:type="dxa"/>
            <w:vAlign w:val="center"/>
          </w:tcPr>
          <w:p w14:paraId="1C2EE61D"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583" w:type="dxa"/>
            <w:vAlign w:val="center"/>
          </w:tcPr>
          <w:p w14:paraId="4E3EA925"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r>
      <w:tr w:rsidR="00AF6833" w:rsidRPr="00F704C7" w14:paraId="2AFE24E5" w14:textId="77777777" w:rsidTr="00AF6833">
        <w:tc>
          <w:tcPr>
            <w:tcW w:w="2407" w:type="dxa"/>
            <w:vAlign w:val="center"/>
          </w:tcPr>
          <w:p w14:paraId="777C3E24"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Other intra-abdominal infections</w:t>
            </w:r>
          </w:p>
        </w:tc>
        <w:tc>
          <w:tcPr>
            <w:tcW w:w="1417" w:type="dxa"/>
            <w:vAlign w:val="center"/>
          </w:tcPr>
          <w:p w14:paraId="7468DE9D"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7 (1)</w:t>
            </w:r>
          </w:p>
        </w:tc>
        <w:tc>
          <w:tcPr>
            <w:tcW w:w="1528" w:type="dxa"/>
            <w:vAlign w:val="center"/>
          </w:tcPr>
          <w:p w14:paraId="763130D5"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w:t>
            </w:r>
          </w:p>
        </w:tc>
        <w:tc>
          <w:tcPr>
            <w:tcW w:w="1811" w:type="dxa"/>
            <w:vAlign w:val="center"/>
          </w:tcPr>
          <w:p w14:paraId="582B48B3"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5</w:t>
            </w:r>
          </w:p>
        </w:tc>
        <w:tc>
          <w:tcPr>
            <w:tcW w:w="1815" w:type="dxa"/>
            <w:vAlign w:val="center"/>
          </w:tcPr>
          <w:p w14:paraId="0F90D578"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850" w:type="dxa"/>
            <w:vAlign w:val="center"/>
          </w:tcPr>
          <w:p w14:paraId="425A1949"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w:t>
            </w:r>
          </w:p>
        </w:tc>
        <w:tc>
          <w:tcPr>
            <w:tcW w:w="1583" w:type="dxa"/>
            <w:vAlign w:val="center"/>
          </w:tcPr>
          <w:p w14:paraId="1588E44F"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583" w:type="dxa"/>
            <w:vAlign w:val="center"/>
          </w:tcPr>
          <w:p w14:paraId="3FAB558F"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r>
      <w:tr w:rsidR="00AF6833" w:rsidRPr="00F704C7" w14:paraId="190D66BF" w14:textId="77777777" w:rsidTr="00AF6833">
        <w:tc>
          <w:tcPr>
            <w:tcW w:w="2407" w:type="dxa"/>
            <w:vAlign w:val="center"/>
          </w:tcPr>
          <w:p w14:paraId="72DA25C7"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Central nervous system infections</w:t>
            </w:r>
          </w:p>
        </w:tc>
        <w:tc>
          <w:tcPr>
            <w:tcW w:w="1417" w:type="dxa"/>
            <w:vAlign w:val="center"/>
          </w:tcPr>
          <w:p w14:paraId="35E83329"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8 (1)</w:t>
            </w:r>
          </w:p>
        </w:tc>
        <w:tc>
          <w:tcPr>
            <w:tcW w:w="1528" w:type="dxa"/>
            <w:vAlign w:val="center"/>
          </w:tcPr>
          <w:p w14:paraId="27FF8D14"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811" w:type="dxa"/>
            <w:vAlign w:val="center"/>
          </w:tcPr>
          <w:p w14:paraId="11D4024C"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w:t>
            </w:r>
          </w:p>
        </w:tc>
        <w:tc>
          <w:tcPr>
            <w:tcW w:w="1815" w:type="dxa"/>
            <w:vAlign w:val="center"/>
          </w:tcPr>
          <w:p w14:paraId="0D68E2C6"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w:t>
            </w:r>
          </w:p>
        </w:tc>
        <w:tc>
          <w:tcPr>
            <w:tcW w:w="1850" w:type="dxa"/>
            <w:vAlign w:val="center"/>
          </w:tcPr>
          <w:p w14:paraId="0BD06C26"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4</w:t>
            </w:r>
          </w:p>
        </w:tc>
        <w:tc>
          <w:tcPr>
            <w:tcW w:w="1583" w:type="dxa"/>
            <w:vAlign w:val="center"/>
          </w:tcPr>
          <w:p w14:paraId="55D19358"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583" w:type="dxa"/>
            <w:vAlign w:val="center"/>
          </w:tcPr>
          <w:p w14:paraId="640E70E1"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r>
      <w:tr w:rsidR="00AF6833" w:rsidRPr="00F704C7" w14:paraId="36BF65D2" w14:textId="77777777" w:rsidTr="00AF6833">
        <w:tc>
          <w:tcPr>
            <w:tcW w:w="2407" w:type="dxa"/>
            <w:vAlign w:val="center"/>
          </w:tcPr>
          <w:p w14:paraId="322B5C4B"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Skin and soft tissue infections</w:t>
            </w:r>
          </w:p>
        </w:tc>
        <w:tc>
          <w:tcPr>
            <w:tcW w:w="1417" w:type="dxa"/>
            <w:vAlign w:val="center"/>
          </w:tcPr>
          <w:p w14:paraId="448077D9"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81 (12)</w:t>
            </w:r>
          </w:p>
        </w:tc>
        <w:tc>
          <w:tcPr>
            <w:tcW w:w="1528" w:type="dxa"/>
            <w:vAlign w:val="center"/>
          </w:tcPr>
          <w:p w14:paraId="0F828811"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25</w:t>
            </w:r>
          </w:p>
        </w:tc>
        <w:tc>
          <w:tcPr>
            <w:tcW w:w="1811" w:type="dxa"/>
            <w:vAlign w:val="center"/>
          </w:tcPr>
          <w:p w14:paraId="1DAAAB8D"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55</w:t>
            </w:r>
          </w:p>
        </w:tc>
        <w:tc>
          <w:tcPr>
            <w:tcW w:w="1815" w:type="dxa"/>
            <w:vAlign w:val="center"/>
          </w:tcPr>
          <w:p w14:paraId="3783FC9E"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850" w:type="dxa"/>
            <w:vAlign w:val="center"/>
          </w:tcPr>
          <w:p w14:paraId="5D7EFC4F"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583" w:type="dxa"/>
            <w:vAlign w:val="center"/>
          </w:tcPr>
          <w:p w14:paraId="6BA24467"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w:t>
            </w:r>
          </w:p>
        </w:tc>
        <w:tc>
          <w:tcPr>
            <w:tcW w:w="1583" w:type="dxa"/>
            <w:vAlign w:val="center"/>
          </w:tcPr>
          <w:p w14:paraId="4B271E3A"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r>
      <w:tr w:rsidR="00AF6833" w:rsidRPr="00F704C7" w14:paraId="49EC387D" w14:textId="77777777" w:rsidTr="00AF6833">
        <w:tc>
          <w:tcPr>
            <w:tcW w:w="2407" w:type="dxa"/>
            <w:vAlign w:val="center"/>
          </w:tcPr>
          <w:p w14:paraId="67B1FF74"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Bone and joint infections</w:t>
            </w:r>
          </w:p>
        </w:tc>
        <w:tc>
          <w:tcPr>
            <w:tcW w:w="1417" w:type="dxa"/>
            <w:vAlign w:val="center"/>
          </w:tcPr>
          <w:p w14:paraId="32A20100"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15 (2)</w:t>
            </w:r>
          </w:p>
        </w:tc>
        <w:tc>
          <w:tcPr>
            <w:tcW w:w="1528" w:type="dxa"/>
            <w:vAlign w:val="center"/>
          </w:tcPr>
          <w:p w14:paraId="0C0D1A25"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4</w:t>
            </w:r>
          </w:p>
        </w:tc>
        <w:tc>
          <w:tcPr>
            <w:tcW w:w="1811" w:type="dxa"/>
            <w:vAlign w:val="center"/>
          </w:tcPr>
          <w:p w14:paraId="6DB0B94F"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10</w:t>
            </w:r>
          </w:p>
        </w:tc>
        <w:tc>
          <w:tcPr>
            <w:tcW w:w="1815" w:type="dxa"/>
            <w:vAlign w:val="center"/>
          </w:tcPr>
          <w:p w14:paraId="2FC1EA8F"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850" w:type="dxa"/>
            <w:vAlign w:val="center"/>
          </w:tcPr>
          <w:p w14:paraId="3D50484A"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583" w:type="dxa"/>
            <w:vAlign w:val="center"/>
          </w:tcPr>
          <w:p w14:paraId="4BF21EA4"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w:t>
            </w:r>
          </w:p>
        </w:tc>
        <w:tc>
          <w:tcPr>
            <w:tcW w:w="1583" w:type="dxa"/>
            <w:vAlign w:val="center"/>
          </w:tcPr>
          <w:p w14:paraId="228E58AA"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r>
      <w:tr w:rsidR="00AF6833" w:rsidRPr="00F704C7" w14:paraId="3B541CCE" w14:textId="77777777" w:rsidTr="00AF6833">
        <w:tc>
          <w:tcPr>
            <w:tcW w:w="2407" w:type="dxa"/>
            <w:vAlign w:val="center"/>
          </w:tcPr>
          <w:p w14:paraId="063FFF3C"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Bloodstream infections</w:t>
            </w:r>
          </w:p>
        </w:tc>
        <w:tc>
          <w:tcPr>
            <w:tcW w:w="1417" w:type="dxa"/>
            <w:vAlign w:val="center"/>
          </w:tcPr>
          <w:p w14:paraId="602F62E2"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8 (1)</w:t>
            </w:r>
          </w:p>
        </w:tc>
        <w:tc>
          <w:tcPr>
            <w:tcW w:w="1528" w:type="dxa"/>
            <w:vAlign w:val="center"/>
          </w:tcPr>
          <w:p w14:paraId="14F159E3"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w:t>
            </w:r>
          </w:p>
        </w:tc>
        <w:tc>
          <w:tcPr>
            <w:tcW w:w="1811" w:type="dxa"/>
            <w:vAlign w:val="center"/>
          </w:tcPr>
          <w:p w14:paraId="0A120E85"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6</w:t>
            </w:r>
          </w:p>
        </w:tc>
        <w:tc>
          <w:tcPr>
            <w:tcW w:w="1815" w:type="dxa"/>
            <w:vAlign w:val="center"/>
          </w:tcPr>
          <w:p w14:paraId="71C3A881"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850" w:type="dxa"/>
            <w:vAlign w:val="center"/>
          </w:tcPr>
          <w:p w14:paraId="7A2452CC"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583" w:type="dxa"/>
            <w:vAlign w:val="center"/>
          </w:tcPr>
          <w:p w14:paraId="5E8958B7"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583" w:type="dxa"/>
            <w:vAlign w:val="center"/>
          </w:tcPr>
          <w:p w14:paraId="561D4104"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r>
      <w:tr w:rsidR="00AF6833" w:rsidRPr="00F704C7" w14:paraId="15FE84E5" w14:textId="77777777" w:rsidTr="00AF6833">
        <w:tc>
          <w:tcPr>
            <w:tcW w:w="2407" w:type="dxa"/>
            <w:vAlign w:val="center"/>
          </w:tcPr>
          <w:p w14:paraId="24E1E953"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Other infections</w:t>
            </w:r>
          </w:p>
        </w:tc>
        <w:tc>
          <w:tcPr>
            <w:tcW w:w="1417" w:type="dxa"/>
            <w:vAlign w:val="center"/>
          </w:tcPr>
          <w:p w14:paraId="09C0CA81"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44 (6)</w:t>
            </w:r>
          </w:p>
        </w:tc>
        <w:tc>
          <w:tcPr>
            <w:tcW w:w="1528" w:type="dxa"/>
            <w:vAlign w:val="center"/>
          </w:tcPr>
          <w:p w14:paraId="442576ED"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22</w:t>
            </w:r>
          </w:p>
        </w:tc>
        <w:tc>
          <w:tcPr>
            <w:tcW w:w="1811" w:type="dxa"/>
            <w:vAlign w:val="center"/>
          </w:tcPr>
          <w:p w14:paraId="6C50478C"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18</w:t>
            </w:r>
          </w:p>
        </w:tc>
        <w:tc>
          <w:tcPr>
            <w:tcW w:w="1815" w:type="dxa"/>
            <w:vAlign w:val="center"/>
          </w:tcPr>
          <w:p w14:paraId="5ED5C3D0"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3</w:t>
            </w:r>
          </w:p>
        </w:tc>
        <w:tc>
          <w:tcPr>
            <w:tcW w:w="1850" w:type="dxa"/>
            <w:vAlign w:val="center"/>
          </w:tcPr>
          <w:p w14:paraId="49C5E970"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w:t>
            </w:r>
          </w:p>
        </w:tc>
        <w:tc>
          <w:tcPr>
            <w:tcW w:w="1583" w:type="dxa"/>
            <w:vAlign w:val="center"/>
          </w:tcPr>
          <w:p w14:paraId="48995696"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c>
          <w:tcPr>
            <w:tcW w:w="1583" w:type="dxa"/>
            <w:vAlign w:val="center"/>
          </w:tcPr>
          <w:p w14:paraId="3D9B9DB9" w14:textId="77777777" w:rsidR="00AF6833" w:rsidRPr="00F704C7" w:rsidRDefault="00AF6833" w:rsidP="00AF6833">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w:t>
            </w:r>
          </w:p>
        </w:tc>
      </w:tr>
    </w:tbl>
    <w:p w14:paraId="76EFC591" w14:textId="1D4099FC" w:rsidR="00AF6833" w:rsidRPr="00F704C7" w:rsidRDefault="00AF6833" w:rsidP="00F704C7">
      <w:pPr>
        <w:pStyle w:val="Nadpis1"/>
      </w:pPr>
      <w:r w:rsidRPr="00F704C7">
        <w:t>Table S</w:t>
      </w:r>
      <w:r w:rsidR="00BB0F86" w:rsidRPr="00F704C7">
        <w:t>1</w:t>
      </w:r>
      <w:r w:rsidRPr="00F704C7">
        <w:t xml:space="preserve"> – Subtypes of infections </w:t>
      </w:r>
      <w:r w:rsidR="00264D15" w:rsidRPr="00F704C7">
        <w:t>in the study population</w:t>
      </w:r>
    </w:p>
    <w:p w14:paraId="120941E6" w14:textId="77777777" w:rsidR="00F704C7" w:rsidRDefault="00F704C7" w:rsidP="00AF6833">
      <w:pPr>
        <w:rPr>
          <w:rFonts w:ascii="Times New Roman" w:hAnsi="Times New Roman" w:cs="Times New Roman"/>
          <w:i/>
          <w:iCs/>
          <w:sz w:val="18"/>
          <w:szCs w:val="18"/>
        </w:rPr>
      </w:pPr>
    </w:p>
    <w:p w14:paraId="7B2991AD" w14:textId="52378D36" w:rsidR="00F704C7" w:rsidRPr="00401882" w:rsidRDefault="00AF6833">
      <w:pPr>
        <w:rPr>
          <w:rFonts w:ascii="Times New Roman" w:hAnsi="Times New Roman" w:cs="Times New Roman"/>
          <w:i/>
          <w:iCs/>
          <w:sz w:val="18"/>
          <w:szCs w:val="18"/>
        </w:rPr>
      </w:pPr>
      <w:r w:rsidRPr="00F704C7">
        <w:rPr>
          <w:rFonts w:ascii="Times New Roman" w:hAnsi="Times New Roman" w:cs="Times New Roman"/>
          <w:i/>
          <w:iCs/>
          <w:sz w:val="18"/>
          <w:szCs w:val="18"/>
        </w:rPr>
        <w:t>Table S</w:t>
      </w:r>
      <w:r w:rsidR="00C64412" w:rsidRPr="00F704C7">
        <w:rPr>
          <w:rFonts w:ascii="Times New Roman" w:hAnsi="Times New Roman" w:cs="Times New Roman"/>
          <w:i/>
          <w:iCs/>
          <w:sz w:val="18"/>
          <w:szCs w:val="18"/>
        </w:rPr>
        <w:t>1</w:t>
      </w:r>
      <w:r w:rsidRPr="00F704C7">
        <w:rPr>
          <w:rFonts w:ascii="Times New Roman" w:hAnsi="Times New Roman" w:cs="Times New Roman"/>
          <w:i/>
          <w:iCs/>
          <w:sz w:val="18"/>
          <w:szCs w:val="18"/>
        </w:rPr>
        <w:t xml:space="preserve"> – Subtypes of infections. Gastrointestinal tract infections included gastroenteritis and/or colitis. Biliary tract infections included acute cholangitis and cholecystitis. Other intra-abdominal infections included hepatic abscess (n=4), appendicitis (n=2) and viral hepatitis (n=1)</w:t>
      </w:r>
      <w:r w:rsidRPr="00F704C7">
        <w:rPr>
          <w:rFonts w:ascii="Times New Roman" w:hAnsi="Times New Roman" w:cs="Times New Roman"/>
          <w:sz w:val="18"/>
          <w:szCs w:val="18"/>
        </w:rPr>
        <w:t>.</w:t>
      </w:r>
      <w:r w:rsidRPr="00F704C7">
        <w:rPr>
          <w:rFonts w:ascii="Times New Roman" w:hAnsi="Times New Roman" w:cs="Times New Roman"/>
          <w:i/>
          <w:iCs/>
          <w:sz w:val="18"/>
          <w:szCs w:val="18"/>
        </w:rPr>
        <w:t xml:space="preserve"> Central nervous system infections included encephalitis and/or meningitis. Bloodstream infections included infective endocarditis (n=7) and catheter-related bloodstream infection (n=1). Other infections included mediastinitis (n=1), odontogenic infections (n=3), HIV infection (n=1) and infections of unknown origin (n=39). The higher total number of infections reflects the fact that some patients had infections at multiple sites. </w:t>
      </w:r>
    </w:p>
    <w:p w14:paraId="44318159" w14:textId="77777777" w:rsidR="00094551" w:rsidRDefault="00094551" w:rsidP="00F07603">
      <w:pPr>
        <w:pStyle w:val="Nadpis1"/>
      </w:pPr>
    </w:p>
    <w:p w14:paraId="7B24FD67" w14:textId="6C599838" w:rsidR="00AF6833" w:rsidRPr="00F704C7" w:rsidRDefault="00331CC3" w:rsidP="00F07603">
      <w:pPr>
        <w:pStyle w:val="Nadpis1"/>
      </w:pPr>
      <w:r w:rsidRPr="00F704C7">
        <w:t>Table S</w:t>
      </w:r>
      <w:r w:rsidR="00BB0F86" w:rsidRPr="00F704C7">
        <w:t>2</w:t>
      </w:r>
      <w:r w:rsidRPr="00F704C7">
        <w:t xml:space="preserve"> – Baseline characteristics in different patient groups</w:t>
      </w:r>
    </w:p>
    <w:tbl>
      <w:tblPr>
        <w:tblStyle w:val="Mkatabulky"/>
        <w:tblW w:w="0" w:type="auto"/>
        <w:tblLook w:val="04A0" w:firstRow="1" w:lastRow="0" w:firstColumn="1" w:lastColumn="0" w:noHBand="0" w:noVBand="1"/>
      </w:tblPr>
      <w:tblGrid>
        <w:gridCol w:w="2759"/>
        <w:gridCol w:w="2809"/>
        <w:gridCol w:w="2809"/>
        <w:gridCol w:w="3239"/>
        <w:gridCol w:w="2378"/>
      </w:tblGrid>
      <w:tr w:rsidR="00AF6833" w:rsidRPr="00F704C7" w14:paraId="7D318CB0" w14:textId="77777777" w:rsidTr="006F35D9">
        <w:tc>
          <w:tcPr>
            <w:tcW w:w="2760" w:type="dxa"/>
            <w:vAlign w:val="center"/>
          </w:tcPr>
          <w:p w14:paraId="21E81E15" w14:textId="77777777" w:rsidR="00AF6833" w:rsidRPr="00F704C7" w:rsidRDefault="00AF6833" w:rsidP="006F35D9">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Characteristic</w:t>
            </w:r>
          </w:p>
        </w:tc>
        <w:tc>
          <w:tcPr>
            <w:tcW w:w="2811" w:type="dxa"/>
            <w:vAlign w:val="center"/>
          </w:tcPr>
          <w:p w14:paraId="2D56937A" w14:textId="61584B58" w:rsidR="00AF6833" w:rsidRPr="00252B1F" w:rsidRDefault="00AF6833" w:rsidP="006F35D9">
            <w:pPr>
              <w:spacing w:line="360" w:lineRule="auto"/>
              <w:jc w:val="center"/>
              <w:rPr>
                <w:rFonts w:ascii="Times New Roman" w:hAnsi="Times New Roman" w:cs="Times New Roman"/>
                <w:b/>
                <w:bCs/>
                <w:color w:val="212121"/>
                <w:sz w:val="18"/>
                <w:szCs w:val="18"/>
                <w:shd w:val="clear" w:color="auto" w:fill="FFFFFF"/>
              </w:rPr>
            </w:pPr>
            <w:r w:rsidRPr="00252B1F">
              <w:rPr>
                <w:rFonts w:ascii="Times New Roman" w:hAnsi="Times New Roman" w:cs="Times New Roman"/>
                <w:b/>
                <w:bCs/>
                <w:color w:val="212121"/>
                <w:sz w:val="18"/>
                <w:szCs w:val="18"/>
                <w:shd w:val="clear" w:color="auto" w:fill="FFFFFF"/>
              </w:rPr>
              <w:t>bacterial infection</w:t>
            </w:r>
          </w:p>
          <w:p w14:paraId="6D647A05" w14:textId="77777777" w:rsidR="00AF6833" w:rsidRPr="00F704C7" w:rsidRDefault="00AF6833" w:rsidP="006F35D9">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n=489</w:t>
            </w:r>
          </w:p>
        </w:tc>
        <w:tc>
          <w:tcPr>
            <w:tcW w:w="2811" w:type="dxa"/>
            <w:vAlign w:val="center"/>
          </w:tcPr>
          <w:p w14:paraId="120EF528" w14:textId="1E87908C" w:rsidR="00AF6833" w:rsidRPr="00252B1F" w:rsidRDefault="00160246" w:rsidP="006F35D9">
            <w:pPr>
              <w:spacing w:line="360" w:lineRule="auto"/>
              <w:jc w:val="center"/>
              <w:rPr>
                <w:rFonts w:ascii="Times New Roman" w:hAnsi="Times New Roman" w:cs="Times New Roman"/>
                <w:b/>
                <w:bCs/>
                <w:color w:val="212121"/>
                <w:sz w:val="18"/>
                <w:szCs w:val="18"/>
                <w:shd w:val="clear" w:color="auto" w:fill="FFFFFF"/>
              </w:rPr>
            </w:pPr>
            <w:r w:rsidRPr="00252B1F">
              <w:rPr>
                <w:rFonts w:ascii="Times New Roman" w:hAnsi="Times New Roman" w:cs="Times New Roman"/>
                <w:b/>
                <w:bCs/>
                <w:color w:val="212121"/>
                <w:sz w:val="18"/>
                <w:szCs w:val="18"/>
                <w:shd w:val="clear" w:color="auto" w:fill="FFFFFF"/>
              </w:rPr>
              <w:t>v</w:t>
            </w:r>
            <w:r w:rsidR="00AF6833" w:rsidRPr="00252B1F">
              <w:rPr>
                <w:rFonts w:ascii="Times New Roman" w:hAnsi="Times New Roman" w:cs="Times New Roman"/>
                <w:b/>
                <w:bCs/>
                <w:color w:val="212121"/>
                <w:sz w:val="18"/>
                <w:szCs w:val="18"/>
                <w:shd w:val="clear" w:color="auto" w:fill="FFFFFF"/>
              </w:rPr>
              <w:t>i</w:t>
            </w:r>
            <w:r w:rsidRPr="00252B1F">
              <w:rPr>
                <w:rFonts w:ascii="Times New Roman" w:hAnsi="Times New Roman" w:cs="Times New Roman"/>
                <w:b/>
                <w:bCs/>
                <w:color w:val="212121"/>
                <w:sz w:val="18"/>
                <w:szCs w:val="18"/>
                <w:shd w:val="clear" w:color="auto" w:fill="FFFFFF"/>
              </w:rPr>
              <w:t>ra</w:t>
            </w:r>
            <w:r w:rsidR="00AF6833" w:rsidRPr="00252B1F">
              <w:rPr>
                <w:rFonts w:ascii="Times New Roman" w:hAnsi="Times New Roman" w:cs="Times New Roman"/>
                <w:b/>
                <w:bCs/>
                <w:color w:val="212121"/>
                <w:sz w:val="18"/>
                <w:szCs w:val="18"/>
                <w:shd w:val="clear" w:color="auto" w:fill="FFFFFF"/>
              </w:rPr>
              <w:t>l infection</w:t>
            </w:r>
          </w:p>
          <w:p w14:paraId="62DFA871" w14:textId="77777777" w:rsidR="00AF6833" w:rsidRPr="00F704C7" w:rsidRDefault="00AF6833" w:rsidP="006F35D9">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n=140</w:t>
            </w:r>
          </w:p>
        </w:tc>
        <w:tc>
          <w:tcPr>
            <w:tcW w:w="3242" w:type="dxa"/>
          </w:tcPr>
          <w:p w14:paraId="7A5640DB" w14:textId="72C38EE4" w:rsidR="00AF6833" w:rsidRPr="00252B1F" w:rsidRDefault="00160246" w:rsidP="006F35D9">
            <w:pPr>
              <w:spacing w:line="360" w:lineRule="auto"/>
              <w:jc w:val="center"/>
              <w:rPr>
                <w:rFonts w:ascii="Times New Roman" w:hAnsi="Times New Roman" w:cs="Times New Roman"/>
                <w:b/>
                <w:bCs/>
                <w:color w:val="212121"/>
                <w:sz w:val="18"/>
                <w:szCs w:val="18"/>
                <w:shd w:val="clear" w:color="auto" w:fill="FFFFFF"/>
              </w:rPr>
            </w:pPr>
            <w:r w:rsidRPr="00252B1F">
              <w:rPr>
                <w:rFonts w:ascii="Times New Roman" w:hAnsi="Times New Roman" w:cs="Times New Roman"/>
                <w:b/>
                <w:bCs/>
                <w:color w:val="212121"/>
                <w:sz w:val="18"/>
                <w:szCs w:val="18"/>
                <w:shd w:val="clear" w:color="auto" w:fill="FFFFFF"/>
              </w:rPr>
              <w:t>co-infection</w:t>
            </w:r>
          </w:p>
          <w:p w14:paraId="5A031E0C" w14:textId="77777777" w:rsidR="00AF6833" w:rsidRPr="00F704C7" w:rsidRDefault="00AF6833" w:rsidP="006F35D9">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n=48</w:t>
            </w:r>
          </w:p>
        </w:tc>
        <w:tc>
          <w:tcPr>
            <w:tcW w:w="2380" w:type="dxa"/>
            <w:vAlign w:val="center"/>
          </w:tcPr>
          <w:p w14:paraId="7AF62BEA" w14:textId="15777457" w:rsidR="00AF6833" w:rsidRPr="00252B1F" w:rsidRDefault="00AF6833" w:rsidP="006F35D9">
            <w:pPr>
              <w:spacing w:line="360" w:lineRule="auto"/>
              <w:jc w:val="center"/>
              <w:rPr>
                <w:rFonts w:ascii="Times New Roman" w:hAnsi="Times New Roman" w:cs="Times New Roman"/>
                <w:b/>
                <w:bCs/>
                <w:color w:val="212121"/>
                <w:sz w:val="18"/>
                <w:szCs w:val="18"/>
                <w:shd w:val="clear" w:color="auto" w:fill="FFFFFF"/>
              </w:rPr>
            </w:pPr>
            <w:r w:rsidRPr="00252B1F">
              <w:rPr>
                <w:rFonts w:ascii="Times New Roman" w:hAnsi="Times New Roman" w:cs="Times New Roman"/>
                <w:b/>
                <w:bCs/>
                <w:color w:val="212121"/>
                <w:sz w:val="18"/>
                <w:szCs w:val="18"/>
                <w:shd w:val="clear" w:color="auto" w:fill="FFFFFF"/>
              </w:rPr>
              <w:t>non-infection</w:t>
            </w:r>
          </w:p>
          <w:p w14:paraId="50FFB78D" w14:textId="77777777" w:rsidR="00AF6833" w:rsidRPr="00F704C7" w:rsidRDefault="00AF6833" w:rsidP="006F35D9">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n=190</w:t>
            </w:r>
          </w:p>
        </w:tc>
      </w:tr>
      <w:tr w:rsidR="00AF6833" w:rsidRPr="00F704C7" w14:paraId="61AB8EA8" w14:textId="77777777" w:rsidTr="006F35D9">
        <w:tc>
          <w:tcPr>
            <w:tcW w:w="2760" w:type="dxa"/>
            <w:vAlign w:val="center"/>
          </w:tcPr>
          <w:p w14:paraId="70EF2E6D" w14:textId="77777777" w:rsidR="00AF6833" w:rsidRPr="00F704C7" w:rsidRDefault="00AF6833" w:rsidP="006F35D9">
            <w:pPr>
              <w:spacing w:line="360" w:lineRule="auto"/>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Age – years</w:t>
            </w:r>
          </w:p>
        </w:tc>
        <w:tc>
          <w:tcPr>
            <w:tcW w:w="2811" w:type="dxa"/>
            <w:vAlign w:val="center"/>
          </w:tcPr>
          <w:p w14:paraId="22D4FA6B"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76 (66-84)</w:t>
            </w:r>
          </w:p>
        </w:tc>
        <w:tc>
          <w:tcPr>
            <w:tcW w:w="2811" w:type="dxa"/>
            <w:vAlign w:val="center"/>
          </w:tcPr>
          <w:p w14:paraId="5F97A739"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76 (66-82)</w:t>
            </w:r>
          </w:p>
        </w:tc>
        <w:tc>
          <w:tcPr>
            <w:tcW w:w="3242" w:type="dxa"/>
          </w:tcPr>
          <w:p w14:paraId="57F71311"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70 (55-80)</w:t>
            </w:r>
          </w:p>
        </w:tc>
        <w:tc>
          <w:tcPr>
            <w:tcW w:w="2380" w:type="dxa"/>
            <w:vAlign w:val="center"/>
          </w:tcPr>
          <w:p w14:paraId="3CA35974"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74 (60-82)</w:t>
            </w:r>
          </w:p>
        </w:tc>
      </w:tr>
      <w:tr w:rsidR="00AF6833" w:rsidRPr="00F704C7" w14:paraId="6750DE56" w14:textId="77777777" w:rsidTr="006F35D9">
        <w:tc>
          <w:tcPr>
            <w:tcW w:w="14004" w:type="dxa"/>
            <w:gridSpan w:val="5"/>
            <w:vAlign w:val="center"/>
          </w:tcPr>
          <w:p w14:paraId="0D8CA2DE" w14:textId="77777777" w:rsidR="00AF6833" w:rsidRPr="00F704C7" w:rsidRDefault="00AF6833" w:rsidP="006F35D9">
            <w:pPr>
              <w:spacing w:line="360" w:lineRule="auto"/>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Sex – no. (%)</w:t>
            </w:r>
          </w:p>
        </w:tc>
      </w:tr>
      <w:tr w:rsidR="00AF6833" w:rsidRPr="00F704C7" w14:paraId="7647E68B" w14:textId="77777777" w:rsidTr="006F35D9">
        <w:tc>
          <w:tcPr>
            <w:tcW w:w="2760" w:type="dxa"/>
            <w:vAlign w:val="center"/>
          </w:tcPr>
          <w:p w14:paraId="246E7238"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male</w:t>
            </w:r>
          </w:p>
        </w:tc>
        <w:tc>
          <w:tcPr>
            <w:tcW w:w="2811" w:type="dxa"/>
            <w:vAlign w:val="center"/>
          </w:tcPr>
          <w:p w14:paraId="3C20942D"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260 (53,2)</w:t>
            </w:r>
          </w:p>
        </w:tc>
        <w:tc>
          <w:tcPr>
            <w:tcW w:w="2811" w:type="dxa"/>
            <w:vAlign w:val="center"/>
          </w:tcPr>
          <w:p w14:paraId="48E16747"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69 (49,3)</w:t>
            </w:r>
          </w:p>
        </w:tc>
        <w:tc>
          <w:tcPr>
            <w:tcW w:w="3242" w:type="dxa"/>
          </w:tcPr>
          <w:p w14:paraId="0A43DBF9"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25 (52,1)</w:t>
            </w:r>
          </w:p>
        </w:tc>
        <w:tc>
          <w:tcPr>
            <w:tcW w:w="2380" w:type="dxa"/>
            <w:vAlign w:val="center"/>
          </w:tcPr>
          <w:p w14:paraId="685A9661"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108 (56,8)</w:t>
            </w:r>
          </w:p>
        </w:tc>
      </w:tr>
      <w:tr w:rsidR="00AF6833" w:rsidRPr="00F704C7" w14:paraId="1EA7E5D8" w14:textId="77777777" w:rsidTr="006F35D9">
        <w:tc>
          <w:tcPr>
            <w:tcW w:w="2760" w:type="dxa"/>
            <w:vAlign w:val="center"/>
          </w:tcPr>
          <w:p w14:paraId="3F64647F"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female</w:t>
            </w:r>
          </w:p>
        </w:tc>
        <w:tc>
          <w:tcPr>
            <w:tcW w:w="2811" w:type="dxa"/>
            <w:vAlign w:val="center"/>
          </w:tcPr>
          <w:p w14:paraId="09703BAD"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229 (46,8)</w:t>
            </w:r>
          </w:p>
        </w:tc>
        <w:tc>
          <w:tcPr>
            <w:tcW w:w="2811" w:type="dxa"/>
            <w:vAlign w:val="center"/>
          </w:tcPr>
          <w:p w14:paraId="31ADFFAA"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71 (50,7)</w:t>
            </w:r>
          </w:p>
        </w:tc>
        <w:tc>
          <w:tcPr>
            <w:tcW w:w="3242" w:type="dxa"/>
          </w:tcPr>
          <w:p w14:paraId="7B35EFDA"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23 (47,9)</w:t>
            </w:r>
          </w:p>
        </w:tc>
        <w:tc>
          <w:tcPr>
            <w:tcW w:w="2380" w:type="dxa"/>
            <w:vAlign w:val="center"/>
          </w:tcPr>
          <w:p w14:paraId="5F3F68E4"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82 (43,2)</w:t>
            </w:r>
          </w:p>
        </w:tc>
      </w:tr>
      <w:tr w:rsidR="00AF6833" w:rsidRPr="00F704C7" w14:paraId="10AE7967" w14:textId="77777777" w:rsidTr="006F35D9">
        <w:tc>
          <w:tcPr>
            <w:tcW w:w="14004" w:type="dxa"/>
            <w:gridSpan w:val="5"/>
            <w:vAlign w:val="center"/>
          </w:tcPr>
          <w:p w14:paraId="2A296257" w14:textId="77777777" w:rsidR="00AF6833" w:rsidRPr="00F704C7" w:rsidRDefault="00AF6833" w:rsidP="006F35D9">
            <w:pPr>
              <w:spacing w:line="360" w:lineRule="auto"/>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Coexisting condition – no. (%)</w:t>
            </w:r>
          </w:p>
        </w:tc>
      </w:tr>
      <w:tr w:rsidR="00AF6833" w:rsidRPr="00F704C7" w14:paraId="20A3600A" w14:textId="77777777" w:rsidTr="006F35D9">
        <w:tc>
          <w:tcPr>
            <w:tcW w:w="2760" w:type="dxa"/>
            <w:vAlign w:val="center"/>
          </w:tcPr>
          <w:p w14:paraId="10741713"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COPD</w:t>
            </w:r>
          </w:p>
        </w:tc>
        <w:tc>
          <w:tcPr>
            <w:tcW w:w="2811" w:type="dxa"/>
            <w:vAlign w:val="center"/>
          </w:tcPr>
          <w:p w14:paraId="50A5DF49"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80 (16,4)</w:t>
            </w:r>
          </w:p>
        </w:tc>
        <w:tc>
          <w:tcPr>
            <w:tcW w:w="2811" w:type="dxa"/>
            <w:vAlign w:val="center"/>
          </w:tcPr>
          <w:p w14:paraId="0673D3E2"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27 (19,3)</w:t>
            </w:r>
          </w:p>
        </w:tc>
        <w:tc>
          <w:tcPr>
            <w:tcW w:w="3242" w:type="dxa"/>
          </w:tcPr>
          <w:p w14:paraId="249428D8"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7 (14,6)</w:t>
            </w:r>
          </w:p>
        </w:tc>
        <w:tc>
          <w:tcPr>
            <w:tcW w:w="2380" w:type="dxa"/>
            <w:vAlign w:val="center"/>
          </w:tcPr>
          <w:p w14:paraId="62EFB298"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29 (15,3)</w:t>
            </w:r>
          </w:p>
        </w:tc>
      </w:tr>
      <w:tr w:rsidR="00AF6833" w:rsidRPr="00F704C7" w14:paraId="1A3EB7F6" w14:textId="77777777" w:rsidTr="006F35D9">
        <w:tc>
          <w:tcPr>
            <w:tcW w:w="2760" w:type="dxa"/>
            <w:vAlign w:val="center"/>
          </w:tcPr>
          <w:p w14:paraId="36A82BE9"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Diabetes</w:t>
            </w:r>
          </w:p>
        </w:tc>
        <w:tc>
          <w:tcPr>
            <w:tcW w:w="2811" w:type="dxa"/>
            <w:vAlign w:val="center"/>
          </w:tcPr>
          <w:p w14:paraId="6CA96009"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194 (39,7)</w:t>
            </w:r>
          </w:p>
        </w:tc>
        <w:tc>
          <w:tcPr>
            <w:tcW w:w="2811" w:type="dxa"/>
            <w:vAlign w:val="center"/>
          </w:tcPr>
          <w:p w14:paraId="38D623AB"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45 (32,1)</w:t>
            </w:r>
          </w:p>
        </w:tc>
        <w:tc>
          <w:tcPr>
            <w:tcW w:w="3242" w:type="dxa"/>
          </w:tcPr>
          <w:p w14:paraId="0A232E44"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17 (35,4)</w:t>
            </w:r>
          </w:p>
        </w:tc>
        <w:tc>
          <w:tcPr>
            <w:tcW w:w="2380" w:type="dxa"/>
            <w:vAlign w:val="center"/>
          </w:tcPr>
          <w:p w14:paraId="02B2A3B3"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56 (29,5)</w:t>
            </w:r>
          </w:p>
        </w:tc>
      </w:tr>
      <w:tr w:rsidR="00AF6833" w:rsidRPr="00F704C7" w14:paraId="5B6CB519" w14:textId="77777777" w:rsidTr="006F35D9">
        <w:tc>
          <w:tcPr>
            <w:tcW w:w="2760" w:type="dxa"/>
            <w:vAlign w:val="center"/>
          </w:tcPr>
          <w:p w14:paraId="7324191B"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CKD</w:t>
            </w:r>
          </w:p>
        </w:tc>
        <w:tc>
          <w:tcPr>
            <w:tcW w:w="2811" w:type="dxa"/>
            <w:vAlign w:val="center"/>
          </w:tcPr>
          <w:p w14:paraId="4AE40F41"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146 (29,9)</w:t>
            </w:r>
          </w:p>
        </w:tc>
        <w:tc>
          <w:tcPr>
            <w:tcW w:w="2811" w:type="dxa"/>
            <w:vAlign w:val="center"/>
          </w:tcPr>
          <w:p w14:paraId="2A2A0090"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23 (16,4)</w:t>
            </w:r>
          </w:p>
        </w:tc>
        <w:tc>
          <w:tcPr>
            <w:tcW w:w="3242" w:type="dxa"/>
          </w:tcPr>
          <w:p w14:paraId="286466E3"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10 (20,8)</w:t>
            </w:r>
          </w:p>
        </w:tc>
        <w:tc>
          <w:tcPr>
            <w:tcW w:w="2380" w:type="dxa"/>
            <w:vAlign w:val="center"/>
          </w:tcPr>
          <w:p w14:paraId="2ECBCC63"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46 24,2)</w:t>
            </w:r>
          </w:p>
        </w:tc>
      </w:tr>
      <w:tr w:rsidR="00AF6833" w:rsidRPr="00F704C7" w14:paraId="6424A96E" w14:textId="77777777" w:rsidTr="006F35D9">
        <w:tc>
          <w:tcPr>
            <w:tcW w:w="2760" w:type="dxa"/>
            <w:vAlign w:val="center"/>
          </w:tcPr>
          <w:p w14:paraId="746C76B1"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Immunosuppression</w:t>
            </w:r>
          </w:p>
        </w:tc>
        <w:tc>
          <w:tcPr>
            <w:tcW w:w="2811" w:type="dxa"/>
            <w:vAlign w:val="center"/>
          </w:tcPr>
          <w:p w14:paraId="001252C0"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49 (10)</w:t>
            </w:r>
          </w:p>
        </w:tc>
        <w:tc>
          <w:tcPr>
            <w:tcW w:w="2811" w:type="dxa"/>
            <w:vAlign w:val="center"/>
          </w:tcPr>
          <w:p w14:paraId="59FD3955"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12 (8,6)</w:t>
            </w:r>
          </w:p>
        </w:tc>
        <w:tc>
          <w:tcPr>
            <w:tcW w:w="3242" w:type="dxa"/>
          </w:tcPr>
          <w:p w14:paraId="628D6AD0"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7 (14,6)</w:t>
            </w:r>
          </w:p>
        </w:tc>
        <w:tc>
          <w:tcPr>
            <w:tcW w:w="2380" w:type="dxa"/>
            <w:vAlign w:val="center"/>
          </w:tcPr>
          <w:p w14:paraId="66479B7B"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20 (10,5)</w:t>
            </w:r>
          </w:p>
        </w:tc>
      </w:tr>
      <w:tr w:rsidR="00AF6833" w:rsidRPr="00F704C7" w14:paraId="17801940" w14:textId="77777777" w:rsidTr="006F35D9">
        <w:tc>
          <w:tcPr>
            <w:tcW w:w="2760" w:type="dxa"/>
            <w:vAlign w:val="center"/>
          </w:tcPr>
          <w:p w14:paraId="6D84C271"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Chronic heart failure</w:t>
            </w:r>
          </w:p>
        </w:tc>
        <w:tc>
          <w:tcPr>
            <w:tcW w:w="2811" w:type="dxa"/>
            <w:vAlign w:val="center"/>
          </w:tcPr>
          <w:p w14:paraId="19244EF5"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149 (30,5)</w:t>
            </w:r>
          </w:p>
        </w:tc>
        <w:tc>
          <w:tcPr>
            <w:tcW w:w="2811" w:type="dxa"/>
            <w:vAlign w:val="center"/>
          </w:tcPr>
          <w:p w14:paraId="20F5C1AE"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30 (21,4)</w:t>
            </w:r>
          </w:p>
        </w:tc>
        <w:tc>
          <w:tcPr>
            <w:tcW w:w="3242" w:type="dxa"/>
          </w:tcPr>
          <w:p w14:paraId="0F13FE4A"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11 (22,9)</w:t>
            </w:r>
          </w:p>
        </w:tc>
        <w:tc>
          <w:tcPr>
            <w:tcW w:w="2380" w:type="dxa"/>
            <w:vAlign w:val="center"/>
          </w:tcPr>
          <w:p w14:paraId="0D0F1AB4"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47 (24,7)</w:t>
            </w:r>
          </w:p>
        </w:tc>
      </w:tr>
      <w:tr w:rsidR="00AF6833" w:rsidRPr="00F704C7" w14:paraId="60F28A3B" w14:textId="77777777" w:rsidTr="006F35D9">
        <w:tc>
          <w:tcPr>
            <w:tcW w:w="2760" w:type="dxa"/>
            <w:vAlign w:val="center"/>
          </w:tcPr>
          <w:p w14:paraId="28556606"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Coronary artery disease</w:t>
            </w:r>
          </w:p>
        </w:tc>
        <w:tc>
          <w:tcPr>
            <w:tcW w:w="2811" w:type="dxa"/>
            <w:vAlign w:val="center"/>
          </w:tcPr>
          <w:p w14:paraId="6F37A960"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106 (21,7)</w:t>
            </w:r>
          </w:p>
        </w:tc>
        <w:tc>
          <w:tcPr>
            <w:tcW w:w="2811" w:type="dxa"/>
            <w:vAlign w:val="center"/>
          </w:tcPr>
          <w:p w14:paraId="4569C6BB"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28 (20)</w:t>
            </w:r>
          </w:p>
        </w:tc>
        <w:tc>
          <w:tcPr>
            <w:tcW w:w="3242" w:type="dxa"/>
          </w:tcPr>
          <w:p w14:paraId="05F9BB58"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10 (20,8)</w:t>
            </w:r>
          </w:p>
        </w:tc>
        <w:tc>
          <w:tcPr>
            <w:tcW w:w="2380" w:type="dxa"/>
            <w:vAlign w:val="center"/>
          </w:tcPr>
          <w:p w14:paraId="5894D66A"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35 (18,4)</w:t>
            </w:r>
          </w:p>
        </w:tc>
      </w:tr>
      <w:tr w:rsidR="00AF6833" w:rsidRPr="00F704C7" w14:paraId="10556BAF" w14:textId="77777777" w:rsidTr="006F35D9">
        <w:tc>
          <w:tcPr>
            <w:tcW w:w="2760" w:type="dxa"/>
            <w:vAlign w:val="center"/>
          </w:tcPr>
          <w:p w14:paraId="53ADDE96"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Cirrhosis</w:t>
            </w:r>
          </w:p>
        </w:tc>
        <w:tc>
          <w:tcPr>
            <w:tcW w:w="2811" w:type="dxa"/>
            <w:vAlign w:val="center"/>
          </w:tcPr>
          <w:p w14:paraId="50410293"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20 (4,1)</w:t>
            </w:r>
          </w:p>
        </w:tc>
        <w:tc>
          <w:tcPr>
            <w:tcW w:w="2811" w:type="dxa"/>
            <w:vAlign w:val="center"/>
          </w:tcPr>
          <w:p w14:paraId="690C9253"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3 (2,1)</w:t>
            </w:r>
          </w:p>
        </w:tc>
        <w:tc>
          <w:tcPr>
            <w:tcW w:w="3242" w:type="dxa"/>
          </w:tcPr>
          <w:p w14:paraId="22565A96"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 (2,1)</w:t>
            </w:r>
          </w:p>
        </w:tc>
        <w:tc>
          <w:tcPr>
            <w:tcW w:w="2380" w:type="dxa"/>
            <w:vAlign w:val="center"/>
          </w:tcPr>
          <w:p w14:paraId="65DDFD90"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9 (4,7)</w:t>
            </w:r>
          </w:p>
        </w:tc>
      </w:tr>
      <w:tr w:rsidR="00AF6833" w:rsidRPr="00F704C7" w14:paraId="0EFDB929" w14:textId="77777777" w:rsidTr="006F35D9">
        <w:tc>
          <w:tcPr>
            <w:tcW w:w="2760" w:type="dxa"/>
            <w:vAlign w:val="center"/>
          </w:tcPr>
          <w:p w14:paraId="3810E168"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Cancer (solid, total)</w:t>
            </w:r>
          </w:p>
        </w:tc>
        <w:tc>
          <w:tcPr>
            <w:tcW w:w="2811" w:type="dxa"/>
            <w:vAlign w:val="center"/>
          </w:tcPr>
          <w:p w14:paraId="7AA41B89"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91 (18,6)</w:t>
            </w:r>
          </w:p>
        </w:tc>
        <w:tc>
          <w:tcPr>
            <w:tcW w:w="2811" w:type="dxa"/>
            <w:vAlign w:val="center"/>
          </w:tcPr>
          <w:p w14:paraId="04C13EEC"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5 (3,6)</w:t>
            </w:r>
          </w:p>
        </w:tc>
        <w:tc>
          <w:tcPr>
            <w:tcW w:w="3242" w:type="dxa"/>
          </w:tcPr>
          <w:p w14:paraId="0497A9CC"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7 (14,6)</w:t>
            </w:r>
          </w:p>
        </w:tc>
        <w:tc>
          <w:tcPr>
            <w:tcW w:w="2380" w:type="dxa"/>
            <w:vAlign w:val="center"/>
          </w:tcPr>
          <w:p w14:paraId="4959A437"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42 (22,1)</w:t>
            </w:r>
          </w:p>
        </w:tc>
      </w:tr>
      <w:tr w:rsidR="00AF6833" w:rsidRPr="00F704C7" w14:paraId="6EBB0B3F" w14:textId="77777777" w:rsidTr="006F35D9">
        <w:tc>
          <w:tcPr>
            <w:tcW w:w="2760" w:type="dxa"/>
            <w:vAlign w:val="center"/>
          </w:tcPr>
          <w:p w14:paraId="36B511F1"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Cancer (solid, active)</w:t>
            </w:r>
          </w:p>
        </w:tc>
        <w:tc>
          <w:tcPr>
            <w:tcW w:w="2811" w:type="dxa"/>
            <w:vAlign w:val="center"/>
          </w:tcPr>
          <w:p w14:paraId="5B7E1F4B"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60 (12,3)</w:t>
            </w:r>
          </w:p>
        </w:tc>
        <w:tc>
          <w:tcPr>
            <w:tcW w:w="2811" w:type="dxa"/>
            <w:vAlign w:val="center"/>
          </w:tcPr>
          <w:p w14:paraId="10836ACC"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4 (2,9)</w:t>
            </w:r>
          </w:p>
        </w:tc>
        <w:tc>
          <w:tcPr>
            <w:tcW w:w="3242" w:type="dxa"/>
          </w:tcPr>
          <w:p w14:paraId="1CA4D2D4"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 (4,2)</w:t>
            </w:r>
          </w:p>
        </w:tc>
        <w:tc>
          <w:tcPr>
            <w:tcW w:w="2380" w:type="dxa"/>
            <w:vAlign w:val="center"/>
          </w:tcPr>
          <w:p w14:paraId="7A38C3C3"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35 (18,4)</w:t>
            </w:r>
          </w:p>
        </w:tc>
      </w:tr>
      <w:tr w:rsidR="00AF6833" w:rsidRPr="00F704C7" w14:paraId="793E4D5C" w14:textId="77777777" w:rsidTr="006F35D9">
        <w:tc>
          <w:tcPr>
            <w:tcW w:w="2760" w:type="dxa"/>
            <w:vAlign w:val="center"/>
          </w:tcPr>
          <w:p w14:paraId="18AB5006"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Cancer (hematologic, total)</w:t>
            </w:r>
          </w:p>
        </w:tc>
        <w:tc>
          <w:tcPr>
            <w:tcW w:w="2811" w:type="dxa"/>
            <w:vAlign w:val="center"/>
          </w:tcPr>
          <w:p w14:paraId="7F29AB73"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21 (4,3)</w:t>
            </w:r>
          </w:p>
        </w:tc>
        <w:tc>
          <w:tcPr>
            <w:tcW w:w="2811" w:type="dxa"/>
            <w:vAlign w:val="center"/>
          </w:tcPr>
          <w:p w14:paraId="7CA36099"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8 (5,7)</w:t>
            </w:r>
          </w:p>
        </w:tc>
        <w:tc>
          <w:tcPr>
            <w:tcW w:w="3242" w:type="dxa"/>
          </w:tcPr>
          <w:p w14:paraId="22BDB74F"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 (2,1)</w:t>
            </w:r>
          </w:p>
        </w:tc>
        <w:tc>
          <w:tcPr>
            <w:tcW w:w="2380" w:type="dxa"/>
            <w:vAlign w:val="center"/>
          </w:tcPr>
          <w:p w14:paraId="632E1090"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14 (7,4)</w:t>
            </w:r>
          </w:p>
        </w:tc>
      </w:tr>
      <w:tr w:rsidR="00AF6833" w:rsidRPr="00F704C7" w14:paraId="13BF0C3F" w14:textId="77777777" w:rsidTr="006F35D9">
        <w:tc>
          <w:tcPr>
            <w:tcW w:w="2760" w:type="dxa"/>
            <w:vAlign w:val="center"/>
          </w:tcPr>
          <w:p w14:paraId="662AB596"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Cancer (hematologic, active)</w:t>
            </w:r>
          </w:p>
        </w:tc>
        <w:tc>
          <w:tcPr>
            <w:tcW w:w="2811" w:type="dxa"/>
            <w:vAlign w:val="center"/>
          </w:tcPr>
          <w:p w14:paraId="0F851C61"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16 (3,3)</w:t>
            </w:r>
          </w:p>
        </w:tc>
        <w:tc>
          <w:tcPr>
            <w:tcW w:w="2811" w:type="dxa"/>
            <w:vAlign w:val="center"/>
          </w:tcPr>
          <w:p w14:paraId="009E6366"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6 (4,3)</w:t>
            </w:r>
          </w:p>
        </w:tc>
        <w:tc>
          <w:tcPr>
            <w:tcW w:w="3242" w:type="dxa"/>
          </w:tcPr>
          <w:p w14:paraId="5757EF55"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 (2,1)</w:t>
            </w:r>
          </w:p>
        </w:tc>
        <w:tc>
          <w:tcPr>
            <w:tcW w:w="2380" w:type="dxa"/>
            <w:vAlign w:val="center"/>
          </w:tcPr>
          <w:p w14:paraId="63858152"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10 (5,3)</w:t>
            </w:r>
          </w:p>
        </w:tc>
      </w:tr>
      <w:tr w:rsidR="00AF6833" w:rsidRPr="00F704C7" w14:paraId="3C040556" w14:textId="77777777" w:rsidTr="006F35D9">
        <w:tc>
          <w:tcPr>
            <w:tcW w:w="14004" w:type="dxa"/>
            <w:gridSpan w:val="5"/>
            <w:vAlign w:val="center"/>
          </w:tcPr>
          <w:p w14:paraId="23457E1E" w14:textId="77777777" w:rsidR="00AF6833" w:rsidRPr="00F704C7" w:rsidRDefault="00AF6833" w:rsidP="006F35D9">
            <w:pPr>
              <w:spacing w:line="360" w:lineRule="auto"/>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qSOFA score – no. (%)</w:t>
            </w:r>
          </w:p>
        </w:tc>
      </w:tr>
      <w:tr w:rsidR="00AF6833" w:rsidRPr="00F704C7" w14:paraId="1822A2AC" w14:textId="77777777" w:rsidTr="006F35D9">
        <w:tc>
          <w:tcPr>
            <w:tcW w:w="2760" w:type="dxa"/>
            <w:vAlign w:val="center"/>
          </w:tcPr>
          <w:p w14:paraId="014D962D"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 and 1 (negative)</w:t>
            </w:r>
          </w:p>
        </w:tc>
        <w:tc>
          <w:tcPr>
            <w:tcW w:w="2811" w:type="dxa"/>
            <w:vAlign w:val="center"/>
          </w:tcPr>
          <w:p w14:paraId="1886FF56"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291 (59,5)</w:t>
            </w:r>
          </w:p>
        </w:tc>
        <w:tc>
          <w:tcPr>
            <w:tcW w:w="2811" w:type="dxa"/>
            <w:vAlign w:val="center"/>
          </w:tcPr>
          <w:p w14:paraId="0DFE488F"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130 (92,9)</w:t>
            </w:r>
          </w:p>
        </w:tc>
        <w:tc>
          <w:tcPr>
            <w:tcW w:w="3242" w:type="dxa"/>
          </w:tcPr>
          <w:p w14:paraId="6F324B68"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32 (6,7)</w:t>
            </w:r>
          </w:p>
        </w:tc>
        <w:tc>
          <w:tcPr>
            <w:tcW w:w="2380" w:type="dxa"/>
            <w:vAlign w:val="center"/>
          </w:tcPr>
          <w:p w14:paraId="7783D8D7"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190 (100)</w:t>
            </w:r>
          </w:p>
        </w:tc>
      </w:tr>
      <w:tr w:rsidR="00AF6833" w:rsidRPr="00F704C7" w14:paraId="0B2716C2" w14:textId="77777777" w:rsidTr="006F35D9">
        <w:tc>
          <w:tcPr>
            <w:tcW w:w="2760" w:type="dxa"/>
            <w:vAlign w:val="center"/>
          </w:tcPr>
          <w:p w14:paraId="03C76FFD"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 and 3 (positive)</w:t>
            </w:r>
          </w:p>
        </w:tc>
        <w:tc>
          <w:tcPr>
            <w:tcW w:w="2811" w:type="dxa"/>
            <w:vAlign w:val="center"/>
          </w:tcPr>
          <w:p w14:paraId="151FE5AD"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198 (40,5)</w:t>
            </w:r>
          </w:p>
        </w:tc>
        <w:tc>
          <w:tcPr>
            <w:tcW w:w="2811" w:type="dxa"/>
            <w:vAlign w:val="center"/>
          </w:tcPr>
          <w:p w14:paraId="03BACA22"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10 (7,1)</w:t>
            </w:r>
          </w:p>
        </w:tc>
        <w:tc>
          <w:tcPr>
            <w:tcW w:w="3242" w:type="dxa"/>
          </w:tcPr>
          <w:p w14:paraId="2FE93B3E"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16 (3,3)</w:t>
            </w:r>
          </w:p>
        </w:tc>
        <w:tc>
          <w:tcPr>
            <w:tcW w:w="2380" w:type="dxa"/>
            <w:vAlign w:val="center"/>
          </w:tcPr>
          <w:p w14:paraId="2192788A" w14:textId="77777777" w:rsidR="00AF6833" w:rsidRPr="00F704C7" w:rsidRDefault="00AF6833" w:rsidP="006F35D9">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 (0)</w:t>
            </w:r>
          </w:p>
        </w:tc>
      </w:tr>
    </w:tbl>
    <w:p w14:paraId="75A0D508" w14:textId="168029C9" w:rsidR="005E475D" w:rsidRPr="00F704C7" w:rsidRDefault="00AF6833" w:rsidP="00AF6833">
      <w:pPr>
        <w:jc w:val="both"/>
        <w:rPr>
          <w:rFonts w:ascii="Times New Roman" w:hAnsi="Times New Roman" w:cs="Times New Roman"/>
          <w:i/>
          <w:iCs/>
          <w:sz w:val="18"/>
          <w:szCs w:val="18"/>
        </w:rPr>
      </w:pPr>
      <w:r w:rsidRPr="00F704C7">
        <w:rPr>
          <w:rFonts w:ascii="Times New Roman" w:hAnsi="Times New Roman" w:cs="Times New Roman"/>
          <w:i/>
          <w:iCs/>
          <w:sz w:val="18"/>
          <w:szCs w:val="18"/>
        </w:rPr>
        <w:t>Table S</w:t>
      </w:r>
      <w:r w:rsidR="00C64412" w:rsidRPr="00F704C7">
        <w:rPr>
          <w:rFonts w:ascii="Times New Roman" w:hAnsi="Times New Roman" w:cs="Times New Roman"/>
          <w:i/>
          <w:iCs/>
          <w:sz w:val="18"/>
          <w:szCs w:val="18"/>
        </w:rPr>
        <w:t>2</w:t>
      </w:r>
      <w:r w:rsidRPr="00F704C7">
        <w:rPr>
          <w:rFonts w:ascii="Times New Roman" w:hAnsi="Times New Roman" w:cs="Times New Roman"/>
          <w:i/>
          <w:iCs/>
          <w:sz w:val="18"/>
          <w:szCs w:val="18"/>
        </w:rPr>
        <w:t xml:space="preserve"> – Baseline characteristics in different patient groups. COPD – Chronic Obstructive Pulmonary Disease. CKD – Chronic Kidney Disease. qSOFA – quick Sepsis-Related Organ Failure Assessment.</w:t>
      </w:r>
    </w:p>
    <w:p w14:paraId="69F3A6C7" w14:textId="77777777" w:rsidR="005E475D" w:rsidRPr="00F704C7" w:rsidRDefault="005E475D">
      <w:pPr>
        <w:rPr>
          <w:rFonts w:ascii="Times New Roman" w:hAnsi="Times New Roman" w:cs="Times New Roman"/>
          <w:i/>
          <w:iCs/>
          <w:sz w:val="20"/>
          <w:szCs w:val="20"/>
        </w:rPr>
      </w:pPr>
      <w:r w:rsidRPr="00F704C7">
        <w:rPr>
          <w:rFonts w:ascii="Times New Roman" w:hAnsi="Times New Roman" w:cs="Times New Roman"/>
          <w:i/>
          <w:iCs/>
          <w:sz w:val="20"/>
          <w:szCs w:val="20"/>
        </w:rPr>
        <w:br w:type="page"/>
      </w:r>
    </w:p>
    <w:tbl>
      <w:tblPr>
        <w:tblStyle w:val="Mkatabulky"/>
        <w:tblpPr w:leftFromText="180" w:rightFromText="180" w:vertAnchor="page" w:horzAnchor="margin" w:tblpY="2041"/>
        <w:tblW w:w="0" w:type="auto"/>
        <w:tblLook w:val="04A0" w:firstRow="1" w:lastRow="0" w:firstColumn="1" w:lastColumn="0" w:noHBand="0" w:noVBand="1"/>
      </w:tblPr>
      <w:tblGrid>
        <w:gridCol w:w="2835"/>
        <w:gridCol w:w="2268"/>
        <w:gridCol w:w="2268"/>
        <w:gridCol w:w="3119"/>
        <w:gridCol w:w="1984"/>
        <w:gridCol w:w="1167"/>
      </w:tblGrid>
      <w:tr w:rsidR="005E475D" w:rsidRPr="00F704C7" w14:paraId="361D17B1" w14:textId="77777777" w:rsidTr="005E475D">
        <w:tc>
          <w:tcPr>
            <w:tcW w:w="2835" w:type="dxa"/>
            <w:vAlign w:val="center"/>
          </w:tcPr>
          <w:p w14:paraId="41E78F9E" w14:textId="77777777" w:rsidR="005E475D" w:rsidRPr="00F704C7" w:rsidRDefault="005E475D" w:rsidP="005E475D">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lastRenderedPageBreak/>
              <w:t>Characteristic</w:t>
            </w:r>
          </w:p>
        </w:tc>
        <w:tc>
          <w:tcPr>
            <w:tcW w:w="2268" w:type="dxa"/>
            <w:vAlign w:val="center"/>
          </w:tcPr>
          <w:p w14:paraId="4911D8F6" w14:textId="4A156971" w:rsidR="005E475D" w:rsidRPr="00F704C7" w:rsidRDefault="005E475D" w:rsidP="009E1E93">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 xml:space="preserve">bacterial infection </w:t>
            </w:r>
          </w:p>
        </w:tc>
        <w:tc>
          <w:tcPr>
            <w:tcW w:w="2268" w:type="dxa"/>
            <w:vAlign w:val="center"/>
          </w:tcPr>
          <w:p w14:paraId="0EB22DFC" w14:textId="3161115D" w:rsidR="005E475D" w:rsidRPr="00F704C7" w:rsidRDefault="005E475D" w:rsidP="009E1E93">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 xml:space="preserve">viral infection </w:t>
            </w:r>
          </w:p>
        </w:tc>
        <w:tc>
          <w:tcPr>
            <w:tcW w:w="3119" w:type="dxa"/>
            <w:vAlign w:val="center"/>
          </w:tcPr>
          <w:p w14:paraId="21FD49EC" w14:textId="1267050C" w:rsidR="005E475D" w:rsidRPr="00F704C7" w:rsidRDefault="005E475D" w:rsidP="009E1E93">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co-infection</w:t>
            </w:r>
          </w:p>
        </w:tc>
        <w:tc>
          <w:tcPr>
            <w:tcW w:w="1984" w:type="dxa"/>
            <w:vAlign w:val="center"/>
          </w:tcPr>
          <w:p w14:paraId="0D09B156" w14:textId="70058FFC" w:rsidR="005E475D" w:rsidRPr="00F704C7" w:rsidRDefault="005E475D" w:rsidP="005E475D">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non-infection</w:t>
            </w:r>
          </w:p>
        </w:tc>
        <w:tc>
          <w:tcPr>
            <w:tcW w:w="1167" w:type="dxa"/>
            <w:vAlign w:val="center"/>
          </w:tcPr>
          <w:p w14:paraId="47E4F879" w14:textId="77777777" w:rsidR="005E475D" w:rsidRPr="00F704C7" w:rsidRDefault="005E475D" w:rsidP="005E475D">
            <w:pPr>
              <w:spacing w:line="360" w:lineRule="auto"/>
              <w:jc w:val="center"/>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p value</w:t>
            </w:r>
          </w:p>
        </w:tc>
      </w:tr>
      <w:tr w:rsidR="005E475D" w:rsidRPr="00F704C7" w14:paraId="71C8365C" w14:textId="77777777" w:rsidTr="005E475D">
        <w:tc>
          <w:tcPr>
            <w:tcW w:w="13641" w:type="dxa"/>
            <w:gridSpan w:val="6"/>
          </w:tcPr>
          <w:p w14:paraId="1522C40F" w14:textId="77777777" w:rsidR="005E475D" w:rsidRPr="00F704C7" w:rsidRDefault="005E475D" w:rsidP="005E475D">
            <w:pPr>
              <w:spacing w:line="360" w:lineRule="auto"/>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 xml:space="preserve">Blood Count Differential </w:t>
            </w:r>
          </w:p>
        </w:tc>
      </w:tr>
      <w:tr w:rsidR="005E475D" w:rsidRPr="00F704C7" w14:paraId="457BA802" w14:textId="77777777" w:rsidTr="005E475D">
        <w:tc>
          <w:tcPr>
            <w:tcW w:w="2835" w:type="dxa"/>
            <w:vAlign w:val="center"/>
          </w:tcPr>
          <w:p w14:paraId="28DA4921"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WBC (x10</w:t>
            </w:r>
            <w:r w:rsidRPr="00F704C7">
              <w:rPr>
                <w:rFonts w:ascii="Times New Roman" w:hAnsi="Times New Roman" w:cs="Times New Roman"/>
                <w:color w:val="212121"/>
                <w:sz w:val="18"/>
                <w:szCs w:val="18"/>
                <w:shd w:val="clear" w:color="auto" w:fill="FFFFFF"/>
                <w:vertAlign w:val="superscript"/>
              </w:rPr>
              <w:t>9</w:t>
            </w:r>
            <w:r w:rsidRPr="00F704C7">
              <w:rPr>
                <w:rFonts w:ascii="Times New Roman" w:hAnsi="Times New Roman" w:cs="Times New Roman"/>
                <w:color w:val="212121"/>
                <w:sz w:val="18"/>
                <w:szCs w:val="18"/>
                <w:shd w:val="clear" w:color="auto" w:fill="FFFFFF"/>
              </w:rPr>
              <w:t>/L)</w:t>
            </w:r>
          </w:p>
        </w:tc>
        <w:tc>
          <w:tcPr>
            <w:tcW w:w="2268" w:type="dxa"/>
          </w:tcPr>
          <w:p w14:paraId="59344B6E"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11,8 (8,8-16,5)</w:t>
            </w:r>
          </w:p>
        </w:tc>
        <w:tc>
          <w:tcPr>
            <w:tcW w:w="2268" w:type="dxa"/>
          </w:tcPr>
          <w:p w14:paraId="463EB000"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8,6 (6,3-10,8)</w:t>
            </w:r>
          </w:p>
        </w:tc>
        <w:tc>
          <w:tcPr>
            <w:tcW w:w="3119" w:type="dxa"/>
            <w:vAlign w:val="center"/>
          </w:tcPr>
          <w:p w14:paraId="6DF2BF32"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9,2 (7,2-12,5)</w:t>
            </w:r>
          </w:p>
        </w:tc>
        <w:tc>
          <w:tcPr>
            <w:tcW w:w="1984" w:type="dxa"/>
            <w:vAlign w:val="center"/>
          </w:tcPr>
          <w:p w14:paraId="149DE125"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10,4 (7,7-13,8)</w:t>
            </w:r>
          </w:p>
        </w:tc>
        <w:tc>
          <w:tcPr>
            <w:tcW w:w="1167" w:type="dxa"/>
            <w:vAlign w:val="center"/>
          </w:tcPr>
          <w:p w14:paraId="07D30536"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0.03</w:t>
            </w:r>
            <w:r w:rsidRPr="00F704C7">
              <w:rPr>
                <w:rFonts w:ascii="Times New Roman" w:hAnsi="Times New Roman" w:cs="Times New Roman"/>
                <w:sz w:val="18"/>
                <w:szCs w:val="18"/>
                <w:vertAlign w:val="superscript"/>
              </w:rPr>
              <w:t>*</w:t>
            </w:r>
          </w:p>
        </w:tc>
      </w:tr>
      <w:tr w:rsidR="005E475D" w:rsidRPr="00F704C7" w14:paraId="34FBE127" w14:textId="77777777" w:rsidTr="005E475D">
        <w:tc>
          <w:tcPr>
            <w:tcW w:w="2835" w:type="dxa"/>
            <w:vAlign w:val="center"/>
          </w:tcPr>
          <w:p w14:paraId="33E921D4"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Neutrophils (%)</w:t>
            </w:r>
          </w:p>
        </w:tc>
        <w:tc>
          <w:tcPr>
            <w:tcW w:w="2268" w:type="dxa"/>
          </w:tcPr>
          <w:p w14:paraId="11C39856"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76 (66-84)</w:t>
            </w:r>
          </w:p>
        </w:tc>
        <w:tc>
          <w:tcPr>
            <w:tcW w:w="2268" w:type="dxa"/>
          </w:tcPr>
          <w:p w14:paraId="17B7D850"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68 (60-80)</w:t>
            </w:r>
          </w:p>
        </w:tc>
        <w:tc>
          <w:tcPr>
            <w:tcW w:w="3119" w:type="dxa"/>
            <w:vAlign w:val="center"/>
          </w:tcPr>
          <w:p w14:paraId="02F229F7"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85 (74-89)</w:t>
            </w:r>
          </w:p>
        </w:tc>
        <w:tc>
          <w:tcPr>
            <w:tcW w:w="1984" w:type="dxa"/>
            <w:vAlign w:val="center"/>
          </w:tcPr>
          <w:p w14:paraId="1F40A55A"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71 (63-81)</w:t>
            </w:r>
          </w:p>
        </w:tc>
        <w:tc>
          <w:tcPr>
            <w:tcW w:w="1167" w:type="dxa"/>
            <w:vAlign w:val="center"/>
          </w:tcPr>
          <w:p w14:paraId="0E141F27"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0.74</w:t>
            </w:r>
          </w:p>
        </w:tc>
      </w:tr>
      <w:tr w:rsidR="005E475D" w:rsidRPr="00F704C7" w14:paraId="12FCE3F3" w14:textId="77777777" w:rsidTr="005E475D">
        <w:tc>
          <w:tcPr>
            <w:tcW w:w="2835" w:type="dxa"/>
            <w:vAlign w:val="center"/>
          </w:tcPr>
          <w:p w14:paraId="3DF961AC"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Lymphocytes (%)</w:t>
            </w:r>
          </w:p>
        </w:tc>
        <w:tc>
          <w:tcPr>
            <w:tcW w:w="2268" w:type="dxa"/>
          </w:tcPr>
          <w:p w14:paraId="2324C86C"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12 (7-20)</w:t>
            </w:r>
          </w:p>
        </w:tc>
        <w:tc>
          <w:tcPr>
            <w:tcW w:w="2268" w:type="dxa"/>
          </w:tcPr>
          <w:p w14:paraId="55298EE8"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19 (11-25)</w:t>
            </w:r>
          </w:p>
        </w:tc>
        <w:tc>
          <w:tcPr>
            <w:tcW w:w="3119" w:type="dxa"/>
            <w:vAlign w:val="center"/>
          </w:tcPr>
          <w:p w14:paraId="365C328C"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8 (5-15)</w:t>
            </w:r>
          </w:p>
        </w:tc>
        <w:tc>
          <w:tcPr>
            <w:tcW w:w="1984" w:type="dxa"/>
            <w:vAlign w:val="center"/>
          </w:tcPr>
          <w:p w14:paraId="0A0BFDA7"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16 (11-21)</w:t>
            </w:r>
          </w:p>
        </w:tc>
        <w:tc>
          <w:tcPr>
            <w:tcW w:w="1167" w:type="dxa"/>
            <w:vAlign w:val="center"/>
          </w:tcPr>
          <w:p w14:paraId="090EAC83"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0.25</w:t>
            </w:r>
          </w:p>
        </w:tc>
      </w:tr>
      <w:tr w:rsidR="005E475D" w:rsidRPr="00F704C7" w14:paraId="121FCB6D" w14:textId="77777777" w:rsidTr="005E475D">
        <w:tc>
          <w:tcPr>
            <w:tcW w:w="2835" w:type="dxa"/>
            <w:vAlign w:val="center"/>
          </w:tcPr>
          <w:p w14:paraId="0AC1AA43" w14:textId="77777777" w:rsidR="005E475D" w:rsidRPr="00F704C7" w:rsidRDefault="005E475D" w:rsidP="005E475D">
            <w:pPr>
              <w:tabs>
                <w:tab w:val="left" w:pos="1360"/>
              </w:tabs>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NLR</w:t>
            </w:r>
          </w:p>
        </w:tc>
        <w:tc>
          <w:tcPr>
            <w:tcW w:w="2268" w:type="dxa"/>
          </w:tcPr>
          <w:p w14:paraId="42AD7CAB"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6,2 (3,4-12,4)</w:t>
            </w:r>
          </w:p>
        </w:tc>
        <w:tc>
          <w:tcPr>
            <w:tcW w:w="2268" w:type="dxa"/>
          </w:tcPr>
          <w:p w14:paraId="14948C08"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3,7 (2,3-7,2)</w:t>
            </w:r>
          </w:p>
        </w:tc>
        <w:tc>
          <w:tcPr>
            <w:tcW w:w="3119" w:type="dxa"/>
            <w:vAlign w:val="center"/>
          </w:tcPr>
          <w:p w14:paraId="21CCD591"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10,7 (5,2-17,1)</w:t>
            </w:r>
          </w:p>
        </w:tc>
        <w:tc>
          <w:tcPr>
            <w:tcW w:w="1984" w:type="dxa"/>
            <w:vAlign w:val="center"/>
          </w:tcPr>
          <w:p w14:paraId="4A29DA2A"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4,1 (2,7-6,9)</w:t>
            </w:r>
          </w:p>
        </w:tc>
        <w:tc>
          <w:tcPr>
            <w:tcW w:w="1167" w:type="dxa"/>
            <w:vAlign w:val="center"/>
          </w:tcPr>
          <w:p w14:paraId="42A369D4"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0.41</w:t>
            </w:r>
          </w:p>
        </w:tc>
      </w:tr>
      <w:tr w:rsidR="005E475D" w:rsidRPr="00F704C7" w14:paraId="46AF2905" w14:textId="77777777" w:rsidTr="005E475D">
        <w:tc>
          <w:tcPr>
            <w:tcW w:w="2835" w:type="dxa"/>
            <w:vAlign w:val="center"/>
          </w:tcPr>
          <w:p w14:paraId="68CBCD2B"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Platelets (x10</w:t>
            </w:r>
            <w:r w:rsidRPr="00F704C7">
              <w:rPr>
                <w:rFonts w:ascii="Times New Roman" w:hAnsi="Times New Roman" w:cs="Times New Roman"/>
                <w:color w:val="212121"/>
                <w:sz w:val="18"/>
                <w:szCs w:val="18"/>
                <w:shd w:val="clear" w:color="auto" w:fill="FFFFFF"/>
                <w:vertAlign w:val="superscript"/>
              </w:rPr>
              <w:t>9</w:t>
            </w:r>
            <w:r w:rsidRPr="00F704C7">
              <w:rPr>
                <w:rFonts w:ascii="Times New Roman" w:hAnsi="Times New Roman" w:cs="Times New Roman"/>
                <w:color w:val="212121"/>
                <w:sz w:val="18"/>
                <w:szCs w:val="18"/>
                <w:shd w:val="clear" w:color="auto" w:fill="FFFFFF"/>
              </w:rPr>
              <w:t>/L)</w:t>
            </w:r>
          </w:p>
        </w:tc>
        <w:tc>
          <w:tcPr>
            <w:tcW w:w="2268" w:type="dxa"/>
          </w:tcPr>
          <w:p w14:paraId="6D8AC9C7"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229 (173-306)</w:t>
            </w:r>
          </w:p>
        </w:tc>
        <w:tc>
          <w:tcPr>
            <w:tcW w:w="2268" w:type="dxa"/>
          </w:tcPr>
          <w:p w14:paraId="006BCB5C"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203 (164-260)</w:t>
            </w:r>
          </w:p>
        </w:tc>
        <w:tc>
          <w:tcPr>
            <w:tcW w:w="3119" w:type="dxa"/>
            <w:vAlign w:val="center"/>
          </w:tcPr>
          <w:p w14:paraId="426549D6"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228 (154-303)</w:t>
            </w:r>
          </w:p>
        </w:tc>
        <w:tc>
          <w:tcPr>
            <w:tcW w:w="1984" w:type="dxa"/>
            <w:vAlign w:val="center"/>
          </w:tcPr>
          <w:p w14:paraId="42CE602C"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251 (191-335)</w:t>
            </w:r>
          </w:p>
        </w:tc>
        <w:tc>
          <w:tcPr>
            <w:tcW w:w="1167" w:type="dxa"/>
            <w:vAlign w:val="center"/>
          </w:tcPr>
          <w:p w14:paraId="024C5D97"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&lt;0.001</w:t>
            </w:r>
            <w:r w:rsidRPr="00F704C7">
              <w:rPr>
                <w:rFonts w:ascii="Times New Roman" w:hAnsi="Times New Roman" w:cs="Times New Roman"/>
                <w:sz w:val="18"/>
                <w:szCs w:val="18"/>
                <w:vertAlign w:val="superscript"/>
              </w:rPr>
              <w:t>*</w:t>
            </w:r>
          </w:p>
        </w:tc>
      </w:tr>
      <w:tr w:rsidR="005E475D" w:rsidRPr="00F704C7" w14:paraId="080A6CAA" w14:textId="77777777" w:rsidTr="005E475D">
        <w:tc>
          <w:tcPr>
            <w:tcW w:w="2835" w:type="dxa"/>
            <w:vAlign w:val="center"/>
          </w:tcPr>
          <w:p w14:paraId="48C58361"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ICIS</w:t>
            </w:r>
          </w:p>
        </w:tc>
        <w:tc>
          <w:tcPr>
            <w:tcW w:w="2268" w:type="dxa"/>
          </w:tcPr>
          <w:p w14:paraId="5C4DF38F"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 (1-4)</w:t>
            </w:r>
          </w:p>
        </w:tc>
        <w:tc>
          <w:tcPr>
            <w:tcW w:w="2268" w:type="dxa"/>
          </w:tcPr>
          <w:p w14:paraId="35858E31"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 (0-2)</w:t>
            </w:r>
          </w:p>
        </w:tc>
        <w:tc>
          <w:tcPr>
            <w:tcW w:w="3119" w:type="dxa"/>
            <w:vAlign w:val="center"/>
          </w:tcPr>
          <w:p w14:paraId="5FACAE16"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 (1-5)</w:t>
            </w:r>
          </w:p>
        </w:tc>
        <w:tc>
          <w:tcPr>
            <w:tcW w:w="1984" w:type="dxa"/>
            <w:vAlign w:val="center"/>
          </w:tcPr>
          <w:p w14:paraId="7E9F7C59"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 (0-2)</w:t>
            </w:r>
          </w:p>
        </w:tc>
        <w:tc>
          <w:tcPr>
            <w:tcW w:w="1167" w:type="dxa"/>
            <w:vAlign w:val="center"/>
          </w:tcPr>
          <w:p w14:paraId="477253EC"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&lt;0.001</w:t>
            </w:r>
            <w:r w:rsidRPr="00F704C7">
              <w:rPr>
                <w:rFonts w:ascii="Times New Roman" w:hAnsi="Times New Roman" w:cs="Times New Roman"/>
                <w:sz w:val="18"/>
                <w:szCs w:val="18"/>
                <w:vertAlign w:val="superscript"/>
              </w:rPr>
              <w:t>*</w:t>
            </w:r>
          </w:p>
        </w:tc>
      </w:tr>
      <w:tr w:rsidR="005E475D" w:rsidRPr="00F704C7" w14:paraId="382E18BD" w14:textId="77777777" w:rsidTr="005E475D">
        <w:tc>
          <w:tcPr>
            <w:tcW w:w="13641" w:type="dxa"/>
            <w:gridSpan w:val="6"/>
          </w:tcPr>
          <w:p w14:paraId="12F766C4" w14:textId="77777777" w:rsidR="005E475D" w:rsidRPr="00F704C7" w:rsidRDefault="005E475D" w:rsidP="005E475D">
            <w:pPr>
              <w:spacing w:line="360" w:lineRule="auto"/>
              <w:rPr>
                <w:rFonts w:ascii="Times New Roman" w:hAnsi="Times New Roman" w:cs="Times New Roman"/>
                <w:b/>
                <w:bCs/>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Biochemistry</w:t>
            </w:r>
          </w:p>
        </w:tc>
      </w:tr>
      <w:tr w:rsidR="005E475D" w:rsidRPr="00F704C7" w14:paraId="5250F3D4" w14:textId="77777777" w:rsidTr="005E475D">
        <w:tc>
          <w:tcPr>
            <w:tcW w:w="2835" w:type="dxa"/>
            <w:vAlign w:val="center"/>
          </w:tcPr>
          <w:p w14:paraId="5B77D297"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MxA (µg/L)</w:t>
            </w:r>
          </w:p>
        </w:tc>
        <w:tc>
          <w:tcPr>
            <w:tcW w:w="2268" w:type="dxa"/>
          </w:tcPr>
          <w:p w14:paraId="1ED6D315"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 (1-6)</w:t>
            </w:r>
          </w:p>
        </w:tc>
        <w:tc>
          <w:tcPr>
            <w:tcW w:w="2268" w:type="dxa"/>
            <w:vAlign w:val="center"/>
          </w:tcPr>
          <w:p w14:paraId="326C9982"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82 (24-179)</w:t>
            </w:r>
          </w:p>
        </w:tc>
        <w:tc>
          <w:tcPr>
            <w:tcW w:w="3119" w:type="dxa"/>
            <w:vAlign w:val="center"/>
          </w:tcPr>
          <w:p w14:paraId="0B49D1A4"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85 (44-249)</w:t>
            </w:r>
          </w:p>
        </w:tc>
        <w:tc>
          <w:tcPr>
            <w:tcW w:w="1984" w:type="dxa"/>
            <w:vAlign w:val="center"/>
          </w:tcPr>
          <w:p w14:paraId="29FC4A02"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 (1-2)</w:t>
            </w:r>
          </w:p>
        </w:tc>
        <w:tc>
          <w:tcPr>
            <w:tcW w:w="1167" w:type="dxa"/>
            <w:vAlign w:val="center"/>
          </w:tcPr>
          <w:p w14:paraId="4EB008DD"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&lt;0.001</w:t>
            </w:r>
            <w:r w:rsidRPr="00F704C7">
              <w:rPr>
                <w:rFonts w:ascii="Times New Roman" w:hAnsi="Times New Roman" w:cs="Times New Roman"/>
                <w:sz w:val="18"/>
                <w:szCs w:val="18"/>
                <w:vertAlign w:val="superscript"/>
              </w:rPr>
              <w:t>*</w:t>
            </w:r>
          </w:p>
        </w:tc>
      </w:tr>
      <w:tr w:rsidR="005E475D" w:rsidRPr="00F704C7" w14:paraId="5CD716CE" w14:textId="77777777" w:rsidTr="005E475D">
        <w:tc>
          <w:tcPr>
            <w:tcW w:w="2835" w:type="dxa"/>
            <w:vAlign w:val="center"/>
          </w:tcPr>
          <w:p w14:paraId="06A6FB4A"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C-reactive protein (mg/L)</w:t>
            </w:r>
          </w:p>
        </w:tc>
        <w:tc>
          <w:tcPr>
            <w:tcW w:w="2268" w:type="dxa"/>
          </w:tcPr>
          <w:p w14:paraId="4F02EF3E"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88 (31-171)</w:t>
            </w:r>
          </w:p>
        </w:tc>
        <w:tc>
          <w:tcPr>
            <w:tcW w:w="2268" w:type="dxa"/>
            <w:vAlign w:val="center"/>
          </w:tcPr>
          <w:p w14:paraId="3EA1018E"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35 (11-68)</w:t>
            </w:r>
          </w:p>
        </w:tc>
        <w:tc>
          <w:tcPr>
            <w:tcW w:w="3119" w:type="dxa"/>
            <w:vAlign w:val="center"/>
          </w:tcPr>
          <w:p w14:paraId="41C56ADE"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95 (42-189)</w:t>
            </w:r>
          </w:p>
        </w:tc>
        <w:tc>
          <w:tcPr>
            <w:tcW w:w="1984" w:type="dxa"/>
            <w:vAlign w:val="center"/>
          </w:tcPr>
          <w:p w14:paraId="4DA1AF06"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15 (4-48)</w:t>
            </w:r>
          </w:p>
        </w:tc>
        <w:tc>
          <w:tcPr>
            <w:tcW w:w="1167" w:type="dxa"/>
            <w:vAlign w:val="center"/>
          </w:tcPr>
          <w:p w14:paraId="4EC453FE"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&lt;0.001</w:t>
            </w:r>
            <w:r w:rsidRPr="00F704C7">
              <w:rPr>
                <w:rFonts w:ascii="Times New Roman" w:hAnsi="Times New Roman" w:cs="Times New Roman"/>
                <w:sz w:val="18"/>
                <w:szCs w:val="18"/>
                <w:vertAlign w:val="superscript"/>
              </w:rPr>
              <w:t>*</w:t>
            </w:r>
          </w:p>
        </w:tc>
      </w:tr>
      <w:tr w:rsidR="005E475D" w:rsidRPr="00F704C7" w14:paraId="5203DDF1" w14:textId="77777777" w:rsidTr="005E475D">
        <w:tc>
          <w:tcPr>
            <w:tcW w:w="2835" w:type="dxa"/>
            <w:vAlign w:val="center"/>
          </w:tcPr>
          <w:p w14:paraId="4292CD61"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Procalcitonin (µg/L)</w:t>
            </w:r>
          </w:p>
        </w:tc>
        <w:tc>
          <w:tcPr>
            <w:tcW w:w="2268" w:type="dxa"/>
          </w:tcPr>
          <w:p w14:paraId="14DDD556"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0,45 (0,16-1,84)</w:t>
            </w:r>
          </w:p>
        </w:tc>
        <w:tc>
          <w:tcPr>
            <w:tcW w:w="2268" w:type="dxa"/>
          </w:tcPr>
          <w:p w14:paraId="1D4E0894"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0,11 (0,06-0,18)</w:t>
            </w:r>
          </w:p>
        </w:tc>
        <w:tc>
          <w:tcPr>
            <w:tcW w:w="3119" w:type="dxa"/>
            <w:vAlign w:val="center"/>
          </w:tcPr>
          <w:p w14:paraId="55ABE26B"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0,52 (0,19-1,52)</w:t>
            </w:r>
          </w:p>
        </w:tc>
        <w:tc>
          <w:tcPr>
            <w:tcW w:w="1984" w:type="dxa"/>
            <w:vAlign w:val="center"/>
          </w:tcPr>
          <w:p w14:paraId="3E19F5BE"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0,08 (0,05-0,16)</w:t>
            </w:r>
          </w:p>
        </w:tc>
        <w:tc>
          <w:tcPr>
            <w:tcW w:w="1167" w:type="dxa"/>
            <w:vAlign w:val="center"/>
          </w:tcPr>
          <w:p w14:paraId="04F54FD2"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&lt;0.001</w:t>
            </w:r>
            <w:r w:rsidRPr="00F704C7">
              <w:rPr>
                <w:rFonts w:ascii="Times New Roman" w:hAnsi="Times New Roman" w:cs="Times New Roman"/>
                <w:sz w:val="18"/>
                <w:szCs w:val="18"/>
                <w:vertAlign w:val="superscript"/>
              </w:rPr>
              <w:t>*</w:t>
            </w:r>
          </w:p>
        </w:tc>
      </w:tr>
      <w:tr w:rsidR="005E475D" w:rsidRPr="00F704C7" w14:paraId="5F980FF0" w14:textId="77777777" w:rsidTr="005E475D">
        <w:tc>
          <w:tcPr>
            <w:tcW w:w="2835" w:type="dxa"/>
            <w:vAlign w:val="center"/>
          </w:tcPr>
          <w:p w14:paraId="7966384B"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Creatinine (µ mol/L)</w:t>
            </w:r>
          </w:p>
        </w:tc>
        <w:tc>
          <w:tcPr>
            <w:tcW w:w="2268" w:type="dxa"/>
          </w:tcPr>
          <w:p w14:paraId="618A9BF7"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116 (84-185)</w:t>
            </w:r>
          </w:p>
        </w:tc>
        <w:tc>
          <w:tcPr>
            <w:tcW w:w="2268" w:type="dxa"/>
          </w:tcPr>
          <w:p w14:paraId="1D8E435A"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90 (70-111)</w:t>
            </w:r>
          </w:p>
        </w:tc>
        <w:tc>
          <w:tcPr>
            <w:tcW w:w="3119" w:type="dxa"/>
            <w:vAlign w:val="center"/>
          </w:tcPr>
          <w:p w14:paraId="75BA8765"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107 (79-156)</w:t>
            </w:r>
          </w:p>
        </w:tc>
        <w:tc>
          <w:tcPr>
            <w:tcW w:w="1984" w:type="dxa"/>
            <w:vAlign w:val="center"/>
          </w:tcPr>
          <w:p w14:paraId="0FE91446"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95 (69-146)</w:t>
            </w:r>
          </w:p>
        </w:tc>
        <w:tc>
          <w:tcPr>
            <w:tcW w:w="1167" w:type="dxa"/>
            <w:vAlign w:val="center"/>
          </w:tcPr>
          <w:p w14:paraId="7BBB682A"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&lt;0.001</w:t>
            </w:r>
            <w:r w:rsidRPr="00F704C7">
              <w:rPr>
                <w:rFonts w:ascii="Times New Roman" w:hAnsi="Times New Roman" w:cs="Times New Roman"/>
                <w:sz w:val="18"/>
                <w:szCs w:val="18"/>
                <w:vertAlign w:val="superscript"/>
              </w:rPr>
              <w:t>*</w:t>
            </w:r>
          </w:p>
        </w:tc>
      </w:tr>
      <w:tr w:rsidR="005E475D" w:rsidRPr="00F704C7" w14:paraId="788A70D9" w14:textId="77777777" w:rsidTr="005E475D">
        <w:tc>
          <w:tcPr>
            <w:tcW w:w="2835" w:type="dxa"/>
            <w:vAlign w:val="center"/>
          </w:tcPr>
          <w:p w14:paraId="67A84D9E"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Bilirubin (µ mol/L)</w:t>
            </w:r>
          </w:p>
        </w:tc>
        <w:tc>
          <w:tcPr>
            <w:tcW w:w="2268" w:type="dxa"/>
          </w:tcPr>
          <w:p w14:paraId="3EB681A9"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12 (8-19)</w:t>
            </w:r>
          </w:p>
        </w:tc>
        <w:tc>
          <w:tcPr>
            <w:tcW w:w="2268" w:type="dxa"/>
          </w:tcPr>
          <w:p w14:paraId="7A99135F"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11 (8-13)</w:t>
            </w:r>
          </w:p>
        </w:tc>
        <w:tc>
          <w:tcPr>
            <w:tcW w:w="3119" w:type="dxa"/>
            <w:vAlign w:val="center"/>
          </w:tcPr>
          <w:p w14:paraId="5D8921B1"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12 (8-16)</w:t>
            </w:r>
          </w:p>
        </w:tc>
        <w:tc>
          <w:tcPr>
            <w:tcW w:w="1984" w:type="dxa"/>
            <w:vAlign w:val="center"/>
          </w:tcPr>
          <w:p w14:paraId="70DE58A4"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12 (7-16)</w:t>
            </w:r>
          </w:p>
        </w:tc>
        <w:tc>
          <w:tcPr>
            <w:tcW w:w="1167" w:type="dxa"/>
            <w:vAlign w:val="center"/>
          </w:tcPr>
          <w:p w14:paraId="1CFB8783"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0.02</w:t>
            </w:r>
            <w:r w:rsidRPr="00F704C7">
              <w:rPr>
                <w:rFonts w:ascii="Times New Roman" w:hAnsi="Times New Roman" w:cs="Times New Roman"/>
                <w:sz w:val="18"/>
                <w:szCs w:val="18"/>
                <w:vertAlign w:val="superscript"/>
              </w:rPr>
              <w:t>*</w:t>
            </w:r>
          </w:p>
        </w:tc>
      </w:tr>
      <w:tr w:rsidR="005E475D" w:rsidRPr="00F704C7" w14:paraId="779410D5" w14:textId="77777777" w:rsidTr="005E475D">
        <w:tc>
          <w:tcPr>
            <w:tcW w:w="2835" w:type="dxa"/>
            <w:vAlign w:val="center"/>
          </w:tcPr>
          <w:p w14:paraId="721820E0"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Lactate (mmol/L)</w:t>
            </w:r>
          </w:p>
        </w:tc>
        <w:tc>
          <w:tcPr>
            <w:tcW w:w="2268" w:type="dxa"/>
          </w:tcPr>
          <w:p w14:paraId="22B22EE2"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1,7 (1,1-2,6)</w:t>
            </w:r>
          </w:p>
        </w:tc>
        <w:tc>
          <w:tcPr>
            <w:tcW w:w="2268" w:type="dxa"/>
          </w:tcPr>
          <w:p w14:paraId="28BD512B"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1,3 (0,9-1,9)</w:t>
            </w:r>
          </w:p>
        </w:tc>
        <w:tc>
          <w:tcPr>
            <w:tcW w:w="3119" w:type="dxa"/>
            <w:vAlign w:val="center"/>
          </w:tcPr>
          <w:p w14:paraId="01DFB9E3"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1,7 (1,1-2,4)</w:t>
            </w:r>
          </w:p>
        </w:tc>
        <w:tc>
          <w:tcPr>
            <w:tcW w:w="1984" w:type="dxa"/>
            <w:vAlign w:val="center"/>
          </w:tcPr>
          <w:p w14:paraId="7EEAF614"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 (1,3-3,7)</w:t>
            </w:r>
          </w:p>
        </w:tc>
        <w:tc>
          <w:tcPr>
            <w:tcW w:w="1167" w:type="dxa"/>
            <w:vAlign w:val="center"/>
          </w:tcPr>
          <w:p w14:paraId="16EF5B73"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0.09</w:t>
            </w:r>
          </w:p>
        </w:tc>
      </w:tr>
      <w:tr w:rsidR="005E475D" w:rsidRPr="00F704C7" w14:paraId="4772BFF1" w14:textId="77777777" w:rsidTr="005E475D">
        <w:tc>
          <w:tcPr>
            <w:tcW w:w="13641" w:type="dxa"/>
            <w:gridSpan w:val="6"/>
          </w:tcPr>
          <w:p w14:paraId="0656B537" w14:textId="77777777" w:rsidR="005E475D" w:rsidRPr="00F704C7" w:rsidRDefault="005E475D" w:rsidP="005E475D">
            <w:pPr>
              <w:spacing w:line="360" w:lineRule="auto"/>
              <w:rPr>
                <w:rFonts w:ascii="Times New Roman" w:hAnsi="Times New Roman" w:cs="Times New Roman"/>
                <w:color w:val="212121"/>
                <w:sz w:val="18"/>
                <w:szCs w:val="18"/>
                <w:shd w:val="clear" w:color="auto" w:fill="FFFFFF"/>
              </w:rPr>
            </w:pPr>
            <w:r w:rsidRPr="00F704C7">
              <w:rPr>
                <w:rFonts w:ascii="Times New Roman" w:hAnsi="Times New Roman" w:cs="Times New Roman"/>
                <w:b/>
                <w:bCs/>
                <w:color w:val="212121"/>
                <w:sz w:val="18"/>
                <w:szCs w:val="18"/>
                <w:shd w:val="clear" w:color="auto" w:fill="FFFFFF"/>
              </w:rPr>
              <w:t>Coagulation</w:t>
            </w:r>
          </w:p>
        </w:tc>
      </w:tr>
      <w:tr w:rsidR="005E475D" w:rsidRPr="00F704C7" w14:paraId="59F08229" w14:textId="77777777" w:rsidTr="005E475D">
        <w:tc>
          <w:tcPr>
            <w:tcW w:w="2835" w:type="dxa"/>
            <w:vAlign w:val="center"/>
          </w:tcPr>
          <w:p w14:paraId="183A6CE6"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aPTT (seconds)</w:t>
            </w:r>
          </w:p>
        </w:tc>
        <w:tc>
          <w:tcPr>
            <w:tcW w:w="2268" w:type="dxa"/>
          </w:tcPr>
          <w:p w14:paraId="1470800F"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30,4 (27,3-35,2)</w:t>
            </w:r>
          </w:p>
        </w:tc>
        <w:tc>
          <w:tcPr>
            <w:tcW w:w="2268" w:type="dxa"/>
          </w:tcPr>
          <w:p w14:paraId="3AED8462"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30,5 (27,7-35)</w:t>
            </w:r>
          </w:p>
        </w:tc>
        <w:tc>
          <w:tcPr>
            <w:tcW w:w="3119" w:type="dxa"/>
            <w:vAlign w:val="center"/>
          </w:tcPr>
          <w:p w14:paraId="44FC81A3"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33,9 (29,5-38,9)</w:t>
            </w:r>
          </w:p>
        </w:tc>
        <w:tc>
          <w:tcPr>
            <w:tcW w:w="1984" w:type="dxa"/>
            <w:vAlign w:val="center"/>
          </w:tcPr>
          <w:p w14:paraId="2606227B"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29,1 (26,3-33,3)</w:t>
            </w:r>
          </w:p>
        </w:tc>
        <w:tc>
          <w:tcPr>
            <w:tcW w:w="1167" w:type="dxa"/>
            <w:vAlign w:val="center"/>
          </w:tcPr>
          <w:p w14:paraId="5465A179"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0.34</w:t>
            </w:r>
          </w:p>
        </w:tc>
      </w:tr>
      <w:tr w:rsidR="005E475D" w:rsidRPr="00F704C7" w14:paraId="39267878" w14:textId="77777777" w:rsidTr="005E475D">
        <w:tc>
          <w:tcPr>
            <w:tcW w:w="2835" w:type="dxa"/>
            <w:vAlign w:val="center"/>
          </w:tcPr>
          <w:p w14:paraId="7ABE4B9D"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PT (seconds)</w:t>
            </w:r>
          </w:p>
        </w:tc>
        <w:tc>
          <w:tcPr>
            <w:tcW w:w="2268" w:type="dxa"/>
          </w:tcPr>
          <w:p w14:paraId="7167B560"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13,4 (12-15,7)</w:t>
            </w:r>
          </w:p>
        </w:tc>
        <w:tc>
          <w:tcPr>
            <w:tcW w:w="2268" w:type="dxa"/>
          </w:tcPr>
          <w:p w14:paraId="32A62115"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12,5 (11,5-13,c3)</w:t>
            </w:r>
          </w:p>
        </w:tc>
        <w:tc>
          <w:tcPr>
            <w:tcW w:w="3119" w:type="dxa"/>
            <w:vAlign w:val="center"/>
          </w:tcPr>
          <w:p w14:paraId="2A4FEA30"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13,2 (12,1-14,5)</w:t>
            </w:r>
          </w:p>
        </w:tc>
        <w:tc>
          <w:tcPr>
            <w:tcW w:w="1984" w:type="dxa"/>
            <w:vAlign w:val="center"/>
          </w:tcPr>
          <w:p w14:paraId="56D7F8D2"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12,8 (11,3-14,6)</w:t>
            </w:r>
          </w:p>
        </w:tc>
        <w:tc>
          <w:tcPr>
            <w:tcW w:w="1167" w:type="dxa"/>
            <w:vAlign w:val="center"/>
          </w:tcPr>
          <w:p w14:paraId="367171C6" w14:textId="77777777" w:rsidR="005E475D" w:rsidRPr="00F704C7" w:rsidRDefault="005E475D" w:rsidP="005E475D">
            <w:pPr>
              <w:spacing w:line="360" w:lineRule="auto"/>
              <w:jc w:val="center"/>
              <w:rPr>
                <w:rFonts w:ascii="Times New Roman" w:hAnsi="Times New Roman" w:cs="Times New Roman"/>
                <w:color w:val="212121"/>
                <w:sz w:val="18"/>
                <w:szCs w:val="18"/>
                <w:shd w:val="clear" w:color="auto" w:fill="FFFFFF"/>
              </w:rPr>
            </w:pPr>
            <w:r w:rsidRPr="00F704C7">
              <w:rPr>
                <w:rFonts w:ascii="Times New Roman" w:hAnsi="Times New Roman" w:cs="Times New Roman"/>
                <w:color w:val="212121"/>
                <w:sz w:val="18"/>
                <w:szCs w:val="18"/>
                <w:shd w:val="clear" w:color="auto" w:fill="FFFFFF"/>
              </w:rPr>
              <w:t>0.54</w:t>
            </w:r>
          </w:p>
        </w:tc>
      </w:tr>
    </w:tbl>
    <w:p w14:paraId="65413747" w14:textId="6502E2C2" w:rsidR="005E475D" w:rsidRPr="00F704C7" w:rsidRDefault="005E475D" w:rsidP="00F07603">
      <w:pPr>
        <w:pStyle w:val="Nadpis1"/>
      </w:pPr>
      <w:r w:rsidRPr="00F704C7">
        <w:t>Table</w:t>
      </w:r>
      <w:r w:rsidR="00547000" w:rsidRPr="00F704C7">
        <w:t>s</w:t>
      </w:r>
      <w:r w:rsidRPr="00F704C7">
        <w:t xml:space="preserve"> S</w:t>
      </w:r>
      <w:r w:rsidR="00C64412" w:rsidRPr="00F704C7">
        <w:t>3</w:t>
      </w:r>
      <w:r w:rsidR="00547000" w:rsidRPr="00F704C7">
        <w:rPr>
          <w:vertAlign w:val="subscript"/>
        </w:rPr>
        <w:t>1-15</w:t>
      </w:r>
      <w:r w:rsidRPr="00F704C7">
        <w:t xml:space="preserve"> – Laboratory results of selected parameters</w:t>
      </w:r>
    </w:p>
    <w:p w14:paraId="05EE8068" w14:textId="35D34865" w:rsidR="00547000" w:rsidRPr="00F704C7" w:rsidRDefault="005E475D" w:rsidP="00972696">
      <w:pPr>
        <w:jc w:val="both"/>
        <w:rPr>
          <w:rFonts w:ascii="Times New Roman" w:hAnsi="Times New Roman" w:cs="Times New Roman"/>
          <w:i/>
          <w:iCs/>
          <w:sz w:val="18"/>
          <w:szCs w:val="18"/>
        </w:rPr>
        <w:sectPr w:rsidR="00547000" w:rsidRPr="00F704C7" w:rsidSect="00AF6833">
          <w:pgSz w:w="16838" w:h="11906" w:orient="landscape"/>
          <w:pgMar w:top="1417" w:right="1417" w:bottom="1417" w:left="1417" w:header="708" w:footer="708" w:gutter="0"/>
          <w:cols w:space="708"/>
          <w:docGrid w:linePitch="360"/>
        </w:sectPr>
      </w:pPr>
      <w:r w:rsidRPr="00F704C7">
        <w:rPr>
          <w:rFonts w:ascii="Times New Roman" w:hAnsi="Times New Roman" w:cs="Times New Roman"/>
          <w:i/>
          <w:iCs/>
          <w:sz w:val="18"/>
          <w:szCs w:val="18"/>
        </w:rPr>
        <w:t>Table S</w:t>
      </w:r>
      <w:r w:rsidR="00C64412" w:rsidRPr="00F704C7">
        <w:rPr>
          <w:rFonts w:ascii="Times New Roman" w:hAnsi="Times New Roman" w:cs="Times New Roman"/>
          <w:i/>
          <w:iCs/>
          <w:sz w:val="18"/>
          <w:szCs w:val="18"/>
        </w:rPr>
        <w:t>3</w:t>
      </w:r>
      <w:r w:rsidRPr="00F704C7">
        <w:rPr>
          <w:rFonts w:ascii="Times New Roman" w:hAnsi="Times New Roman" w:cs="Times New Roman"/>
          <w:i/>
          <w:iCs/>
          <w:sz w:val="18"/>
          <w:szCs w:val="18"/>
          <w:vertAlign w:val="subscript"/>
        </w:rPr>
        <w:t>1</w:t>
      </w:r>
      <w:r w:rsidRPr="00F704C7">
        <w:rPr>
          <w:rFonts w:ascii="Times New Roman" w:hAnsi="Times New Roman" w:cs="Times New Roman"/>
          <w:i/>
          <w:iCs/>
          <w:sz w:val="18"/>
          <w:szCs w:val="18"/>
        </w:rPr>
        <w:t xml:space="preserve"> – Laboratory results of selected parameters. Displayed p values represent results of the intergroup comparison. </w:t>
      </w:r>
      <w:r w:rsidRPr="00F704C7">
        <w:rPr>
          <w:rFonts w:ascii="Times New Roman" w:hAnsi="Times New Roman" w:cs="Times New Roman"/>
          <w:i/>
          <w:iCs/>
          <w:sz w:val="18"/>
          <w:szCs w:val="18"/>
          <w:vertAlign w:val="superscript"/>
        </w:rPr>
        <w:t xml:space="preserve">* </w:t>
      </w:r>
      <w:r w:rsidRPr="00F704C7">
        <w:rPr>
          <w:rFonts w:ascii="Times New Roman" w:hAnsi="Times New Roman" w:cs="Times New Roman"/>
          <w:i/>
          <w:iCs/>
          <w:sz w:val="18"/>
          <w:szCs w:val="18"/>
        </w:rPr>
        <w:t>p value for significant differences between groups. WBC – White Blood Count. NLR – Neutrophil to Lymphocyte Ratio. ICIS –  Intensive Care Infection Score. MxA –  Myxovirus protein A.  aPTT – activated Partial Tromboplastin Time. PT -  Prothrombin Time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272818C7" w14:textId="77777777" w:rsidTr="006F35D9">
        <w:tc>
          <w:tcPr>
            <w:tcW w:w="1863" w:type="dxa"/>
            <w:tcBorders>
              <w:bottom w:val="single" w:sz="12" w:space="0" w:color="auto"/>
              <w:right w:val="single" w:sz="12" w:space="0" w:color="auto"/>
            </w:tcBorders>
          </w:tcPr>
          <w:p w14:paraId="2B1BA047" w14:textId="77777777" w:rsidR="00547000" w:rsidRPr="00F704C7" w:rsidRDefault="00547000" w:rsidP="006F35D9">
            <w:pPr>
              <w:jc w:val="center"/>
              <w:rPr>
                <w:rFonts w:ascii="Times New Roman" w:hAnsi="Times New Roman" w:cs="Times New Roman"/>
                <w:b/>
                <w:bCs/>
                <w:sz w:val="20"/>
                <w:szCs w:val="20"/>
              </w:rPr>
            </w:pPr>
            <w:r w:rsidRPr="00F704C7">
              <w:rPr>
                <w:rFonts w:ascii="Times New Roman" w:hAnsi="Times New Roman" w:cs="Times New Roman"/>
                <w:b/>
                <w:bCs/>
                <w:color w:val="212121"/>
                <w:sz w:val="20"/>
                <w:szCs w:val="20"/>
                <w:shd w:val="clear" w:color="auto" w:fill="FFFFFF"/>
              </w:rPr>
              <w:lastRenderedPageBreak/>
              <w:t>WBC</w:t>
            </w:r>
          </w:p>
        </w:tc>
        <w:tc>
          <w:tcPr>
            <w:tcW w:w="1863" w:type="dxa"/>
            <w:tcBorders>
              <w:left w:val="single" w:sz="12" w:space="0" w:color="auto"/>
              <w:bottom w:val="single" w:sz="12" w:space="0" w:color="auto"/>
            </w:tcBorders>
          </w:tcPr>
          <w:p w14:paraId="5DE08D25" w14:textId="3E65452E"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tcPr>
          <w:p w14:paraId="0A93BDFB" w14:textId="19FA854F"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tcPr>
          <w:p w14:paraId="60EBEB1F" w14:textId="206415B2"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tcPr>
          <w:p w14:paraId="55A7F328" w14:textId="12388DEB"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49743B15" w14:textId="77777777" w:rsidTr="006F35D9">
        <w:tc>
          <w:tcPr>
            <w:tcW w:w="1863" w:type="dxa"/>
            <w:tcBorders>
              <w:top w:val="single" w:sz="12" w:space="0" w:color="auto"/>
              <w:right w:val="single" w:sz="12" w:space="0" w:color="auto"/>
            </w:tcBorders>
          </w:tcPr>
          <w:p w14:paraId="484B5C90" w14:textId="1BDF26EE"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0E2AEB17"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D9F2D0" w:themeFill="accent6" w:themeFillTint="33"/>
          </w:tcPr>
          <w:p w14:paraId="1F897E9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0.01</w:t>
            </w:r>
          </w:p>
        </w:tc>
        <w:tc>
          <w:tcPr>
            <w:tcW w:w="1736" w:type="dxa"/>
            <w:tcBorders>
              <w:top w:val="single" w:sz="12" w:space="0" w:color="auto"/>
            </w:tcBorders>
            <w:shd w:val="clear" w:color="auto" w:fill="FAE2D5" w:themeFill="accent2" w:themeFillTint="33"/>
          </w:tcPr>
          <w:p w14:paraId="78CB1BC8"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0.97</w:t>
            </w:r>
          </w:p>
        </w:tc>
        <w:tc>
          <w:tcPr>
            <w:tcW w:w="1736" w:type="dxa"/>
            <w:tcBorders>
              <w:top w:val="single" w:sz="12" w:space="0" w:color="auto"/>
            </w:tcBorders>
            <w:shd w:val="clear" w:color="auto" w:fill="FAE2D5" w:themeFill="accent2" w:themeFillTint="33"/>
          </w:tcPr>
          <w:p w14:paraId="22F5C430"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0.04</w:t>
            </w:r>
          </w:p>
        </w:tc>
      </w:tr>
      <w:tr w:rsidR="00547000" w:rsidRPr="00F704C7" w14:paraId="52EFDD87" w14:textId="77777777" w:rsidTr="006F35D9">
        <w:tc>
          <w:tcPr>
            <w:tcW w:w="1863" w:type="dxa"/>
            <w:tcBorders>
              <w:right w:val="single" w:sz="12" w:space="0" w:color="auto"/>
            </w:tcBorders>
          </w:tcPr>
          <w:p w14:paraId="0B0B5FB6" w14:textId="2E87E610"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D9F2D0" w:themeFill="accent6" w:themeFillTint="33"/>
          </w:tcPr>
          <w:p w14:paraId="4E637CBE"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0.01</w:t>
            </w:r>
          </w:p>
        </w:tc>
        <w:tc>
          <w:tcPr>
            <w:tcW w:w="1864" w:type="dxa"/>
          </w:tcPr>
          <w:p w14:paraId="59B564A1"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1EE26C00"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0.14</w:t>
            </w:r>
          </w:p>
        </w:tc>
        <w:tc>
          <w:tcPr>
            <w:tcW w:w="1736" w:type="dxa"/>
            <w:shd w:val="clear" w:color="auto" w:fill="FAE2D5" w:themeFill="accent2" w:themeFillTint="33"/>
          </w:tcPr>
          <w:p w14:paraId="6F560AF9"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0.47</w:t>
            </w:r>
          </w:p>
        </w:tc>
      </w:tr>
      <w:tr w:rsidR="00547000" w:rsidRPr="00F704C7" w14:paraId="1A090BFE" w14:textId="77777777" w:rsidTr="006F35D9">
        <w:tc>
          <w:tcPr>
            <w:tcW w:w="1863" w:type="dxa"/>
            <w:tcBorders>
              <w:right w:val="single" w:sz="12" w:space="0" w:color="auto"/>
            </w:tcBorders>
          </w:tcPr>
          <w:p w14:paraId="5712739C" w14:textId="4DA45487"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863" w:type="dxa"/>
            <w:tcBorders>
              <w:left w:val="single" w:sz="12" w:space="0" w:color="auto"/>
            </w:tcBorders>
            <w:shd w:val="clear" w:color="auto" w:fill="FAE2D5" w:themeFill="accent2" w:themeFillTint="33"/>
          </w:tcPr>
          <w:p w14:paraId="79EA1344"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0.97</w:t>
            </w:r>
          </w:p>
        </w:tc>
        <w:tc>
          <w:tcPr>
            <w:tcW w:w="1864" w:type="dxa"/>
            <w:shd w:val="clear" w:color="auto" w:fill="FAE2D5" w:themeFill="accent2" w:themeFillTint="33"/>
          </w:tcPr>
          <w:p w14:paraId="23F2119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0.14</w:t>
            </w:r>
          </w:p>
        </w:tc>
        <w:tc>
          <w:tcPr>
            <w:tcW w:w="1736" w:type="dxa"/>
          </w:tcPr>
          <w:p w14:paraId="189A7BE5"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798FBB15"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0.30</w:t>
            </w:r>
          </w:p>
        </w:tc>
      </w:tr>
      <w:tr w:rsidR="00547000" w:rsidRPr="00F704C7" w14:paraId="3321DD58" w14:textId="77777777" w:rsidTr="006F35D9">
        <w:tc>
          <w:tcPr>
            <w:tcW w:w="1863" w:type="dxa"/>
            <w:tcBorders>
              <w:right w:val="single" w:sz="12" w:space="0" w:color="auto"/>
            </w:tcBorders>
          </w:tcPr>
          <w:p w14:paraId="681DD062" w14:textId="5D49458A"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FAE2D5" w:themeFill="accent2" w:themeFillTint="33"/>
          </w:tcPr>
          <w:p w14:paraId="5AD039E2"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0.04</w:t>
            </w:r>
          </w:p>
        </w:tc>
        <w:tc>
          <w:tcPr>
            <w:tcW w:w="1864" w:type="dxa"/>
            <w:shd w:val="clear" w:color="auto" w:fill="FAE2D5" w:themeFill="accent2" w:themeFillTint="33"/>
          </w:tcPr>
          <w:p w14:paraId="01497DBB"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0.47</w:t>
            </w:r>
          </w:p>
        </w:tc>
        <w:tc>
          <w:tcPr>
            <w:tcW w:w="1736" w:type="dxa"/>
            <w:shd w:val="clear" w:color="auto" w:fill="FAE2D5" w:themeFill="accent2" w:themeFillTint="33"/>
          </w:tcPr>
          <w:p w14:paraId="7B690E40"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0.30</w:t>
            </w:r>
          </w:p>
        </w:tc>
        <w:tc>
          <w:tcPr>
            <w:tcW w:w="1736" w:type="dxa"/>
          </w:tcPr>
          <w:p w14:paraId="0854AA9C" w14:textId="77777777" w:rsidR="00547000" w:rsidRPr="00F704C7" w:rsidRDefault="00547000" w:rsidP="006F35D9">
            <w:pPr>
              <w:jc w:val="center"/>
              <w:rPr>
                <w:rFonts w:ascii="Times New Roman" w:hAnsi="Times New Roman" w:cs="Times New Roman"/>
                <w:sz w:val="20"/>
                <w:szCs w:val="20"/>
              </w:rPr>
            </w:pPr>
          </w:p>
        </w:tc>
      </w:tr>
    </w:tbl>
    <w:p w14:paraId="35353510" w14:textId="10E21C8D" w:rsidR="0054700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2</w:t>
      </w:r>
      <w:r w:rsidRPr="00F704C7">
        <w:rPr>
          <w:rFonts w:ascii="Times New Roman" w:hAnsi="Times New Roman" w:cs="Times New Roman"/>
          <w:i/>
          <w:iCs/>
          <w:sz w:val="20"/>
          <w:szCs w:val="20"/>
        </w:rPr>
        <w:t xml:space="preserve"> – Results of post-hoc Dunn’s test using Bonferroni-corrected alpha value for WBC. Significant p-values in green.</w:t>
      </w:r>
    </w:p>
    <w:p w14:paraId="55417436" w14:textId="77777777" w:rsidR="00547000" w:rsidRPr="00F704C7" w:rsidRDefault="00547000" w:rsidP="00547000">
      <w:pPr>
        <w:spacing w:after="0" w:line="240" w:lineRule="auto"/>
        <w:rPr>
          <w:rFonts w:ascii="Times New Roman" w:hAnsi="Times New Roman" w:cs="Times New Roman"/>
          <w:i/>
          <w:iC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530EAEEA" w14:textId="77777777" w:rsidTr="006F35D9">
        <w:tc>
          <w:tcPr>
            <w:tcW w:w="1863" w:type="dxa"/>
            <w:tcBorders>
              <w:bottom w:val="single" w:sz="12" w:space="0" w:color="auto"/>
              <w:right w:val="single" w:sz="12" w:space="0" w:color="auto"/>
            </w:tcBorders>
          </w:tcPr>
          <w:p w14:paraId="4B142DCF"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b/>
                <w:bCs/>
                <w:color w:val="212121"/>
                <w:sz w:val="20"/>
                <w:szCs w:val="20"/>
                <w:shd w:val="clear" w:color="auto" w:fill="FFFFFF"/>
              </w:rPr>
              <w:t>Neutrophils</w:t>
            </w:r>
          </w:p>
        </w:tc>
        <w:tc>
          <w:tcPr>
            <w:tcW w:w="1863" w:type="dxa"/>
            <w:tcBorders>
              <w:left w:val="single" w:sz="12" w:space="0" w:color="auto"/>
              <w:bottom w:val="single" w:sz="12" w:space="0" w:color="auto"/>
            </w:tcBorders>
          </w:tcPr>
          <w:p w14:paraId="602E3125" w14:textId="29B2EFBC"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tcPr>
          <w:p w14:paraId="67203533" w14:textId="2644229D"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tcPr>
          <w:p w14:paraId="59A5E0C8" w14:textId="51188016"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tcPr>
          <w:p w14:paraId="4BAD5124" w14:textId="4674457E"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75D88277" w14:textId="77777777" w:rsidTr="006F35D9">
        <w:tc>
          <w:tcPr>
            <w:tcW w:w="1863" w:type="dxa"/>
            <w:tcBorders>
              <w:top w:val="single" w:sz="12" w:space="0" w:color="auto"/>
              <w:right w:val="single" w:sz="12" w:space="0" w:color="auto"/>
            </w:tcBorders>
          </w:tcPr>
          <w:p w14:paraId="755922DE" w14:textId="352A8F4A"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779B9302"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FAE2D5" w:themeFill="accent2" w:themeFillTint="33"/>
          </w:tcPr>
          <w:p w14:paraId="2663B761"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0.85</w:t>
            </w:r>
          </w:p>
        </w:tc>
        <w:tc>
          <w:tcPr>
            <w:tcW w:w="1736" w:type="dxa"/>
            <w:tcBorders>
              <w:top w:val="single" w:sz="12" w:space="0" w:color="auto"/>
            </w:tcBorders>
            <w:shd w:val="clear" w:color="auto" w:fill="FAE2D5" w:themeFill="accent2" w:themeFillTint="33"/>
          </w:tcPr>
          <w:p w14:paraId="5A7EBD42"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0.83</w:t>
            </w:r>
          </w:p>
        </w:tc>
        <w:tc>
          <w:tcPr>
            <w:tcW w:w="1736" w:type="dxa"/>
            <w:tcBorders>
              <w:top w:val="single" w:sz="12" w:space="0" w:color="auto"/>
            </w:tcBorders>
            <w:shd w:val="clear" w:color="auto" w:fill="FAE2D5" w:themeFill="accent2" w:themeFillTint="33"/>
          </w:tcPr>
          <w:p w14:paraId="4B2F6F95"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0.30</w:t>
            </w:r>
          </w:p>
        </w:tc>
      </w:tr>
      <w:tr w:rsidR="00547000" w:rsidRPr="00F704C7" w14:paraId="627CB229" w14:textId="77777777" w:rsidTr="006F35D9">
        <w:tc>
          <w:tcPr>
            <w:tcW w:w="1863" w:type="dxa"/>
            <w:tcBorders>
              <w:right w:val="single" w:sz="12" w:space="0" w:color="auto"/>
            </w:tcBorders>
          </w:tcPr>
          <w:p w14:paraId="0E11F92F" w14:textId="13C25A9C"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FAE2D5" w:themeFill="accent2" w:themeFillTint="33"/>
          </w:tcPr>
          <w:p w14:paraId="62912D8E"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0.85</w:t>
            </w:r>
          </w:p>
        </w:tc>
        <w:tc>
          <w:tcPr>
            <w:tcW w:w="1864" w:type="dxa"/>
          </w:tcPr>
          <w:p w14:paraId="768D843D"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2E170854"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0.76</w:t>
            </w:r>
          </w:p>
        </w:tc>
        <w:tc>
          <w:tcPr>
            <w:tcW w:w="1736" w:type="dxa"/>
            <w:shd w:val="clear" w:color="auto" w:fill="FAE2D5" w:themeFill="accent2" w:themeFillTint="33"/>
          </w:tcPr>
          <w:p w14:paraId="44A75535"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0.32</w:t>
            </w:r>
          </w:p>
        </w:tc>
      </w:tr>
      <w:tr w:rsidR="00547000" w:rsidRPr="00F704C7" w14:paraId="7E228CFD" w14:textId="77777777" w:rsidTr="006F35D9">
        <w:tc>
          <w:tcPr>
            <w:tcW w:w="1863" w:type="dxa"/>
            <w:tcBorders>
              <w:right w:val="single" w:sz="12" w:space="0" w:color="auto"/>
            </w:tcBorders>
          </w:tcPr>
          <w:p w14:paraId="64CBBBEA" w14:textId="1952E1E6"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863" w:type="dxa"/>
            <w:tcBorders>
              <w:left w:val="single" w:sz="12" w:space="0" w:color="auto"/>
            </w:tcBorders>
            <w:shd w:val="clear" w:color="auto" w:fill="FAE2D5" w:themeFill="accent2" w:themeFillTint="33"/>
          </w:tcPr>
          <w:p w14:paraId="76F4E4DC"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0.83</w:t>
            </w:r>
          </w:p>
        </w:tc>
        <w:tc>
          <w:tcPr>
            <w:tcW w:w="1864" w:type="dxa"/>
            <w:shd w:val="clear" w:color="auto" w:fill="FAE2D5" w:themeFill="accent2" w:themeFillTint="33"/>
          </w:tcPr>
          <w:p w14:paraId="2BFCB87F"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 76</w:t>
            </w:r>
          </w:p>
        </w:tc>
        <w:tc>
          <w:tcPr>
            <w:tcW w:w="1736" w:type="dxa"/>
          </w:tcPr>
          <w:p w14:paraId="193E9B42"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11D6F285"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0.67</w:t>
            </w:r>
          </w:p>
        </w:tc>
      </w:tr>
      <w:tr w:rsidR="00547000" w:rsidRPr="00F704C7" w14:paraId="31CC5048" w14:textId="77777777" w:rsidTr="006F35D9">
        <w:tc>
          <w:tcPr>
            <w:tcW w:w="1863" w:type="dxa"/>
            <w:tcBorders>
              <w:right w:val="single" w:sz="12" w:space="0" w:color="auto"/>
            </w:tcBorders>
          </w:tcPr>
          <w:p w14:paraId="0E87BA5A" w14:textId="503242FD"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FAE2D5" w:themeFill="accent2" w:themeFillTint="33"/>
          </w:tcPr>
          <w:p w14:paraId="0804CCAA"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0.30</w:t>
            </w:r>
          </w:p>
        </w:tc>
        <w:tc>
          <w:tcPr>
            <w:tcW w:w="1864" w:type="dxa"/>
            <w:shd w:val="clear" w:color="auto" w:fill="FAE2D5" w:themeFill="accent2" w:themeFillTint="33"/>
          </w:tcPr>
          <w:p w14:paraId="3B2C518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0.32</w:t>
            </w:r>
          </w:p>
        </w:tc>
        <w:tc>
          <w:tcPr>
            <w:tcW w:w="1736" w:type="dxa"/>
            <w:shd w:val="clear" w:color="auto" w:fill="FAE2D5" w:themeFill="accent2" w:themeFillTint="33"/>
          </w:tcPr>
          <w:p w14:paraId="2E41661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0.67</w:t>
            </w:r>
          </w:p>
        </w:tc>
        <w:tc>
          <w:tcPr>
            <w:tcW w:w="1736" w:type="dxa"/>
          </w:tcPr>
          <w:p w14:paraId="1DF742D9" w14:textId="77777777" w:rsidR="00547000" w:rsidRPr="00F704C7" w:rsidRDefault="00547000" w:rsidP="006F35D9">
            <w:pPr>
              <w:jc w:val="center"/>
              <w:rPr>
                <w:rFonts w:ascii="Times New Roman" w:hAnsi="Times New Roman" w:cs="Times New Roman"/>
                <w:sz w:val="20"/>
                <w:szCs w:val="20"/>
              </w:rPr>
            </w:pPr>
          </w:p>
        </w:tc>
      </w:tr>
    </w:tbl>
    <w:p w14:paraId="06309EA5" w14:textId="0F15309A" w:rsidR="0054700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3</w:t>
      </w:r>
      <w:r w:rsidRPr="00F704C7">
        <w:rPr>
          <w:rFonts w:ascii="Times New Roman" w:hAnsi="Times New Roman" w:cs="Times New Roman"/>
          <w:i/>
          <w:iCs/>
          <w:sz w:val="20"/>
          <w:szCs w:val="20"/>
        </w:rPr>
        <w:t xml:space="preserve"> – Results of post-hoc Dunn’s test using Bonferroni-corrected alpha value for neutrophils. Significant p-values in green.</w:t>
      </w:r>
    </w:p>
    <w:p w14:paraId="1242D42B" w14:textId="77777777" w:rsidR="00547000" w:rsidRPr="00F704C7" w:rsidRDefault="00547000" w:rsidP="00547000">
      <w:pPr>
        <w:spacing w:after="0" w:line="240" w:lineRule="auto"/>
        <w:rPr>
          <w:rFonts w:ascii="Times New Roman" w:hAnsi="Times New Roman" w:cs="Times New Roman"/>
          <w:i/>
          <w:iCs/>
          <w:sz w:val="20"/>
          <w:szCs w:val="20"/>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29871F3E" w14:textId="77777777" w:rsidTr="006F35D9">
        <w:trPr>
          <w:jc w:val="center"/>
        </w:trPr>
        <w:tc>
          <w:tcPr>
            <w:tcW w:w="1863" w:type="dxa"/>
            <w:tcBorders>
              <w:bottom w:val="single" w:sz="12" w:space="0" w:color="auto"/>
              <w:right w:val="single" w:sz="12" w:space="0" w:color="auto"/>
            </w:tcBorders>
          </w:tcPr>
          <w:p w14:paraId="28D24040"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b/>
                <w:bCs/>
                <w:color w:val="212121"/>
                <w:sz w:val="20"/>
                <w:szCs w:val="20"/>
                <w:shd w:val="clear" w:color="auto" w:fill="FFFFFF"/>
              </w:rPr>
              <w:t>Lymphocytes</w:t>
            </w:r>
          </w:p>
        </w:tc>
        <w:tc>
          <w:tcPr>
            <w:tcW w:w="1863" w:type="dxa"/>
            <w:tcBorders>
              <w:left w:val="single" w:sz="12" w:space="0" w:color="auto"/>
              <w:bottom w:val="single" w:sz="12" w:space="0" w:color="auto"/>
            </w:tcBorders>
          </w:tcPr>
          <w:p w14:paraId="24F7ADCB" w14:textId="5A474F96"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tcPr>
          <w:p w14:paraId="4CD316B8" w14:textId="7BAE6941"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tcPr>
          <w:p w14:paraId="591B5FBE" w14:textId="6C2153D1"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tcPr>
          <w:p w14:paraId="0A34E022" w14:textId="574EAE51"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7D2875FF" w14:textId="77777777" w:rsidTr="006F35D9">
        <w:trPr>
          <w:jc w:val="center"/>
        </w:trPr>
        <w:tc>
          <w:tcPr>
            <w:tcW w:w="1863" w:type="dxa"/>
            <w:tcBorders>
              <w:top w:val="single" w:sz="12" w:space="0" w:color="auto"/>
              <w:right w:val="single" w:sz="12" w:space="0" w:color="auto"/>
            </w:tcBorders>
          </w:tcPr>
          <w:p w14:paraId="3FC64B6A" w14:textId="2FDF00B9"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3547FCB2"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FAE2D5" w:themeFill="accent2" w:themeFillTint="33"/>
          </w:tcPr>
          <w:p w14:paraId="25B614AE"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0.15</w:t>
            </w:r>
          </w:p>
        </w:tc>
        <w:tc>
          <w:tcPr>
            <w:tcW w:w="1736" w:type="dxa"/>
            <w:tcBorders>
              <w:top w:val="single" w:sz="12" w:space="0" w:color="auto"/>
            </w:tcBorders>
            <w:shd w:val="clear" w:color="auto" w:fill="FAE2D5" w:themeFill="accent2" w:themeFillTint="33"/>
          </w:tcPr>
          <w:p w14:paraId="55440CC9"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0.69</w:t>
            </w:r>
          </w:p>
        </w:tc>
        <w:tc>
          <w:tcPr>
            <w:tcW w:w="1736" w:type="dxa"/>
            <w:tcBorders>
              <w:top w:val="single" w:sz="12" w:space="0" w:color="auto"/>
            </w:tcBorders>
            <w:shd w:val="clear" w:color="auto" w:fill="FAE2D5" w:themeFill="accent2" w:themeFillTint="33"/>
          </w:tcPr>
          <w:p w14:paraId="2EAB4FF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0.13</w:t>
            </w:r>
          </w:p>
        </w:tc>
      </w:tr>
      <w:tr w:rsidR="00547000" w:rsidRPr="00F704C7" w14:paraId="28331F74" w14:textId="77777777" w:rsidTr="006F35D9">
        <w:trPr>
          <w:jc w:val="center"/>
        </w:trPr>
        <w:tc>
          <w:tcPr>
            <w:tcW w:w="1863" w:type="dxa"/>
            <w:tcBorders>
              <w:right w:val="single" w:sz="12" w:space="0" w:color="auto"/>
            </w:tcBorders>
          </w:tcPr>
          <w:p w14:paraId="1443B6B8" w14:textId="06883968"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FAE2D5" w:themeFill="accent2" w:themeFillTint="33"/>
          </w:tcPr>
          <w:p w14:paraId="04C566B9"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0.15</w:t>
            </w:r>
          </w:p>
        </w:tc>
        <w:tc>
          <w:tcPr>
            <w:tcW w:w="1864" w:type="dxa"/>
          </w:tcPr>
          <w:p w14:paraId="24026B53"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0BDC17C3"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0.25</w:t>
            </w:r>
          </w:p>
        </w:tc>
        <w:tc>
          <w:tcPr>
            <w:tcW w:w="1736" w:type="dxa"/>
            <w:shd w:val="clear" w:color="auto" w:fill="FAE2D5" w:themeFill="accent2" w:themeFillTint="33"/>
          </w:tcPr>
          <w:p w14:paraId="158847B1"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0.89</w:t>
            </w:r>
          </w:p>
        </w:tc>
      </w:tr>
      <w:tr w:rsidR="00547000" w:rsidRPr="00F704C7" w14:paraId="44EE66AA" w14:textId="77777777" w:rsidTr="006F35D9">
        <w:trPr>
          <w:jc w:val="center"/>
        </w:trPr>
        <w:tc>
          <w:tcPr>
            <w:tcW w:w="1863" w:type="dxa"/>
            <w:tcBorders>
              <w:right w:val="single" w:sz="12" w:space="0" w:color="auto"/>
            </w:tcBorders>
          </w:tcPr>
          <w:p w14:paraId="4C4A69ED" w14:textId="7BCE7879"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863" w:type="dxa"/>
            <w:tcBorders>
              <w:left w:val="single" w:sz="12" w:space="0" w:color="auto"/>
            </w:tcBorders>
            <w:shd w:val="clear" w:color="auto" w:fill="FAE2D5" w:themeFill="accent2" w:themeFillTint="33"/>
          </w:tcPr>
          <w:p w14:paraId="5DCE7932"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0.69</w:t>
            </w:r>
          </w:p>
        </w:tc>
        <w:tc>
          <w:tcPr>
            <w:tcW w:w="1864" w:type="dxa"/>
            <w:shd w:val="clear" w:color="auto" w:fill="FAE2D5" w:themeFill="accent2" w:themeFillTint="33"/>
          </w:tcPr>
          <w:p w14:paraId="550C53AC"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0.25</w:t>
            </w:r>
          </w:p>
        </w:tc>
        <w:tc>
          <w:tcPr>
            <w:tcW w:w="1736" w:type="dxa"/>
          </w:tcPr>
          <w:p w14:paraId="54F2C586"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00908FEF"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0.21</w:t>
            </w:r>
          </w:p>
        </w:tc>
      </w:tr>
      <w:tr w:rsidR="00547000" w:rsidRPr="00F704C7" w14:paraId="392E53EF" w14:textId="77777777" w:rsidTr="006F35D9">
        <w:trPr>
          <w:jc w:val="center"/>
        </w:trPr>
        <w:tc>
          <w:tcPr>
            <w:tcW w:w="1863" w:type="dxa"/>
            <w:tcBorders>
              <w:right w:val="single" w:sz="12" w:space="0" w:color="auto"/>
            </w:tcBorders>
          </w:tcPr>
          <w:p w14:paraId="08E5735C" w14:textId="1DAACCBD"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FAE2D5" w:themeFill="accent2" w:themeFillTint="33"/>
          </w:tcPr>
          <w:p w14:paraId="65874911"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0.13</w:t>
            </w:r>
          </w:p>
        </w:tc>
        <w:tc>
          <w:tcPr>
            <w:tcW w:w="1864" w:type="dxa"/>
            <w:shd w:val="clear" w:color="auto" w:fill="FAE2D5" w:themeFill="accent2" w:themeFillTint="33"/>
          </w:tcPr>
          <w:p w14:paraId="120AF74E"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0.89</w:t>
            </w:r>
          </w:p>
        </w:tc>
        <w:tc>
          <w:tcPr>
            <w:tcW w:w="1736" w:type="dxa"/>
            <w:shd w:val="clear" w:color="auto" w:fill="FAE2D5" w:themeFill="accent2" w:themeFillTint="33"/>
          </w:tcPr>
          <w:p w14:paraId="49BE34EA"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0.21</w:t>
            </w:r>
          </w:p>
        </w:tc>
        <w:tc>
          <w:tcPr>
            <w:tcW w:w="1736" w:type="dxa"/>
          </w:tcPr>
          <w:p w14:paraId="2100DD16" w14:textId="77777777" w:rsidR="00547000" w:rsidRPr="00F704C7" w:rsidRDefault="00547000" w:rsidP="006F35D9">
            <w:pPr>
              <w:jc w:val="center"/>
              <w:rPr>
                <w:rFonts w:ascii="Times New Roman" w:hAnsi="Times New Roman" w:cs="Times New Roman"/>
                <w:sz w:val="20"/>
                <w:szCs w:val="20"/>
              </w:rPr>
            </w:pPr>
          </w:p>
        </w:tc>
      </w:tr>
    </w:tbl>
    <w:p w14:paraId="4156C17B" w14:textId="11FB4472" w:rsidR="0054700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4</w:t>
      </w:r>
      <w:r w:rsidRPr="00F704C7">
        <w:rPr>
          <w:rFonts w:ascii="Times New Roman" w:hAnsi="Times New Roman" w:cs="Times New Roman"/>
          <w:i/>
          <w:iCs/>
          <w:sz w:val="20"/>
          <w:szCs w:val="20"/>
        </w:rPr>
        <w:t xml:space="preserve"> – Results of post-hoc Dunn’s test using Bonferroni-corrected alpha value for lymphocytes. Significant p-values in green.</w:t>
      </w:r>
    </w:p>
    <w:p w14:paraId="3849545D" w14:textId="77777777" w:rsidR="00547000" w:rsidRPr="00F704C7" w:rsidRDefault="00547000" w:rsidP="00547000">
      <w:pPr>
        <w:spacing w:after="0" w:line="240" w:lineRule="auto"/>
        <w:rPr>
          <w:rFonts w:ascii="Times New Roman" w:hAnsi="Times New Roman" w:cs="Times New Roman"/>
          <w:i/>
          <w:iC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28CF58DA" w14:textId="77777777" w:rsidTr="006F35D9">
        <w:tc>
          <w:tcPr>
            <w:tcW w:w="1863" w:type="dxa"/>
            <w:tcBorders>
              <w:bottom w:val="single" w:sz="12" w:space="0" w:color="auto"/>
              <w:right w:val="single" w:sz="12" w:space="0" w:color="auto"/>
            </w:tcBorders>
          </w:tcPr>
          <w:p w14:paraId="703654F7"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b/>
                <w:bCs/>
                <w:color w:val="212121"/>
                <w:sz w:val="20"/>
                <w:szCs w:val="20"/>
                <w:shd w:val="clear" w:color="auto" w:fill="FFFFFF"/>
              </w:rPr>
              <w:t>NLR</w:t>
            </w:r>
          </w:p>
        </w:tc>
        <w:tc>
          <w:tcPr>
            <w:tcW w:w="1863" w:type="dxa"/>
            <w:tcBorders>
              <w:left w:val="single" w:sz="12" w:space="0" w:color="auto"/>
              <w:bottom w:val="single" w:sz="12" w:space="0" w:color="auto"/>
            </w:tcBorders>
          </w:tcPr>
          <w:p w14:paraId="6F66781F" w14:textId="3411AEEF"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tcPr>
          <w:p w14:paraId="491B28C9" w14:textId="61BB75F5"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tcPr>
          <w:p w14:paraId="31F873AC" w14:textId="3FE06B8B"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tcPr>
          <w:p w14:paraId="237A605B" w14:textId="2C114229"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3C1DEAAA" w14:textId="77777777" w:rsidTr="006F35D9">
        <w:tc>
          <w:tcPr>
            <w:tcW w:w="1863" w:type="dxa"/>
            <w:tcBorders>
              <w:top w:val="single" w:sz="12" w:space="0" w:color="auto"/>
              <w:right w:val="single" w:sz="12" w:space="0" w:color="auto"/>
            </w:tcBorders>
          </w:tcPr>
          <w:p w14:paraId="35907C36" w14:textId="7536F923"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02F9F55E"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FAE2D5" w:themeFill="accent2" w:themeFillTint="33"/>
          </w:tcPr>
          <w:p w14:paraId="4A46D125"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0.50</w:t>
            </w:r>
          </w:p>
        </w:tc>
        <w:tc>
          <w:tcPr>
            <w:tcW w:w="1736" w:type="dxa"/>
            <w:tcBorders>
              <w:top w:val="single" w:sz="12" w:space="0" w:color="auto"/>
            </w:tcBorders>
            <w:shd w:val="clear" w:color="auto" w:fill="FAE2D5" w:themeFill="accent2" w:themeFillTint="33"/>
          </w:tcPr>
          <w:p w14:paraId="19D2428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0.15</w:t>
            </w:r>
          </w:p>
        </w:tc>
        <w:tc>
          <w:tcPr>
            <w:tcW w:w="1736" w:type="dxa"/>
            <w:tcBorders>
              <w:top w:val="single" w:sz="12" w:space="0" w:color="auto"/>
            </w:tcBorders>
            <w:shd w:val="clear" w:color="auto" w:fill="FAE2D5" w:themeFill="accent2" w:themeFillTint="33"/>
          </w:tcPr>
          <w:p w14:paraId="324FD7FE"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0.97</w:t>
            </w:r>
          </w:p>
        </w:tc>
      </w:tr>
      <w:tr w:rsidR="00547000" w:rsidRPr="00F704C7" w14:paraId="7B62E14B" w14:textId="77777777" w:rsidTr="006F35D9">
        <w:tc>
          <w:tcPr>
            <w:tcW w:w="1863" w:type="dxa"/>
            <w:tcBorders>
              <w:right w:val="single" w:sz="12" w:space="0" w:color="auto"/>
            </w:tcBorders>
          </w:tcPr>
          <w:p w14:paraId="62C048DB" w14:textId="459F8BD0"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FAE2D5" w:themeFill="accent2" w:themeFillTint="33"/>
          </w:tcPr>
          <w:p w14:paraId="05B7F63E"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0.50</w:t>
            </w:r>
          </w:p>
        </w:tc>
        <w:tc>
          <w:tcPr>
            <w:tcW w:w="1864" w:type="dxa"/>
          </w:tcPr>
          <w:p w14:paraId="7D6E6596"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0F3C2D1F"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0.09</w:t>
            </w:r>
          </w:p>
        </w:tc>
        <w:tc>
          <w:tcPr>
            <w:tcW w:w="1736" w:type="dxa"/>
            <w:shd w:val="clear" w:color="auto" w:fill="FAE2D5" w:themeFill="accent2" w:themeFillTint="33"/>
          </w:tcPr>
          <w:p w14:paraId="129BBB08"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0.57</w:t>
            </w:r>
          </w:p>
        </w:tc>
      </w:tr>
      <w:tr w:rsidR="00547000" w:rsidRPr="00F704C7" w14:paraId="724A8E9D" w14:textId="77777777" w:rsidTr="006F35D9">
        <w:tc>
          <w:tcPr>
            <w:tcW w:w="1863" w:type="dxa"/>
            <w:tcBorders>
              <w:right w:val="single" w:sz="12" w:space="0" w:color="auto"/>
            </w:tcBorders>
          </w:tcPr>
          <w:p w14:paraId="1B69EDB7" w14:textId="1E40B1BD"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863" w:type="dxa"/>
            <w:tcBorders>
              <w:left w:val="single" w:sz="12" w:space="0" w:color="auto"/>
            </w:tcBorders>
            <w:shd w:val="clear" w:color="auto" w:fill="FAE2D5" w:themeFill="accent2" w:themeFillTint="33"/>
          </w:tcPr>
          <w:p w14:paraId="49D13582"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0.15</w:t>
            </w:r>
          </w:p>
        </w:tc>
        <w:tc>
          <w:tcPr>
            <w:tcW w:w="1864" w:type="dxa"/>
            <w:shd w:val="clear" w:color="auto" w:fill="FAE2D5" w:themeFill="accent2" w:themeFillTint="33"/>
          </w:tcPr>
          <w:p w14:paraId="79FEA69F"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0.09</w:t>
            </w:r>
          </w:p>
        </w:tc>
        <w:tc>
          <w:tcPr>
            <w:tcW w:w="1736" w:type="dxa"/>
          </w:tcPr>
          <w:p w14:paraId="394B1F44"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11FB5723"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0.21</w:t>
            </w:r>
          </w:p>
        </w:tc>
      </w:tr>
      <w:tr w:rsidR="00547000" w:rsidRPr="00F704C7" w14:paraId="7772BC55" w14:textId="77777777" w:rsidTr="006F35D9">
        <w:tc>
          <w:tcPr>
            <w:tcW w:w="1863" w:type="dxa"/>
            <w:tcBorders>
              <w:right w:val="single" w:sz="12" w:space="0" w:color="auto"/>
            </w:tcBorders>
          </w:tcPr>
          <w:p w14:paraId="314E0004" w14:textId="54979DAC"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FAE2D5" w:themeFill="accent2" w:themeFillTint="33"/>
          </w:tcPr>
          <w:p w14:paraId="18637159"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0.97</w:t>
            </w:r>
          </w:p>
        </w:tc>
        <w:tc>
          <w:tcPr>
            <w:tcW w:w="1864" w:type="dxa"/>
            <w:shd w:val="clear" w:color="auto" w:fill="FAE2D5" w:themeFill="accent2" w:themeFillTint="33"/>
          </w:tcPr>
          <w:p w14:paraId="3A001948"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0.57</w:t>
            </w:r>
          </w:p>
        </w:tc>
        <w:tc>
          <w:tcPr>
            <w:tcW w:w="1736" w:type="dxa"/>
            <w:shd w:val="clear" w:color="auto" w:fill="FAE2D5" w:themeFill="accent2" w:themeFillTint="33"/>
          </w:tcPr>
          <w:p w14:paraId="30D6B09B"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0.21</w:t>
            </w:r>
          </w:p>
        </w:tc>
        <w:tc>
          <w:tcPr>
            <w:tcW w:w="1736" w:type="dxa"/>
          </w:tcPr>
          <w:p w14:paraId="3741EECB" w14:textId="77777777" w:rsidR="00547000" w:rsidRPr="00F704C7" w:rsidRDefault="00547000" w:rsidP="006F35D9">
            <w:pPr>
              <w:jc w:val="center"/>
              <w:rPr>
                <w:rFonts w:ascii="Times New Roman" w:hAnsi="Times New Roman" w:cs="Times New Roman"/>
                <w:sz w:val="20"/>
                <w:szCs w:val="20"/>
              </w:rPr>
            </w:pPr>
          </w:p>
        </w:tc>
      </w:tr>
    </w:tbl>
    <w:p w14:paraId="07AFF9E0" w14:textId="3CA00354" w:rsidR="0054700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5</w:t>
      </w:r>
      <w:r w:rsidRPr="00F704C7">
        <w:rPr>
          <w:rFonts w:ascii="Times New Roman" w:hAnsi="Times New Roman" w:cs="Times New Roman"/>
          <w:i/>
          <w:iCs/>
          <w:sz w:val="20"/>
          <w:szCs w:val="20"/>
        </w:rPr>
        <w:t xml:space="preserve"> – Results of post-hoc Dunn’s test using Bonferroni-corrected alpha value for NLR. Significant p-values in green.</w:t>
      </w:r>
    </w:p>
    <w:p w14:paraId="0511B68F" w14:textId="77777777" w:rsidR="00547000" w:rsidRPr="00F704C7" w:rsidRDefault="00547000" w:rsidP="00547000">
      <w:pPr>
        <w:spacing w:after="0" w:line="240" w:lineRule="auto"/>
        <w:rPr>
          <w:rFonts w:ascii="Times New Roman" w:hAnsi="Times New Roman" w:cs="Times New Roman"/>
          <w:i/>
          <w:iC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304047BD" w14:textId="77777777" w:rsidTr="006F35D9">
        <w:tc>
          <w:tcPr>
            <w:tcW w:w="1863" w:type="dxa"/>
            <w:tcBorders>
              <w:bottom w:val="single" w:sz="12" w:space="0" w:color="auto"/>
              <w:right w:val="single" w:sz="12" w:space="0" w:color="auto"/>
            </w:tcBorders>
          </w:tcPr>
          <w:p w14:paraId="1395378F"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b/>
                <w:bCs/>
                <w:color w:val="212121"/>
                <w:sz w:val="20"/>
                <w:szCs w:val="20"/>
                <w:shd w:val="clear" w:color="auto" w:fill="FFFFFF"/>
              </w:rPr>
              <w:t>Platelets</w:t>
            </w:r>
          </w:p>
        </w:tc>
        <w:tc>
          <w:tcPr>
            <w:tcW w:w="1863" w:type="dxa"/>
            <w:tcBorders>
              <w:left w:val="single" w:sz="12" w:space="0" w:color="auto"/>
              <w:bottom w:val="single" w:sz="12" w:space="0" w:color="auto"/>
            </w:tcBorders>
          </w:tcPr>
          <w:p w14:paraId="5E8137D9" w14:textId="076B3982"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tcPr>
          <w:p w14:paraId="1E4863F0" w14:textId="29654FFE"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tcPr>
          <w:p w14:paraId="5A2EBB70" w14:textId="269C661E"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tcPr>
          <w:p w14:paraId="4DD99BF1" w14:textId="30A3C906"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04B78AAB" w14:textId="77777777" w:rsidTr="006F35D9">
        <w:tc>
          <w:tcPr>
            <w:tcW w:w="1863" w:type="dxa"/>
            <w:tcBorders>
              <w:top w:val="single" w:sz="12" w:space="0" w:color="auto"/>
              <w:right w:val="single" w:sz="12" w:space="0" w:color="auto"/>
            </w:tcBorders>
          </w:tcPr>
          <w:p w14:paraId="2D0CF9AC" w14:textId="3D538032"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65D3176B"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D9F2D0" w:themeFill="accent6" w:themeFillTint="33"/>
          </w:tcPr>
          <w:p w14:paraId="6E365F33"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0.005</w:t>
            </w:r>
          </w:p>
        </w:tc>
        <w:tc>
          <w:tcPr>
            <w:tcW w:w="1736" w:type="dxa"/>
            <w:tcBorders>
              <w:top w:val="single" w:sz="12" w:space="0" w:color="auto"/>
            </w:tcBorders>
            <w:shd w:val="clear" w:color="auto" w:fill="FAE2D5" w:themeFill="accent2" w:themeFillTint="33"/>
          </w:tcPr>
          <w:p w14:paraId="36EF26FB"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0.52</w:t>
            </w:r>
          </w:p>
        </w:tc>
        <w:tc>
          <w:tcPr>
            <w:tcW w:w="1736" w:type="dxa"/>
            <w:tcBorders>
              <w:top w:val="single" w:sz="12" w:space="0" w:color="auto"/>
            </w:tcBorders>
            <w:shd w:val="clear" w:color="auto" w:fill="FAE2D5" w:themeFill="accent2" w:themeFillTint="33"/>
          </w:tcPr>
          <w:p w14:paraId="0FB743FA"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0.02</w:t>
            </w:r>
          </w:p>
        </w:tc>
      </w:tr>
      <w:tr w:rsidR="00547000" w:rsidRPr="00F704C7" w14:paraId="106A3C0D" w14:textId="77777777" w:rsidTr="006F35D9">
        <w:tc>
          <w:tcPr>
            <w:tcW w:w="1863" w:type="dxa"/>
            <w:tcBorders>
              <w:right w:val="single" w:sz="12" w:space="0" w:color="auto"/>
            </w:tcBorders>
          </w:tcPr>
          <w:p w14:paraId="104F621E" w14:textId="44531F70"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D9F2D0" w:themeFill="accent6" w:themeFillTint="33"/>
          </w:tcPr>
          <w:p w14:paraId="5073E1E1"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0.005</w:t>
            </w:r>
          </w:p>
        </w:tc>
        <w:tc>
          <w:tcPr>
            <w:tcW w:w="1864" w:type="dxa"/>
          </w:tcPr>
          <w:p w14:paraId="08AD4B6F"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7B339ADE"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0.27</w:t>
            </w:r>
          </w:p>
        </w:tc>
        <w:tc>
          <w:tcPr>
            <w:tcW w:w="1736" w:type="dxa"/>
            <w:shd w:val="clear" w:color="auto" w:fill="D9F2D0" w:themeFill="accent6" w:themeFillTint="33"/>
          </w:tcPr>
          <w:p w14:paraId="05C923AC"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p&lt;0.001</w:t>
            </w:r>
          </w:p>
        </w:tc>
      </w:tr>
      <w:tr w:rsidR="00547000" w:rsidRPr="00F704C7" w14:paraId="2DC6C721" w14:textId="77777777" w:rsidTr="006F35D9">
        <w:tc>
          <w:tcPr>
            <w:tcW w:w="1863" w:type="dxa"/>
            <w:tcBorders>
              <w:right w:val="single" w:sz="12" w:space="0" w:color="auto"/>
            </w:tcBorders>
          </w:tcPr>
          <w:p w14:paraId="568E8BE6" w14:textId="60399089"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863" w:type="dxa"/>
            <w:tcBorders>
              <w:left w:val="single" w:sz="12" w:space="0" w:color="auto"/>
            </w:tcBorders>
            <w:shd w:val="clear" w:color="auto" w:fill="FAE2D5" w:themeFill="accent2" w:themeFillTint="33"/>
          </w:tcPr>
          <w:p w14:paraId="3599D3D7"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0.52</w:t>
            </w:r>
          </w:p>
        </w:tc>
        <w:tc>
          <w:tcPr>
            <w:tcW w:w="1864" w:type="dxa"/>
            <w:shd w:val="clear" w:color="auto" w:fill="FAE2D5" w:themeFill="accent2" w:themeFillTint="33"/>
          </w:tcPr>
          <w:p w14:paraId="6960BE69"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0.27</w:t>
            </w:r>
          </w:p>
        </w:tc>
        <w:tc>
          <w:tcPr>
            <w:tcW w:w="1736" w:type="dxa"/>
          </w:tcPr>
          <w:p w14:paraId="3F75C425"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23F29EE7"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p=0.07</w:t>
            </w:r>
          </w:p>
        </w:tc>
      </w:tr>
      <w:tr w:rsidR="00547000" w:rsidRPr="00F704C7" w14:paraId="53BBA18B" w14:textId="77777777" w:rsidTr="006F35D9">
        <w:tc>
          <w:tcPr>
            <w:tcW w:w="1863" w:type="dxa"/>
            <w:tcBorders>
              <w:right w:val="single" w:sz="12" w:space="0" w:color="auto"/>
            </w:tcBorders>
          </w:tcPr>
          <w:p w14:paraId="3DD21435" w14:textId="0B790EC7"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FAE2D5" w:themeFill="accent2" w:themeFillTint="33"/>
          </w:tcPr>
          <w:p w14:paraId="3F5DF937"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0.02</w:t>
            </w:r>
          </w:p>
        </w:tc>
        <w:tc>
          <w:tcPr>
            <w:tcW w:w="1864" w:type="dxa"/>
            <w:shd w:val="clear" w:color="auto" w:fill="D9F2D0" w:themeFill="accent6" w:themeFillTint="33"/>
          </w:tcPr>
          <w:p w14:paraId="132E8328"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p&lt;0.001</w:t>
            </w:r>
          </w:p>
        </w:tc>
        <w:tc>
          <w:tcPr>
            <w:tcW w:w="1736" w:type="dxa"/>
            <w:shd w:val="clear" w:color="auto" w:fill="FAE2D5" w:themeFill="accent2" w:themeFillTint="33"/>
          </w:tcPr>
          <w:p w14:paraId="7A6A56A4"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p=0.07</w:t>
            </w:r>
          </w:p>
        </w:tc>
        <w:tc>
          <w:tcPr>
            <w:tcW w:w="1736" w:type="dxa"/>
          </w:tcPr>
          <w:p w14:paraId="5C8ACBDC" w14:textId="77777777" w:rsidR="00547000" w:rsidRPr="00F704C7" w:rsidRDefault="00547000" w:rsidP="006F35D9">
            <w:pPr>
              <w:jc w:val="center"/>
              <w:rPr>
                <w:rFonts w:ascii="Times New Roman" w:hAnsi="Times New Roman" w:cs="Times New Roman"/>
                <w:sz w:val="20"/>
                <w:szCs w:val="20"/>
              </w:rPr>
            </w:pPr>
          </w:p>
        </w:tc>
      </w:tr>
    </w:tbl>
    <w:p w14:paraId="60313D8B" w14:textId="311113E8" w:rsidR="0054700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6</w:t>
      </w:r>
      <w:r w:rsidRPr="00F704C7">
        <w:rPr>
          <w:rFonts w:ascii="Times New Roman" w:hAnsi="Times New Roman" w:cs="Times New Roman"/>
          <w:i/>
          <w:iCs/>
          <w:sz w:val="20"/>
          <w:szCs w:val="20"/>
        </w:rPr>
        <w:t xml:space="preserve"> – Results of post-hoc Dunn’s test using Bonferroni-corrected alpha value for platelets. Significant p-values in green.</w:t>
      </w:r>
    </w:p>
    <w:p w14:paraId="5C12D47D" w14:textId="77777777" w:rsidR="00547000" w:rsidRPr="00F704C7" w:rsidRDefault="00547000" w:rsidP="00547000">
      <w:pPr>
        <w:spacing w:after="0" w:line="240" w:lineRule="auto"/>
        <w:rPr>
          <w:rFonts w:ascii="Times New Roman" w:hAnsi="Times New Roman" w:cs="Times New Roman"/>
          <w:i/>
          <w:iC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1EABE213" w14:textId="77777777" w:rsidTr="006F35D9">
        <w:tc>
          <w:tcPr>
            <w:tcW w:w="1863" w:type="dxa"/>
            <w:tcBorders>
              <w:bottom w:val="single" w:sz="12" w:space="0" w:color="auto"/>
              <w:right w:val="single" w:sz="12" w:space="0" w:color="auto"/>
            </w:tcBorders>
          </w:tcPr>
          <w:p w14:paraId="596E94D4"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b/>
                <w:bCs/>
                <w:color w:val="212121"/>
                <w:sz w:val="20"/>
                <w:szCs w:val="20"/>
                <w:shd w:val="clear" w:color="auto" w:fill="FFFFFF"/>
              </w:rPr>
              <w:t>ICIS</w:t>
            </w:r>
          </w:p>
        </w:tc>
        <w:tc>
          <w:tcPr>
            <w:tcW w:w="1863" w:type="dxa"/>
            <w:tcBorders>
              <w:left w:val="single" w:sz="12" w:space="0" w:color="auto"/>
              <w:bottom w:val="single" w:sz="12" w:space="0" w:color="auto"/>
            </w:tcBorders>
          </w:tcPr>
          <w:p w14:paraId="0250658E" w14:textId="42AA4EDF"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tcPr>
          <w:p w14:paraId="6154B893" w14:textId="7D84CFD1"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tcPr>
          <w:p w14:paraId="0A39BDE5" w14:textId="6AF533C2"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tcPr>
          <w:p w14:paraId="6436A02E" w14:textId="1DD93970"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637E9B46" w14:textId="77777777" w:rsidTr="006F35D9">
        <w:tc>
          <w:tcPr>
            <w:tcW w:w="1863" w:type="dxa"/>
            <w:tcBorders>
              <w:top w:val="single" w:sz="12" w:space="0" w:color="auto"/>
              <w:right w:val="single" w:sz="12" w:space="0" w:color="auto"/>
            </w:tcBorders>
          </w:tcPr>
          <w:p w14:paraId="430CB2D1" w14:textId="1E810D72"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5934D371"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D9F2D0" w:themeFill="accent6" w:themeFillTint="33"/>
          </w:tcPr>
          <w:p w14:paraId="5AA075E2"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tcBorders>
              <w:top w:val="single" w:sz="12" w:space="0" w:color="auto"/>
            </w:tcBorders>
            <w:shd w:val="clear" w:color="auto" w:fill="FAE2D5" w:themeFill="accent2" w:themeFillTint="33"/>
          </w:tcPr>
          <w:p w14:paraId="58D74527"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0.65</w:t>
            </w:r>
          </w:p>
        </w:tc>
        <w:tc>
          <w:tcPr>
            <w:tcW w:w="1736" w:type="dxa"/>
            <w:tcBorders>
              <w:top w:val="single" w:sz="12" w:space="0" w:color="auto"/>
            </w:tcBorders>
            <w:shd w:val="clear" w:color="auto" w:fill="D9F2D0" w:themeFill="accent6" w:themeFillTint="33"/>
          </w:tcPr>
          <w:p w14:paraId="5584D224"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r>
      <w:tr w:rsidR="00547000" w:rsidRPr="00F704C7" w14:paraId="63603D09" w14:textId="77777777" w:rsidTr="006F35D9">
        <w:tc>
          <w:tcPr>
            <w:tcW w:w="1863" w:type="dxa"/>
            <w:tcBorders>
              <w:right w:val="single" w:sz="12" w:space="0" w:color="auto"/>
            </w:tcBorders>
          </w:tcPr>
          <w:p w14:paraId="0B17B15D" w14:textId="199952ED"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D9F2D0" w:themeFill="accent6" w:themeFillTint="33"/>
          </w:tcPr>
          <w:p w14:paraId="26FBE39A"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864" w:type="dxa"/>
          </w:tcPr>
          <w:p w14:paraId="285741DF"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D9F2D0" w:themeFill="accent6" w:themeFillTint="33"/>
          </w:tcPr>
          <w:p w14:paraId="3686C0F5"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shd w:val="clear" w:color="auto" w:fill="FAE2D5" w:themeFill="accent2" w:themeFillTint="33"/>
          </w:tcPr>
          <w:p w14:paraId="6AA552A4"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0.93</w:t>
            </w:r>
          </w:p>
        </w:tc>
      </w:tr>
      <w:tr w:rsidR="00547000" w:rsidRPr="00F704C7" w14:paraId="2AEAAD48" w14:textId="77777777" w:rsidTr="006F35D9">
        <w:tc>
          <w:tcPr>
            <w:tcW w:w="1863" w:type="dxa"/>
            <w:tcBorders>
              <w:right w:val="single" w:sz="12" w:space="0" w:color="auto"/>
            </w:tcBorders>
          </w:tcPr>
          <w:p w14:paraId="7E126BD7" w14:textId="450E2821"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863" w:type="dxa"/>
            <w:tcBorders>
              <w:left w:val="single" w:sz="12" w:space="0" w:color="auto"/>
            </w:tcBorders>
            <w:shd w:val="clear" w:color="auto" w:fill="FAE2D5" w:themeFill="accent2" w:themeFillTint="33"/>
          </w:tcPr>
          <w:p w14:paraId="23C014B0"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0.65</w:t>
            </w:r>
          </w:p>
        </w:tc>
        <w:tc>
          <w:tcPr>
            <w:tcW w:w="1864" w:type="dxa"/>
            <w:shd w:val="clear" w:color="auto" w:fill="D9F2D0" w:themeFill="accent6" w:themeFillTint="33"/>
          </w:tcPr>
          <w:p w14:paraId="1AE667E6"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tcPr>
          <w:p w14:paraId="142CB2BB"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D9F2D0" w:themeFill="accent6" w:themeFillTint="33"/>
          </w:tcPr>
          <w:p w14:paraId="11D1710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r>
      <w:tr w:rsidR="00547000" w:rsidRPr="00F704C7" w14:paraId="3EB615EA" w14:textId="77777777" w:rsidTr="006F35D9">
        <w:tc>
          <w:tcPr>
            <w:tcW w:w="1863" w:type="dxa"/>
            <w:tcBorders>
              <w:right w:val="single" w:sz="12" w:space="0" w:color="auto"/>
            </w:tcBorders>
          </w:tcPr>
          <w:p w14:paraId="0806676B" w14:textId="2CDC3286"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D9F2D0" w:themeFill="accent6" w:themeFillTint="33"/>
          </w:tcPr>
          <w:p w14:paraId="78BA398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864" w:type="dxa"/>
            <w:shd w:val="clear" w:color="auto" w:fill="FAE2D5" w:themeFill="accent2" w:themeFillTint="33"/>
          </w:tcPr>
          <w:p w14:paraId="1B3ED395"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0.93</w:t>
            </w:r>
          </w:p>
        </w:tc>
        <w:tc>
          <w:tcPr>
            <w:tcW w:w="1736" w:type="dxa"/>
            <w:shd w:val="clear" w:color="auto" w:fill="D9F2D0" w:themeFill="accent6" w:themeFillTint="33"/>
          </w:tcPr>
          <w:p w14:paraId="5447AA42"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tcPr>
          <w:p w14:paraId="5C5B897B" w14:textId="77777777" w:rsidR="00547000" w:rsidRPr="00F704C7" w:rsidRDefault="00547000" w:rsidP="006F35D9">
            <w:pPr>
              <w:jc w:val="center"/>
              <w:rPr>
                <w:rFonts w:ascii="Times New Roman" w:hAnsi="Times New Roman" w:cs="Times New Roman"/>
                <w:sz w:val="20"/>
                <w:szCs w:val="20"/>
              </w:rPr>
            </w:pPr>
          </w:p>
        </w:tc>
      </w:tr>
    </w:tbl>
    <w:p w14:paraId="6A7390DD" w14:textId="59CB18BF" w:rsidR="0054700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7</w:t>
      </w:r>
      <w:r w:rsidRPr="00F704C7">
        <w:rPr>
          <w:rFonts w:ascii="Times New Roman" w:hAnsi="Times New Roman" w:cs="Times New Roman"/>
          <w:i/>
          <w:iCs/>
          <w:sz w:val="20"/>
          <w:szCs w:val="20"/>
        </w:rPr>
        <w:t xml:space="preserve"> – Results of post-hoc Dunn’s test using Bonferroni-corrected alpha value for ICIS. Significant p-values in green.</w:t>
      </w:r>
    </w:p>
    <w:p w14:paraId="6E896CD6" w14:textId="77777777" w:rsidR="00547000" w:rsidRPr="00F704C7" w:rsidRDefault="00547000" w:rsidP="00547000">
      <w:pPr>
        <w:spacing w:after="0" w:line="240" w:lineRule="auto"/>
        <w:rPr>
          <w:rFonts w:ascii="Times New Roman" w:hAnsi="Times New Roman" w:cs="Times New Roman"/>
          <w:i/>
          <w:iC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6CB9BE4C" w14:textId="77777777" w:rsidTr="006F35D9">
        <w:tc>
          <w:tcPr>
            <w:tcW w:w="1863" w:type="dxa"/>
            <w:tcBorders>
              <w:bottom w:val="single" w:sz="12" w:space="0" w:color="auto"/>
              <w:right w:val="single" w:sz="12" w:space="0" w:color="auto"/>
            </w:tcBorders>
          </w:tcPr>
          <w:p w14:paraId="292145EE"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b/>
                <w:bCs/>
                <w:color w:val="212121"/>
                <w:sz w:val="20"/>
                <w:szCs w:val="20"/>
                <w:shd w:val="clear" w:color="auto" w:fill="FFFFFF"/>
              </w:rPr>
              <w:t>MxA</w:t>
            </w:r>
          </w:p>
        </w:tc>
        <w:tc>
          <w:tcPr>
            <w:tcW w:w="1863" w:type="dxa"/>
            <w:tcBorders>
              <w:left w:val="single" w:sz="12" w:space="0" w:color="auto"/>
              <w:bottom w:val="single" w:sz="12" w:space="0" w:color="auto"/>
            </w:tcBorders>
          </w:tcPr>
          <w:p w14:paraId="7C847C6C" w14:textId="52400416"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tcPr>
          <w:p w14:paraId="01A62796" w14:textId="209349D9"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tcPr>
          <w:p w14:paraId="5E494BC7" w14:textId="18C3D9AE"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tcPr>
          <w:p w14:paraId="3CED0A87" w14:textId="6E9AB61E"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699EAAF9" w14:textId="77777777" w:rsidTr="006F35D9">
        <w:tc>
          <w:tcPr>
            <w:tcW w:w="1863" w:type="dxa"/>
            <w:tcBorders>
              <w:top w:val="single" w:sz="12" w:space="0" w:color="auto"/>
              <w:right w:val="single" w:sz="12" w:space="0" w:color="auto"/>
            </w:tcBorders>
          </w:tcPr>
          <w:p w14:paraId="2CC660F9" w14:textId="2C5448CC"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5182F192"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D9F2D0" w:themeFill="accent6" w:themeFillTint="33"/>
          </w:tcPr>
          <w:p w14:paraId="277A41F6"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tcBorders>
              <w:top w:val="single" w:sz="12" w:space="0" w:color="auto"/>
            </w:tcBorders>
            <w:shd w:val="clear" w:color="auto" w:fill="D9F2D0" w:themeFill="accent6" w:themeFillTint="33"/>
          </w:tcPr>
          <w:p w14:paraId="18413EA1"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tcBorders>
              <w:top w:val="single" w:sz="12" w:space="0" w:color="auto"/>
            </w:tcBorders>
            <w:shd w:val="clear" w:color="auto" w:fill="FAE2D5" w:themeFill="accent2" w:themeFillTint="33"/>
          </w:tcPr>
          <w:p w14:paraId="1A0C6C2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0.05</w:t>
            </w:r>
          </w:p>
        </w:tc>
      </w:tr>
      <w:tr w:rsidR="00547000" w:rsidRPr="00F704C7" w14:paraId="1717EBFC" w14:textId="77777777" w:rsidTr="006F35D9">
        <w:tc>
          <w:tcPr>
            <w:tcW w:w="1863" w:type="dxa"/>
            <w:tcBorders>
              <w:right w:val="single" w:sz="12" w:space="0" w:color="auto"/>
            </w:tcBorders>
          </w:tcPr>
          <w:p w14:paraId="07120E3E" w14:textId="79CF40D0"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D9F2D0" w:themeFill="accent6" w:themeFillTint="33"/>
          </w:tcPr>
          <w:p w14:paraId="5AB916B2"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864" w:type="dxa"/>
          </w:tcPr>
          <w:p w14:paraId="09A89105"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22D024F1"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0.41</w:t>
            </w:r>
          </w:p>
        </w:tc>
        <w:tc>
          <w:tcPr>
            <w:tcW w:w="1736" w:type="dxa"/>
            <w:shd w:val="clear" w:color="auto" w:fill="D9F2D0" w:themeFill="accent6" w:themeFillTint="33"/>
          </w:tcPr>
          <w:p w14:paraId="2625E6E7"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r>
      <w:tr w:rsidR="00547000" w:rsidRPr="00F704C7" w14:paraId="23C3E2EE" w14:textId="77777777" w:rsidTr="006F35D9">
        <w:tc>
          <w:tcPr>
            <w:tcW w:w="1863" w:type="dxa"/>
            <w:tcBorders>
              <w:right w:val="single" w:sz="12" w:space="0" w:color="auto"/>
            </w:tcBorders>
          </w:tcPr>
          <w:p w14:paraId="0BC4E1A4" w14:textId="2D643507"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863" w:type="dxa"/>
            <w:tcBorders>
              <w:left w:val="single" w:sz="12" w:space="0" w:color="auto"/>
            </w:tcBorders>
            <w:shd w:val="clear" w:color="auto" w:fill="D9F2D0" w:themeFill="accent6" w:themeFillTint="33"/>
          </w:tcPr>
          <w:p w14:paraId="1B1101CF"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864" w:type="dxa"/>
            <w:shd w:val="clear" w:color="auto" w:fill="FAE2D5" w:themeFill="accent2" w:themeFillTint="33"/>
          </w:tcPr>
          <w:p w14:paraId="767F22A2"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0.41</w:t>
            </w:r>
          </w:p>
        </w:tc>
        <w:tc>
          <w:tcPr>
            <w:tcW w:w="1736" w:type="dxa"/>
          </w:tcPr>
          <w:p w14:paraId="0660A926"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D9F2D0" w:themeFill="accent6" w:themeFillTint="33"/>
          </w:tcPr>
          <w:p w14:paraId="4545D9DE"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r>
      <w:tr w:rsidR="00547000" w:rsidRPr="00F704C7" w14:paraId="2918E736" w14:textId="77777777" w:rsidTr="006F35D9">
        <w:tc>
          <w:tcPr>
            <w:tcW w:w="1863" w:type="dxa"/>
            <w:tcBorders>
              <w:right w:val="single" w:sz="12" w:space="0" w:color="auto"/>
            </w:tcBorders>
          </w:tcPr>
          <w:p w14:paraId="2CE590AA" w14:textId="63369EF4"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FAE2D5" w:themeFill="accent2" w:themeFillTint="33"/>
          </w:tcPr>
          <w:p w14:paraId="7DEB992E"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0.05</w:t>
            </w:r>
          </w:p>
        </w:tc>
        <w:tc>
          <w:tcPr>
            <w:tcW w:w="1864" w:type="dxa"/>
            <w:shd w:val="clear" w:color="auto" w:fill="D9F2D0" w:themeFill="accent6" w:themeFillTint="33"/>
          </w:tcPr>
          <w:p w14:paraId="5260683B"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shd w:val="clear" w:color="auto" w:fill="D9F2D0" w:themeFill="accent6" w:themeFillTint="33"/>
          </w:tcPr>
          <w:p w14:paraId="578B7646"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tcPr>
          <w:p w14:paraId="1C454947" w14:textId="77777777" w:rsidR="00547000" w:rsidRPr="00F704C7" w:rsidRDefault="00547000" w:rsidP="006F35D9">
            <w:pPr>
              <w:jc w:val="center"/>
              <w:rPr>
                <w:rFonts w:ascii="Times New Roman" w:hAnsi="Times New Roman" w:cs="Times New Roman"/>
                <w:sz w:val="20"/>
                <w:szCs w:val="20"/>
              </w:rPr>
            </w:pPr>
          </w:p>
        </w:tc>
      </w:tr>
    </w:tbl>
    <w:p w14:paraId="38876649" w14:textId="7A0552D8" w:rsidR="009F132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8</w:t>
      </w:r>
      <w:r w:rsidRPr="00F704C7">
        <w:rPr>
          <w:rFonts w:ascii="Times New Roman" w:hAnsi="Times New Roman" w:cs="Times New Roman"/>
          <w:i/>
          <w:iCs/>
          <w:sz w:val="20"/>
          <w:szCs w:val="20"/>
        </w:rPr>
        <w:t xml:space="preserve"> – Results of post-hoc Dunn’s test using Bonferroni-corrected alpha value for MxA. Significant p-values in green.</w:t>
      </w:r>
    </w:p>
    <w:p w14:paraId="3B6B328A" w14:textId="77777777" w:rsidR="009F1320" w:rsidRPr="00F704C7" w:rsidRDefault="009F1320" w:rsidP="00547000">
      <w:pPr>
        <w:spacing w:after="0" w:line="240" w:lineRule="auto"/>
        <w:rPr>
          <w:rFonts w:ascii="Times New Roman" w:hAnsi="Times New Roman" w:cs="Times New Roman"/>
          <w:i/>
          <w:iC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636428D6" w14:textId="77777777" w:rsidTr="006F35D9">
        <w:tc>
          <w:tcPr>
            <w:tcW w:w="1863" w:type="dxa"/>
            <w:tcBorders>
              <w:bottom w:val="single" w:sz="12" w:space="0" w:color="auto"/>
              <w:right w:val="single" w:sz="12" w:space="0" w:color="auto"/>
            </w:tcBorders>
          </w:tcPr>
          <w:p w14:paraId="099BD417" w14:textId="77777777" w:rsidR="00547000" w:rsidRPr="00F704C7" w:rsidRDefault="00547000" w:rsidP="006F35D9">
            <w:pPr>
              <w:jc w:val="center"/>
              <w:rPr>
                <w:rFonts w:ascii="Times New Roman" w:hAnsi="Times New Roman" w:cs="Times New Roman"/>
                <w:b/>
                <w:bCs/>
                <w:sz w:val="20"/>
                <w:szCs w:val="20"/>
              </w:rPr>
            </w:pPr>
            <w:r w:rsidRPr="00F704C7">
              <w:rPr>
                <w:rFonts w:ascii="Times New Roman" w:hAnsi="Times New Roman" w:cs="Times New Roman"/>
                <w:b/>
                <w:bCs/>
                <w:color w:val="212121"/>
                <w:sz w:val="20"/>
                <w:szCs w:val="20"/>
                <w:shd w:val="clear" w:color="auto" w:fill="FFFFFF"/>
              </w:rPr>
              <w:t>C-reactive protein</w:t>
            </w:r>
          </w:p>
        </w:tc>
        <w:tc>
          <w:tcPr>
            <w:tcW w:w="1863" w:type="dxa"/>
            <w:tcBorders>
              <w:left w:val="single" w:sz="12" w:space="0" w:color="auto"/>
              <w:bottom w:val="single" w:sz="12" w:space="0" w:color="auto"/>
            </w:tcBorders>
            <w:vAlign w:val="center"/>
          </w:tcPr>
          <w:p w14:paraId="3A242E8D" w14:textId="29957551"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vAlign w:val="center"/>
          </w:tcPr>
          <w:p w14:paraId="191AB9E8" w14:textId="6FEFC02B"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vAlign w:val="center"/>
          </w:tcPr>
          <w:p w14:paraId="315AB53A" w14:textId="27E15A5F"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vAlign w:val="center"/>
          </w:tcPr>
          <w:p w14:paraId="7FE73188" w14:textId="6C766EEE"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475B794A" w14:textId="77777777" w:rsidTr="006F35D9">
        <w:tc>
          <w:tcPr>
            <w:tcW w:w="1863" w:type="dxa"/>
            <w:tcBorders>
              <w:top w:val="single" w:sz="12" w:space="0" w:color="auto"/>
              <w:right w:val="single" w:sz="12" w:space="0" w:color="auto"/>
            </w:tcBorders>
          </w:tcPr>
          <w:p w14:paraId="147F9274" w14:textId="6D177A8D"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7D223784"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D9F2D0" w:themeFill="accent6" w:themeFillTint="33"/>
          </w:tcPr>
          <w:p w14:paraId="24B8B8D1"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tcBorders>
              <w:top w:val="single" w:sz="12" w:space="0" w:color="auto"/>
            </w:tcBorders>
            <w:shd w:val="clear" w:color="auto" w:fill="FAE2D5" w:themeFill="accent2" w:themeFillTint="33"/>
          </w:tcPr>
          <w:p w14:paraId="5D96F920"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0.30</w:t>
            </w:r>
          </w:p>
        </w:tc>
        <w:tc>
          <w:tcPr>
            <w:tcW w:w="1736" w:type="dxa"/>
            <w:tcBorders>
              <w:top w:val="single" w:sz="12" w:space="0" w:color="auto"/>
            </w:tcBorders>
            <w:shd w:val="clear" w:color="auto" w:fill="D9F2D0" w:themeFill="accent6" w:themeFillTint="33"/>
          </w:tcPr>
          <w:p w14:paraId="03E01A3E"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r>
      <w:tr w:rsidR="00547000" w:rsidRPr="00F704C7" w14:paraId="3CCE0B66" w14:textId="77777777" w:rsidTr="006F35D9">
        <w:tc>
          <w:tcPr>
            <w:tcW w:w="1863" w:type="dxa"/>
            <w:tcBorders>
              <w:right w:val="single" w:sz="12" w:space="0" w:color="auto"/>
            </w:tcBorders>
          </w:tcPr>
          <w:p w14:paraId="1B48F1A3" w14:textId="785F190E"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D9F2D0" w:themeFill="accent6" w:themeFillTint="33"/>
          </w:tcPr>
          <w:p w14:paraId="586AC751"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864" w:type="dxa"/>
          </w:tcPr>
          <w:p w14:paraId="136D44BF"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D9F2D0" w:themeFill="accent6" w:themeFillTint="33"/>
          </w:tcPr>
          <w:p w14:paraId="61F31074"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shd w:val="clear" w:color="auto" w:fill="D9F2D0" w:themeFill="accent6" w:themeFillTint="33"/>
          </w:tcPr>
          <w:p w14:paraId="44CB0D67"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0.005</w:t>
            </w:r>
          </w:p>
        </w:tc>
      </w:tr>
      <w:tr w:rsidR="00547000" w:rsidRPr="00F704C7" w14:paraId="69F75367" w14:textId="77777777" w:rsidTr="006F35D9">
        <w:tc>
          <w:tcPr>
            <w:tcW w:w="1863" w:type="dxa"/>
            <w:tcBorders>
              <w:right w:val="single" w:sz="12" w:space="0" w:color="auto"/>
            </w:tcBorders>
          </w:tcPr>
          <w:p w14:paraId="47981FDF" w14:textId="4CDC4A48"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lastRenderedPageBreak/>
              <w:t>co-infection</w:t>
            </w:r>
          </w:p>
        </w:tc>
        <w:tc>
          <w:tcPr>
            <w:tcW w:w="1863" w:type="dxa"/>
            <w:tcBorders>
              <w:left w:val="single" w:sz="12" w:space="0" w:color="auto"/>
            </w:tcBorders>
            <w:shd w:val="clear" w:color="auto" w:fill="FAE2D5" w:themeFill="accent2" w:themeFillTint="33"/>
          </w:tcPr>
          <w:p w14:paraId="320B835B"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0.30</w:t>
            </w:r>
          </w:p>
        </w:tc>
        <w:tc>
          <w:tcPr>
            <w:tcW w:w="1864" w:type="dxa"/>
            <w:shd w:val="clear" w:color="auto" w:fill="D9F2D0" w:themeFill="accent6" w:themeFillTint="33"/>
          </w:tcPr>
          <w:p w14:paraId="7EBB0FA0"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tcPr>
          <w:p w14:paraId="69535799"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D9F2D0" w:themeFill="accent6" w:themeFillTint="33"/>
          </w:tcPr>
          <w:p w14:paraId="3D5466C4"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r>
      <w:tr w:rsidR="00547000" w:rsidRPr="00F704C7" w14:paraId="6FC8C1CD" w14:textId="77777777" w:rsidTr="006F35D9">
        <w:tc>
          <w:tcPr>
            <w:tcW w:w="1863" w:type="dxa"/>
            <w:tcBorders>
              <w:right w:val="single" w:sz="12" w:space="0" w:color="auto"/>
            </w:tcBorders>
          </w:tcPr>
          <w:p w14:paraId="50478D54" w14:textId="5E25D83B"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D9F2D0" w:themeFill="accent6" w:themeFillTint="33"/>
          </w:tcPr>
          <w:p w14:paraId="6405B378"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864" w:type="dxa"/>
            <w:shd w:val="clear" w:color="auto" w:fill="D9F2D0" w:themeFill="accent6" w:themeFillTint="33"/>
          </w:tcPr>
          <w:p w14:paraId="49C2E845"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0.005</w:t>
            </w:r>
          </w:p>
        </w:tc>
        <w:tc>
          <w:tcPr>
            <w:tcW w:w="1736" w:type="dxa"/>
            <w:shd w:val="clear" w:color="auto" w:fill="D9F2D0" w:themeFill="accent6" w:themeFillTint="33"/>
          </w:tcPr>
          <w:p w14:paraId="55558B90"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tcPr>
          <w:p w14:paraId="4DD7EDC0" w14:textId="77777777" w:rsidR="00547000" w:rsidRPr="00F704C7" w:rsidRDefault="00547000" w:rsidP="006F35D9">
            <w:pPr>
              <w:jc w:val="center"/>
              <w:rPr>
                <w:rFonts w:ascii="Times New Roman" w:hAnsi="Times New Roman" w:cs="Times New Roman"/>
                <w:sz w:val="20"/>
                <w:szCs w:val="20"/>
              </w:rPr>
            </w:pPr>
          </w:p>
        </w:tc>
      </w:tr>
    </w:tbl>
    <w:p w14:paraId="03BFDAA0" w14:textId="1DCEFCF2" w:rsidR="0054700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9</w:t>
      </w:r>
      <w:r w:rsidRPr="00F704C7">
        <w:rPr>
          <w:rFonts w:ascii="Times New Roman" w:hAnsi="Times New Roman" w:cs="Times New Roman"/>
          <w:i/>
          <w:iCs/>
          <w:sz w:val="20"/>
          <w:szCs w:val="20"/>
        </w:rPr>
        <w:t xml:space="preserve"> – Results of post-hoc Dunn’s test using Bonferroni-corrected alpha value for C-reactive protein. Significant p-values in green.</w:t>
      </w:r>
    </w:p>
    <w:p w14:paraId="7232D70E" w14:textId="77777777" w:rsidR="00547000" w:rsidRPr="00F704C7" w:rsidRDefault="00547000" w:rsidP="00547000">
      <w:pPr>
        <w:spacing w:after="0" w:line="240" w:lineRule="auto"/>
        <w:rPr>
          <w:rFonts w:ascii="Times New Roman" w:hAnsi="Times New Roman" w:cs="Times New Roman"/>
          <w:i/>
          <w:iC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3C3C6CAD" w14:textId="77777777" w:rsidTr="006F35D9">
        <w:tc>
          <w:tcPr>
            <w:tcW w:w="1863" w:type="dxa"/>
            <w:tcBorders>
              <w:bottom w:val="single" w:sz="12" w:space="0" w:color="auto"/>
              <w:right w:val="single" w:sz="12" w:space="0" w:color="auto"/>
            </w:tcBorders>
          </w:tcPr>
          <w:p w14:paraId="2371375D" w14:textId="77777777" w:rsidR="00547000" w:rsidRPr="00F704C7" w:rsidRDefault="00547000" w:rsidP="006F35D9">
            <w:pPr>
              <w:jc w:val="center"/>
              <w:rPr>
                <w:rFonts w:ascii="Times New Roman" w:hAnsi="Times New Roman" w:cs="Times New Roman"/>
                <w:b/>
                <w:bCs/>
                <w:sz w:val="20"/>
                <w:szCs w:val="20"/>
              </w:rPr>
            </w:pPr>
            <w:r w:rsidRPr="00F704C7">
              <w:rPr>
                <w:rFonts w:ascii="Times New Roman" w:hAnsi="Times New Roman" w:cs="Times New Roman"/>
                <w:b/>
                <w:bCs/>
                <w:color w:val="212121"/>
                <w:sz w:val="20"/>
                <w:szCs w:val="20"/>
                <w:shd w:val="clear" w:color="auto" w:fill="FFFFFF"/>
              </w:rPr>
              <w:t>Procalcitonin</w:t>
            </w:r>
          </w:p>
        </w:tc>
        <w:tc>
          <w:tcPr>
            <w:tcW w:w="1863" w:type="dxa"/>
            <w:tcBorders>
              <w:left w:val="single" w:sz="12" w:space="0" w:color="auto"/>
              <w:bottom w:val="single" w:sz="12" w:space="0" w:color="auto"/>
            </w:tcBorders>
          </w:tcPr>
          <w:p w14:paraId="4965A741" w14:textId="08014455"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tcPr>
          <w:p w14:paraId="5BCE327E" w14:textId="09366391"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tcPr>
          <w:p w14:paraId="1073E95D" w14:textId="29A13622"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tcPr>
          <w:p w14:paraId="49CC433E" w14:textId="32022AD9"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2CB0D642" w14:textId="77777777" w:rsidTr="006F35D9">
        <w:tc>
          <w:tcPr>
            <w:tcW w:w="1863" w:type="dxa"/>
            <w:tcBorders>
              <w:top w:val="single" w:sz="12" w:space="0" w:color="auto"/>
              <w:right w:val="single" w:sz="12" w:space="0" w:color="auto"/>
            </w:tcBorders>
          </w:tcPr>
          <w:p w14:paraId="752209CD" w14:textId="30A5CC27"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35DEFF53"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D9F2D0" w:themeFill="accent6" w:themeFillTint="33"/>
          </w:tcPr>
          <w:p w14:paraId="46F5E4C0"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tcBorders>
              <w:top w:val="single" w:sz="12" w:space="0" w:color="auto"/>
            </w:tcBorders>
            <w:shd w:val="clear" w:color="auto" w:fill="FAE2D5" w:themeFill="accent2" w:themeFillTint="33"/>
          </w:tcPr>
          <w:p w14:paraId="62556C2B"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0.91</w:t>
            </w:r>
          </w:p>
        </w:tc>
        <w:tc>
          <w:tcPr>
            <w:tcW w:w="1736" w:type="dxa"/>
            <w:tcBorders>
              <w:top w:val="single" w:sz="12" w:space="0" w:color="auto"/>
            </w:tcBorders>
            <w:shd w:val="clear" w:color="auto" w:fill="D9F2D0" w:themeFill="accent6" w:themeFillTint="33"/>
          </w:tcPr>
          <w:p w14:paraId="0223A656"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r>
      <w:tr w:rsidR="00547000" w:rsidRPr="00F704C7" w14:paraId="5EC446AF" w14:textId="77777777" w:rsidTr="006F35D9">
        <w:tc>
          <w:tcPr>
            <w:tcW w:w="1863" w:type="dxa"/>
            <w:tcBorders>
              <w:right w:val="single" w:sz="12" w:space="0" w:color="auto"/>
            </w:tcBorders>
          </w:tcPr>
          <w:p w14:paraId="1718717B" w14:textId="52855CE9"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D9F2D0" w:themeFill="accent6" w:themeFillTint="33"/>
          </w:tcPr>
          <w:p w14:paraId="1FC63B73"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864" w:type="dxa"/>
          </w:tcPr>
          <w:p w14:paraId="12E3745C"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D9F2D0" w:themeFill="accent6" w:themeFillTint="33"/>
          </w:tcPr>
          <w:p w14:paraId="3AF3AF22"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shd w:val="clear" w:color="auto" w:fill="FAE2D5" w:themeFill="accent2" w:themeFillTint="33"/>
          </w:tcPr>
          <w:p w14:paraId="319290A8"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0.45</w:t>
            </w:r>
          </w:p>
        </w:tc>
      </w:tr>
      <w:tr w:rsidR="00547000" w:rsidRPr="00F704C7" w14:paraId="6FED92A8" w14:textId="77777777" w:rsidTr="006F35D9">
        <w:tc>
          <w:tcPr>
            <w:tcW w:w="1863" w:type="dxa"/>
            <w:tcBorders>
              <w:right w:val="single" w:sz="12" w:space="0" w:color="auto"/>
            </w:tcBorders>
          </w:tcPr>
          <w:p w14:paraId="2AD8969F" w14:textId="17A348BC"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863" w:type="dxa"/>
            <w:tcBorders>
              <w:left w:val="single" w:sz="12" w:space="0" w:color="auto"/>
            </w:tcBorders>
            <w:shd w:val="clear" w:color="auto" w:fill="FAE2D5" w:themeFill="accent2" w:themeFillTint="33"/>
          </w:tcPr>
          <w:p w14:paraId="52170C94"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0.91</w:t>
            </w:r>
          </w:p>
        </w:tc>
        <w:tc>
          <w:tcPr>
            <w:tcW w:w="1864" w:type="dxa"/>
            <w:shd w:val="clear" w:color="auto" w:fill="D9F2D0" w:themeFill="accent6" w:themeFillTint="33"/>
          </w:tcPr>
          <w:p w14:paraId="594A7A28"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tcPr>
          <w:p w14:paraId="193D3C0E"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D9F2D0" w:themeFill="accent6" w:themeFillTint="33"/>
          </w:tcPr>
          <w:p w14:paraId="5D35B1A9"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r>
      <w:tr w:rsidR="00547000" w:rsidRPr="00F704C7" w14:paraId="1AED6A76" w14:textId="77777777" w:rsidTr="006F35D9">
        <w:tc>
          <w:tcPr>
            <w:tcW w:w="1863" w:type="dxa"/>
            <w:tcBorders>
              <w:right w:val="single" w:sz="12" w:space="0" w:color="auto"/>
            </w:tcBorders>
          </w:tcPr>
          <w:p w14:paraId="08203750" w14:textId="67B28A85"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D9F2D0" w:themeFill="accent6" w:themeFillTint="33"/>
          </w:tcPr>
          <w:p w14:paraId="56F6AA57"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864" w:type="dxa"/>
            <w:shd w:val="clear" w:color="auto" w:fill="FAE2D5" w:themeFill="accent2" w:themeFillTint="33"/>
          </w:tcPr>
          <w:p w14:paraId="4FF1A0E0"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0.45</w:t>
            </w:r>
          </w:p>
        </w:tc>
        <w:tc>
          <w:tcPr>
            <w:tcW w:w="1736" w:type="dxa"/>
            <w:shd w:val="clear" w:color="auto" w:fill="D9F2D0" w:themeFill="accent6" w:themeFillTint="33"/>
          </w:tcPr>
          <w:p w14:paraId="03B57FFB"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tcPr>
          <w:p w14:paraId="64FB620D" w14:textId="77777777" w:rsidR="00547000" w:rsidRPr="00F704C7" w:rsidRDefault="00547000" w:rsidP="006F35D9">
            <w:pPr>
              <w:jc w:val="center"/>
              <w:rPr>
                <w:rFonts w:ascii="Times New Roman" w:hAnsi="Times New Roman" w:cs="Times New Roman"/>
                <w:sz w:val="20"/>
                <w:szCs w:val="20"/>
              </w:rPr>
            </w:pPr>
          </w:p>
        </w:tc>
      </w:tr>
    </w:tbl>
    <w:p w14:paraId="2119ED43" w14:textId="7C3943D5" w:rsidR="0054700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10</w:t>
      </w:r>
      <w:r w:rsidRPr="00F704C7">
        <w:rPr>
          <w:rFonts w:ascii="Times New Roman" w:hAnsi="Times New Roman" w:cs="Times New Roman"/>
          <w:i/>
          <w:iCs/>
          <w:sz w:val="20"/>
          <w:szCs w:val="20"/>
        </w:rPr>
        <w:t xml:space="preserve"> – Results of post-hoc Dunn’s test using Bonferroni-corrected alpha value for procalcitonin. Significant p-values in green.</w:t>
      </w:r>
    </w:p>
    <w:p w14:paraId="7AAFE63F" w14:textId="77777777" w:rsidR="00547000" w:rsidRPr="00F704C7" w:rsidRDefault="00547000" w:rsidP="00547000">
      <w:pPr>
        <w:spacing w:after="0" w:line="240" w:lineRule="auto"/>
        <w:rPr>
          <w:rFonts w:ascii="Times New Roman" w:hAnsi="Times New Roman" w:cs="Times New Roman"/>
          <w:i/>
          <w:iC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36D0727A" w14:textId="77777777" w:rsidTr="006F35D9">
        <w:tc>
          <w:tcPr>
            <w:tcW w:w="1863" w:type="dxa"/>
            <w:tcBorders>
              <w:bottom w:val="single" w:sz="12" w:space="0" w:color="auto"/>
              <w:right w:val="single" w:sz="12" w:space="0" w:color="auto"/>
            </w:tcBorders>
          </w:tcPr>
          <w:p w14:paraId="492106F5" w14:textId="77777777" w:rsidR="00547000" w:rsidRPr="00F704C7" w:rsidRDefault="00547000" w:rsidP="006F35D9">
            <w:pPr>
              <w:jc w:val="center"/>
              <w:rPr>
                <w:rFonts w:ascii="Times New Roman" w:hAnsi="Times New Roman" w:cs="Times New Roman"/>
                <w:b/>
                <w:bCs/>
                <w:sz w:val="20"/>
                <w:szCs w:val="20"/>
              </w:rPr>
            </w:pPr>
            <w:r w:rsidRPr="00F704C7">
              <w:rPr>
                <w:rFonts w:ascii="Times New Roman" w:hAnsi="Times New Roman" w:cs="Times New Roman"/>
                <w:b/>
                <w:bCs/>
                <w:color w:val="212121"/>
                <w:sz w:val="20"/>
                <w:szCs w:val="20"/>
                <w:shd w:val="clear" w:color="auto" w:fill="FFFFFF"/>
              </w:rPr>
              <w:t>Creatinine</w:t>
            </w:r>
          </w:p>
        </w:tc>
        <w:tc>
          <w:tcPr>
            <w:tcW w:w="1863" w:type="dxa"/>
            <w:tcBorders>
              <w:left w:val="single" w:sz="12" w:space="0" w:color="auto"/>
              <w:bottom w:val="single" w:sz="12" w:space="0" w:color="auto"/>
            </w:tcBorders>
          </w:tcPr>
          <w:p w14:paraId="1314B973" w14:textId="00BA4631"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tcPr>
          <w:p w14:paraId="1D1B3F74" w14:textId="7483AA1D"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tcPr>
          <w:p w14:paraId="395E1457" w14:textId="614A5CA1"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tcPr>
          <w:p w14:paraId="693F2738" w14:textId="0620422C"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1667E132" w14:textId="77777777" w:rsidTr="006F35D9">
        <w:tc>
          <w:tcPr>
            <w:tcW w:w="1863" w:type="dxa"/>
            <w:tcBorders>
              <w:top w:val="single" w:sz="12" w:space="0" w:color="auto"/>
              <w:right w:val="single" w:sz="12" w:space="0" w:color="auto"/>
            </w:tcBorders>
          </w:tcPr>
          <w:p w14:paraId="75C471B5" w14:textId="3EED3393"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0C4B2039"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D9F2D0" w:themeFill="accent6" w:themeFillTint="33"/>
          </w:tcPr>
          <w:p w14:paraId="391FDAB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736" w:type="dxa"/>
            <w:tcBorders>
              <w:top w:val="single" w:sz="12" w:space="0" w:color="auto"/>
            </w:tcBorders>
            <w:shd w:val="clear" w:color="auto" w:fill="FAE2D5" w:themeFill="accent2" w:themeFillTint="33"/>
          </w:tcPr>
          <w:p w14:paraId="161748B3"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0.27</w:t>
            </w:r>
          </w:p>
        </w:tc>
        <w:tc>
          <w:tcPr>
            <w:tcW w:w="1736" w:type="dxa"/>
            <w:tcBorders>
              <w:top w:val="single" w:sz="12" w:space="0" w:color="auto"/>
            </w:tcBorders>
            <w:shd w:val="clear" w:color="auto" w:fill="D9F2D0" w:themeFill="accent6" w:themeFillTint="33"/>
          </w:tcPr>
          <w:p w14:paraId="164CABCF"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r>
      <w:tr w:rsidR="00547000" w:rsidRPr="00F704C7" w14:paraId="335FFBC2" w14:textId="77777777" w:rsidTr="006F35D9">
        <w:tc>
          <w:tcPr>
            <w:tcW w:w="1863" w:type="dxa"/>
            <w:tcBorders>
              <w:right w:val="single" w:sz="12" w:space="0" w:color="auto"/>
            </w:tcBorders>
          </w:tcPr>
          <w:p w14:paraId="2A36E919" w14:textId="09FE0FB0"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D9F2D0" w:themeFill="accent6" w:themeFillTint="33"/>
          </w:tcPr>
          <w:p w14:paraId="179924D3"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864" w:type="dxa"/>
          </w:tcPr>
          <w:p w14:paraId="692663BA"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00CCD5C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0.03</w:t>
            </w:r>
          </w:p>
        </w:tc>
        <w:tc>
          <w:tcPr>
            <w:tcW w:w="1736" w:type="dxa"/>
            <w:shd w:val="clear" w:color="auto" w:fill="FAE2D5" w:themeFill="accent2" w:themeFillTint="33"/>
          </w:tcPr>
          <w:p w14:paraId="4D32DD48"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0.18</w:t>
            </w:r>
          </w:p>
        </w:tc>
      </w:tr>
      <w:tr w:rsidR="00547000" w:rsidRPr="00F704C7" w14:paraId="71513842" w14:textId="77777777" w:rsidTr="006F35D9">
        <w:tc>
          <w:tcPr>
            <w:tcW w:w="1863" w:type="dxa"/>
            <w:tcBorders>
              <w:right w:val="single" w:sz="12" w:space="0" w:color="auto"/>
            </w:tcBorders>
          </w:tcPr>
          <w:p w14:paraId="044A164D" w14:textId="64A45726"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863" w:type="dxa"/>
            <w:tcBorders>
              <w:left w:val="single" w:sz="12" w:space="0" w:color="auto"/>
            </w:tcBorders>
            <w:shd w:val="clear" w:color="auto" w:fill="FAE2D5" w:themeFill="accent2" w:themeFillTint="33"/>
          </w:tcPr>
          <w:p w14:paraId="29462CC4"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0.27</w:t>
            </w:r>
          </w:p>
        </w:tc>
        <w:tc>
          <w:tcPr>
            <w:tcW w:w="1864" w:type="dxa"/>
            <w:shd w:val="clear" w:color="auto" w:fill="FAE2D5" w:themeFill="accent2" w:themeFillTint="33"/>
          </w:tcPr>
          <w:p w14:paraId="043015C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0.03</w:t>
            </w:r>
          </w:p>
        </w:tc>
        <w:tc>
          <w:tcPr>
            <w:tcW w:w="1736" w:type="dxa"/>
          </w:tcPr>
          <w:p w14:paraId="43C10E99"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6059D51A"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0.17</w:t>
            </w:r>
          </w:p>
        </w:tc>
      </w:tr>
      <w:tr w:rsidR="00547000" w:rsidRPr="00F704C7" w14:paraId="00195F8B" w14:textId="77777777" w:rsidTr="006F35D9">
        <w:tc>
          <w:tcPr>
            <w:tcW w:w="1863" w:type="dxa"/>
            <w:tcBorders>
              <w:right w:val="single" w:sz="12" w:space="0" w:color="auto"/>
            </w:tcBorders>
          </w:tcPr>
          <w:p w14:paraId="53E838CE" w14:textId="2A67E787"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D9F2D0" w:themeFill="accent6" w:themeFillTint="33"/>
          </w:tcPr>
          <w:p w14:paraId="0ED8285B"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0.001</w:t>
            </w:r>
          </w:p>
        </w:tc>
        <w:tc>
          <w:tcPr>
            <w:tcW w:w="1864" w:type="dxa"/>
            <w:shd w:val="clear" w:color="auto" w:fill="FAE2D5" w:themeFill="accent2" w:themeFillTint="33"/>
          </w:tcPr>
          <w:p w14:paraId="1590E5A8"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0.18</w:t>
            </w:r>
          </w:p>
        </w:tc>
        <w:tc>
          <w:tcPr>
            <w:tcW w:w="1736" w:type="dxa"/>
            <w:shd w:val="clear" w:color="auto" w:fill="FAE2D5" w:themeFill="accent2" w:themeFillTint="33"/>
          </w:tcPr>
          <w:p w14:paraId="72C71327"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0.17</w:t>
            </w:r>
          </w:p>
        </w:tc>
        <w:tc>
          <w:tcPr>
            <w:tcW w:w="1736" w:type="dxa"/>
          </w:tcPr>
          <w:p w14:paraId="5A36B70D" w14:textId="77777777" w:rsidR="00547000" w:rsidRPr="00F704C7" w:rsidRDefault="00547000" w:rsidP="006F35D9">
            <w:pPr>
              <w:jc w:val="center"/>
              <w:rPr>
                <w:rFonts w:ascii="Times New Roman" w:hAnsi="Times New Roman" w:cs="Times New Roman"/>
                <w:sz w:val="20"/>
                <w:szCs w:val="20"/>
              </w:rPr>
            </w:pPr>
          </w:p>
        </w:tc>
      </w:tr>
    </w:tbl>
    <w:p w14:paraId="68730799" w14:textId="71E2BE86" w:rsidR="0054700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11</w:t>
      </w:r>
      <w:r w:rsidRPr="00F704C7">
        <w:rPr>
          <w:rFonts w:ascii="Times New Roman" w:hAnsi="Times New Roman" w:cs="Times New Roman"/>
          <w:i/>
          <w:iCs/>
          <w:sz w:val="20"/>
          <w:szCs w:val="20"/>
        </w:rPr>
        <w:t xml:space="preserve"> – Results of post-hoc Dunn’s test using Bonferroni-corrected alpha value for creatinine. Significant p-values in green.</w:t>
      </w:r>
    </w:p>
    <w:p w14:paraId="1FF769F4" w14:textId="77777777" w:rsidR="00547000" w:rsidRPr="00F704C7" w:rsidRDefault="00547000" w:rsidP="00547000">
      <w:pPr>
        <w:spacing w:after="0" w:line="240" w:lineRule="auto"/>
        <w:rPr>
          <w:rFonts w:ascii="Times New Roman" w:hAnsi="Times New Roman" w:cs="Times New Roman"/>
          <w:i/>
          <w:iC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13816678" w14:textId="77777777" w:rsidTr="006F35D9">
        <w:tc>
          <w:tcPr>
            <w:tcW w:w="1863" w:type="dxa"/>
            <w:tcBorders>
              <w:bottom w:val="single" w:sz="12" w:space="0" w:color="auto"/>
              <w:right w:val="single" w:sz="12" w:space="0" w:color="auto"/>
            </w:tcBorders>
          </w:tcPr>
          <w:p w14:paraId="71A86FEF" w14:textId="77777777" w:rsidR="00547000" w:rsidRPr="00F704C7" w:rsidRDefault="00547000" w:rsidP="006F35D9">
            <w:pPr>
              <w:jc w:val="center"/>
              <w:rPr>
                <w:rFonts w:ascii="Times New Roman" w:hAnsi="Times New Roman" w:cs="Times New Roman"/>
                <w:b/>
                <w:bCs/>
                <w:sz w:val="20"/>
                <w:szCs w:val="20"/>
              </w:rPr>
            </w:pPr>
            <w:r w:rsidRPr="00F704C7">
              <w:rPr>
                <w:rFonts w:ascii="Times New Roman" w:hAnsi="Times New Roman" w:cs="Times New Roman"/>
                <w:b/>
                <w:bCs/>
                <w:color w:val="212121"/>
                <w:sz w:val="20"/>
                <w:szCs w:val="20"/>
                <w:shd w:val="clear" w:color="auto" w:fill="FFFFFF"/>
              </w:rPr>
              <w:t>Bilirubin</w:t>
            </w:r>
          </w:p>
        </w:tc>
        <w:tc>
          <w:tcPr>
            <w:tcW w:w="1863" w:type="dxa"/>
            <w:tcBorders>
              <w:left w:val="single" w:sz="12" w:space="0" w:color="auto"/>
              <w:bottom w:val="single" w:sz="12" w:space="0" w:color="auto"/>
            </w:tcBorders>
          </w:tcPr>
          <w:p w14:paraId="65DB09CD" w14:textId="399F940F"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tcPr>
          <w:p w14:paraId="1F13DF8E" w14:textId="5D4BFD98"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tcPr>
          <w:p w14:paraId="58741B82" w14:textId="74FDCBA5"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tcPr>
          <w:p w14:paraId="79502AA8" w14:textId="34FA8470"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169AC2BD" w14:textId="77777777" w:rsidTr="006F35D9">
        <w:tc>
          <w:tcPr>
            <w:tcW w:w="1863" w:type="dxa"/>
            <w:tcBorders>
              <w:top w:val="single" w:sz="12" w:space="0" w:color="auto"/>
              <w:right w:val="single" w:sz="12" w:space="0" w:color="auto"/>
            </w:tcBorders>
          </w:tcPr>
          <w:p w14:paraId="6644D1BF" w14:textId="24BCF561"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792F8984"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D9F2D0" w:themeFill="accent6" w:themeFillTint="33"/>
          </w:tcPr>
          <w:p w14:paraId="2FBB73D5"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0.005</w:t>
            </w:r>
          </w:p>
        </w:tc>
        <w:tc>
          <w:tcPr>
            <w:tcW w:w="1736" w:type="dxa"/>
            <w:tcBorders>
              <w:top w:val="single" w:sz="12" w:space="0" w:color="auto"/>
            </w:tcBorders>
            <w:shd w:val="clear" w:color="auto" w:fill="FAE2D5" w:themeFill="accent2" w:themeFillTint="33"/>
          </w:tcPr>
          <w:p w14:paraId="455774F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0.62</w:t>
            </w:r>
          </w:p>
        </w:tc>
        <w:tc>
          <w:tcPr>
            <w:tcW w:w="1736" w:type="dxa"/>
            <w:tcBorders>
              <w:top w:val="single" w:sz="12" w:space="0" w:color="auto"/>
            </w:tcBorders>
            <w:shd w:val="clear" w:color="auto" w:fill="FAE2D5" w:themeFill="accent2" w:themeFillTint="33"/>
          </w:tcPr>
          <w:p w14:paraId="472FFA1B"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0.13</w:t>
            </w:r>
          </w:p>
        </w:tc>
      </w:tr>
      <w:tr w:rsidR="00547000" w:rsidRPr="00F704C7" w14:paraId="6F62EE51" w14:textId="77777777" w:rsidTr="006F35D9">
        <w:tc>
          <w:tcPr>
            <w:tcW w:w="1863" w:type="dxa"/>
            <w:tcBorders>
              <w:right w:val="single" w:sz="12" w:space="0" w:color="auto"/>
            </w:tcBorders>
          </w:tcPr>
          <w:p w14:paraId="4A2D99D6" w14:textId="62C0006C"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D9F2D0" w:themeFill="accent6" w:themeFillTint="33"/>
          </w:tcPr>
          <w:p w14:paraId="52738407"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&lt; 0.005</w:t>
            </w:r>
          </w:p>
        </w:tc>
        <w:tc>
          <w:tcPr>
            <w:tcW w:w="1864" w:type="dxa"/>
          </w:tcPr>
          <w:p w14:paraId="349CDFDA"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014489D6"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0.18</w:t>
            </w:r>
          </w:p>
        </w:tc>
        <w:tc>
          <w:tcPr>
            <w:tcW w:w="1736" w:type="dxa"/>
            <w:shd w:val="clear" w:color="auto" w:fill="FAE2D5" w:themeFill="accent2" w:themeFillTint="33"/>
          </w:tcPr>
          <w:p w14:paraId="3D688FD7"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0.13</w:t>
            </w:r>
          </w:p>
        </w:tc>
      </w:tr>
      <w:tr w:rsidR="00547000" w:rsidRPr="00F704C7" w14:paraId="0381494A" w14:textId="77777777" w:rsidTr="006F35D9">
        <w:tc>
          <w:tcPr>
            <w:tcW w:w="1863" w:type="dxa"/>
            <w:tcBorders>
              <w:right w:val="single" w:sz="12" w:space="0" w:color="auto"/>
            </w:tcBorders>
          </w:tcPr>
          <w:p w14:paraId="415D7C1B" w14:textId="3CFFBACC"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863" w:type="dxa"/>
            <w:tcBorders>
              <w:left w:val="single" w:sz="12" w:space="0" w:color="auto"/>
            </w:tcBorders>
            <w:shd w:val="clear" w:color="auto" w:fill="FAE2D5" w:themeFill="accent2" w:themeFillTint="33"/>
          </w:tcPr>
          <w:p w14:paraId="3A6EFA31"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0.62</w:t>
            </w:r>
          </w:p>
        </w:tc>
        <w:tc>
          <w:tcPr>
            <w:tcW w:w="1864" w:type="dxa"/>
            <w:shd w:val="clear" w:color="auto" w:fill="FAE2D5" w:themeFill="accent2" w:themeFillTint="33"/>
          </w:tcPr>
          <w:p w14:paraId="4E80F03C"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0.18</w:t>
            </w:r>
          </w:p>
        </w:tc>
        <w:tc>
          <w:tcPr>
            <w:tcW w:w="1736" w:type="dxa"/>
          </w:tcPr>
          <w:p w14:paraId="438CFDBF"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12EF5AF6"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0.74</w:t>
            </w:r>
          </w:p>
        </w:tc>
      </w:tr>
      <w:tr w:rsidR="00547000" w:rsidRPr="00F704C7" w14:paraId="3CF29CA0" w14:textId="77777777" w:rsidTr="006F35D9">
        <w:tc>
          <w:tcPr>
            <w:tcW w:w="1863" w:type="dxa"/>
            <w:tcBorders>
              <w:right w:val="single" w:sz="12" w:space="0" w:color="auto"/>
            </w:tcBorders>
          </w:tcPr>
          <w:p w14:paraId="11E55F06" w14:textId="5EBB3CE4"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FAE2D5" w:themeFill="accent2" w:themeFillTint="33"/>
          </w:tcPr>
          <w:p w14:paraId="277B1311"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0.13</w:t>
            </w:r>
          </w:p>
        </w:tc>
        <w:tc>
          <w:tcPr>
            <w:tcW w:w="1864" w:type="dxa"/>
            <w:shd w:val="clear" w:color="auto" w:fill="FAE2D5" w:themeFill="accent2" w:themeFillTint="33"/>
          </w:tcPr>
          <w:p w14:paraId="37973B42"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0.13</w:t>
            </w:r>
          </w:p>
        </w:tc>
        <w:tc>
          <w:tcPr>
            <w:tcW w:w="1736" w:type="dxa"/>
            <w:shd w:val="clear" w:color="auto" w:fill="FAE2D5" w:themeFill="accent2" w:themeFillTint="33"/>
          </w:tcPr>
          <w:p w14:paraId="3FC922C7"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0.74</w:t>
            </w:r>
          </w:p>
        </w:tc>
        <w:tc>
          <w:tcPr>
            <w:tcW w:w="1736" w:type="dxa"/>
          </w:tcPr>
          <w:p w14:paraId="2247F0EE" w14:textId="77777777" w:rsidR="00547000" w:rsidRPr="00F704C7" w:rsidRDefault="00547000" w:rsidP="006F35D9">
            <w:pPr>
              <w:jc w:val="center"/>
              <w:rPr>
                <w:rFonts w:ascii="Times New Roman" w:hAnsi="Times New Roman" w:cs="Times New Roman"/>
                <w:sz w:val="20"/>
                <w:szCs w:val="20"/>
              </w:rPr>
            </w:pPr>
          </w:p>
        </w:tc>
      </w:tr>
    </w:tbl>
    <w:p w14:paraId="426F6883" w14:textId="737236AB" w:rsidR="0054700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12</w:t>
      </w:r>
      <w:r w:rsidRPr="00F704C7">
        <w:rPr>
          <w:rFonts w:ascii="Times New Roman" w:hAnsi="Times New Roman" w:cs="Times New Roman"/>
          <w:i/>
          <w:iCs/>
          <w:sz w:val="20"/>
          <w:szCs w:val="20"/>
        </w:rPr>
        <w:t xml:space="preserve"> – Results of post-hoc Dunn’s test using Bonferroni-corrected alpha value for bilirubin. Significant p-values in green.</w:t>
      </w:r>
    </w:p>
    <w:p w14:paraId="470940E2" w14:textId="77777777" w:rsidR="00547000" w:rsidRPr="00F704C7" w:rsidRDefault="00547000" w:rsidP="00547000">
      <w:pPr>
        <w:spacing w:after="0" w:line="240" w:lineRule="auto"/>
        <w:rPr>
          <w:rFonts w:ascii="Times New Roman" w:hAnsi="Times New Roman" w:cs="Times New Roman"/>
          <w:i/>
          <w:iC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79E878BC" w14:textId="77777777" w:rsidTr="006F35D9">
        <w:tc>
          <w:tcPr>
            <w:tcW w:w="1863" w:type="dxa"/>
            <w:tcBorders>
              <w:bottom w:val="single" w:sz="12" w:space="0" w:color="auto"/>
              <w:right w:val="single" w:sz="12" w:space="0" w:color="auto"/>
            </w:tcBorders>
          </w:tcPr>
          <w:p w14:paraId="490AE908" w14:textId="77777777" w:rsidR="00547000" w:rsidRPr="00F704C7" w:rsidRDefault="00547000" w:rsidP="006F35D9">
            <w:pPr>
              <w:jc w:val="center"/>
              <w:rPr>
                <w:rFonts w:ascii="Times New Roman" w:hAnsi="Times New Roman" w:cs="Times New Roman"/>
                <w:b/>
                <w:bCs/>
                <w:sz w:val="20"/>
                <w:szCs w:val="20"/>
              </w:rPr>
            </w:pPr>
            <w:r w:rsidRPr="00F704C7">
              <w:rPr>
                <w:rFonts w:ascii="Times New Roman" w:hAnsi="Times New Roman" w:cs="Times New Roman"/>
                <w:b/>
                <w:bCs/>
                <w:color w:val="212121"/>
                <w:sz w:val="20"/>
                <w:szCs w:val="20"/>
                <w:shd w:val="clear" w:color="auto" w:fill="FFFFFF"/>
              </w:rPr>
              <w:t>Lactate</w:t>
            </w:r>
          </w:p>
        </w:tc>
        <w:tc>
          <w:tcPr>
            <w:tcW w:w="1863" w:type="dxa"/>
            <w:tcBorders>
              <w:left w:val="single" w:sz="12" w:space="0" w:color="auto"/>
              <w:bottom w:val="single" w:sz="12" w:space="0" w:color="auto"/>
            </w:tcBorders>
          </w:tcPr>
          <w:p w14:paraId="429AA3F5" w14:textId="277995E2"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tcPr>
          <w:p w14:paraId="4190D5DB" w14:textId="11BF7561"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tcPr>
          <w:p w14:paraId="6C6902F4" w14:textId="62618B8B"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tcPr>
          <w:p w14:paraId="13A34706" w14:textId="59F81590"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541D0891" w14:textId="77777777" w:rsidTr="006F35D9">
        <w:tc>
          <w:tcPr>
            <w:tcW w:w="1863" w:type="dxa"/>
            <w:tcBorders>
              <w:top w:val="single" w:sz="12" w:space="0" w:color="auto"/>
              <w:right w:val="single" w:sz="12" w:space="0" w:color="auto"/>
            </w:tcBorders>
          </w:tcPr>
          <w:p w14:paraId="666CB00B" w14:textId="5163D3D0"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72AA77A0"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FAE2D5" w:themeFill="accent2" w:themeFillTint="33"/>
          </w:tcPr>
          <w:p w14:paraId="10BC28F8"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0.21</w:t>
            </w:r>
          </w:p>
        </w:tc>
        <w:tc>
          <w:tcPr>
            <w:tcW w:w="1736" w:type="dxa"/>
            <w:tcBorders>
              <w:top w:val="single" w:sz="12" w:space="0" w:color="auto"/>
            </w:tcBorders>
            <w:shd w:val="clear" w:color="auto" w:fill="FAE2D5" w:themeFill="accent2" w:themeFillTint="33"/>
          </w:tcPr>
          <w:p w14:paraId="1D7C5EAE"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0.54</w:t>
            </w:r>
          </w:p>
        </w:tc>
        <w:tc>
          <w:tcPr>
            <w:tcW w:w="1736" w:type="dxa"/>
            <w:tcBorders>
              <w:top w:val="single" w:sz="12" w:space="0" w:color="auto"/>
            </w:tcBorders>
            <w:shd w:val="clear" w:color="auto" w:fill="FAE2D5" w:themeFill="accent2" w:themeFillTint="33"/>
          </w:tcPr>
          <w:p w14:paraId="4748EF9C"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0.08</w:t>
            </w:r>
          </w:p>
        </w:tc>
      </w:tr>
      <w:tr w:rsidR="00547000" w:rsidRPr="00F704C7" w14:paraId="2EA5900D" w14:textId="77777777" w:rsidTr="006F35D9">
        <w:tc>
          <w:tcPr>
            <w:tcW w:w="1863" w:type="dxa"/>
            <w:tcBorders>
              <w:right w:val="single" w:sz="12" w:space="0" w:color="auto"/>
            </w:tcBorders>
          </w:tcPr>
          <w:p w14:paraId="78DE74CB" w14:textId="16633C38"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FAE2D5" w:themeFill="accent2" w:themeFillTint="33"/>
          </w:tcPr>
          <w:p w14:paraId="093392F3"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0.21</w:t>
            </w:r>
          </w:p>
        </w:tc>
        <w:tc>
          <w:tcPr>
            <w:tcW w:w="1864" w:type="dxa"/>
          </w:tcPr>
          <w:p w14:paraId="1A9929DB"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00E7652B"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0.81</w:t>
            </w:r>
          </w:p>
        </w:tc>
        <w:tc>
          <w:tcPr>
            <w:tcW w:w="1736" w:type="dxa"/>
            <w:shd w:val="clear" w:color="auto" w:fill="FAE2D5" w:themeFill="accent2" w:themeFillTint="33"/>
          </w:tcPr>
          <w:p w14:paraId="4820D559"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0.02</w:t>
            </w:r>
          </w:p>
        </w:tc>
      </w:tr>
      <w:tr w:rsidR="00547000" w:rsidRPr="00F704C7" w14:paraId="4AB4AFE9" w14:textId="77777777" w:rsidTr="006F35D9">
        <w:tc>
          <w:tcPr>
            <w:tcW w:w="1863" w:type="dxa"/>
            <w:tcBorders>
              <w:right w:val="single" w:sz="12" w:space="0" w:color="auto"/>
            </w:tcBorders>
          </w:tcPr>
          <w:p w14:paraId="20940410" w14:textId="700E0F01"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863" w:type="dxa"/>
            <w:tcBorders>
              <w:left w:val="single" w:sz="12" w:space="0" w:color="auto"/>
            </w:tcBorders>
            <w:shd w:val="clear" w:color="auto" w:fill="FAE2D5" w:themeFill="accent2" w:themeFillTint="33"/>
          </w:tcPr>
          <w:p w14:paraId="696C9C46"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0.54</w:t>
            </w:r>
          </w:p>
        </w:tc>
        <w:tc>
          <w:tcPr>
            <w:tcW w:w="1864" w:type="dxa"/>
            <w:shd w:val="clear" w:color="auto" w:fill="FAE2D5" w:themeFill="accent2" w:themeFillTint="33"/>
          </w:tcPr>
          <w:p w14:paraId="06B407B1"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0.81</w:t>
            </w:r>
          </w:p>
        </w:tc>
        <w:tc>
          <w:tcPr>
            <w:tcW w:w="1736" w:type="dxa"/>
          </w:tcPr>
          <w:p w14:paraId="4397D81C"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334A769A"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0.12</w:t>
            </w:r>
          </w:p>
        </w:tc>
      </w:tr>
      <w:tr w:rsidR="00547000" w:rsidRPr="00F704C7" w14:paraId="0E540592" w14:textId="77777777" w:rsidTr="006F35D9">
        <w:tc>
          <w:tcPr>
            <w:tcW w:w="1863" w:type="dxa"/>
            <w:tcBorders>
              <w:right w:val="single" w:sz="12" w:space="0" w:color="auto"/>
            </w:tcBorders>
          </w:tcPr>
          <w:p w14:paraId="10CD5FCE" w14:textId="0AA20C4A"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FAE2D5" w:themeFill="accent2" w:themeFillTint="33"/>
          </w:tcPr>
          <w:p w14:paraId="31E1135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0.08</w:t>
            </w:r>
          </w:p>
        </w:tc>
        <w:tc>
          <w:tcPr>
            <w:tcW w:w="1864" w:type="dxa"/>
            <w:shd w:val="clear" w:color="auto" w:fill="FAE2D5" w:themeFill="accent2" w:themeFillTint="33"/>
          </w:tcPr>
          <w:p w14:paraId="22B0B319"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0.02</w:t>
            </w:r>
          </w:p>
        </w:tc>
        <w:tc>
          <w:tcPr>
            <w:tcW w:w="1736" w:type="dxa"/>
            <w:shd w:val="clear" w:color="auto" w:fill="FAE2D5" w:themeFill="accent2" w:themeFillTint="33"/>
          </w:tcPr>
          <w:p w14:paraId="6FD39787"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0.12</w:t>
            </w:r>
          </w:p>
        </w:tc>
        <w:tc>
          <w:tcPr>
            <w:tcW w:w="1736" w:type="dxa"/>
          </w:tcPr>
          <w:p w14:paraId="236900E5" w14:textId="77777777" w:rsidR="00547000" w:rsidRPr="00F704C7" w:rsidRDefault="00547000" w:rsidP="006F35D9">
            <w:pPr>
              <w:jc w:val="center"/>
              <w:rPr>
                <w:rFonts w:ascii="Times New Roman" w:hAnsi="Times New Roman" w:cs="Times New Roman"/>
                <w:sz w:val="20"/>
                <w:szCs w:val="20"/>
              </w:rPr>
            </w:pPr>
          </w:p>
        </w:tc>
      </w:tr>
    </w:tbl>
    <w:p w14:paraId="4866643E" w14:textId="74746795" w:rsidR="0054700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13</w:t>
      </w:r>
      <w:r w:rsidRPr="00F704C7">
        <w:rPr>
          <w:rFonts w:ascii="Times New Roman" w:hAnsi="Times New Roman" w:cs="Times New Roman"/>
          <w:i/>
          <w:iCs/>
          <w:sz w:val="20"/>
          <w:szCs w:val="20"/>
        </w:rPr>
        <w:t xml:space="preserve"> – Results of post-hoc Dunn’s test using Bonferroni-corrected alpha value for lactate. Significant p-values in green.</w:t>
      </w:r>
    </w:p>
    <w:p w14:paraId="1B206CD3" w14:textId="77777777" w:rsidR="00547000" w:rsidRPr="00F704C7" w:rsidRDefault="00547000" w:rsidP="00547000">
      <w:pPr>
        <w:spacing w:after="0" w:line="240" w:lineRule="auto"/>
        <w:rPr>
          <w:rFonts w:ascii="Times New Roman" w:hAnsi="Times New Roman" w:cs="Times New Roman"/>
          <w:i/>
          <w:iC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4D9FC18A" w14:textId="77777777" w:rsidTr="006F35D9">
        <w:tc>
          <w:tcPr>
            <w:tcW w:w="1863" w:type="dxa"/>
            <w:tcBorders>
              <w:bottom w:val="single" w:sz="12" w:space="0" w:color="auto"/>
              <w:right w:val="single" w:sz="12" w:space="0" w:color="auto"/>
            </w:tcBorders>
          </w:tcPr>
          <w:p w14:paraId="45FBAD60" w14:textId="77777777" w:rsidR="00547000" w:rsidRPr="00F704C7" w:rsidRDefault="00547000" w:rsidP="006F35D9">
            <w:pPr>
              <w:jc w:val="center"/>
              <w:rPr>
                <w:rFonts w:ascii="Times New Roman" w:hAnsi="Times New Roman" w:cs="Times New Roman"/>
                <w:b/>
                <w:bCs/>
                <w:sz w:val="20"/>
                <w:szCs w:val="20"/>
              </w:rPr>
            </w:pPr>
            <w:r w:rsidRPr="00F704C7">
              <w:rPr>
                <w:rFonts w:ascii="Times New Roman" w:hAnsi="Times New Roman" w:cs="Times New Roman"/>
                <w:b/>
                <w:bCs/>
                <w:color w:val="212121"/>
                <w:sz w:val="20"/>
                <w:szCs w:val="20"/>
                <w:shd w:val="clear" w:color="auto" w:fill="FFFFFF"/>
              </w:rPr>
              <w:t>aPTT</w:t>
            </w:r>
          </w:p>
        </w:tc>
        <w:tc>
          <w:tcPr>
            <w:tcW w:w="1863" w:type="dxa"/>
            <w:tcBorders>
              <w:left w:val="single" w:sz="12" w:space="0" w:color="auto"/>
              <w:bottom w:val="single" w:sz="12" w:space="0" w:color="auto"/>
            </w:tcBorders>
          </w:tcPr>
          <w:p w14:paraId="633703BB" w14:textId="0D1359A8"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tcPr>
          <w:p w14:paraId="5096FE31" w14:textId="3058AB3C"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tcPr>
          <w:p w14:paraId="4BA26ECC" w14:textId="6BB92EBD"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tcPr>
          <w:p w14:paraId="31816F83" w14:textId="6C311950"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4D5C766C" w14:textId="77777777" w:rsidTr="006F35D9">
        <w:tc>
          <w:tcPr>
            <w:tcW w:w="1863" w:type="dxa"/>
            <w:tcBorders>
              <w:top w:val="single" w:sz="12" w:space="0" w:color="auto"/>
              <w:right w:val="single" w:sz="12" w:space="0" w:color="auto"/>
            </w:tcBorders>
          </w:tcPr>
          <w:p w14:paraId="04D0B9E1" w14:textId="0E38E92C"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5677B20C"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FAE2D5" w:themeFill="accent2" w:themeFillTint="33"/>
          </w:tcPr>
          <w:p w14:paraId="48F650DF"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0.84</w:t>
            </w:r>
          </w:p>
        </w:tc>
        <w:tc>
          <w:tcPr>
            <w:tcW w:w="1736" w:type="dxa"/>
            <w:tcBorders>
              <w:top w:val="single" w:sz="12" w:space="0" w:color="auto"/>
            </w:tcBorders>
            <w:shd w:val="clear" w:color="auto" w:fill="FAE2D5" w:themeFill="accent2" w:themeFillTint="33"/>
          </w:tcPr>
          <w:p w14:paraId="2C896509"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0.14</w:t>
            </w:r>
          </w:p>
        </w:tc>
        <w:tc>
          <w:tcPr>
            <w:tcW w:w="1736" w:type="dxa"/>
            <w:tcBorders>
              <w:top w:val="single" w:sz="12" w:space="0" w:color="auto"/>
            </w:tcBorders>
            <w:shd w:val="clear" w:color="auto" w:fill="FAE2D5" w:themeFill="accent2" w:themeFillTint="33"/>
          </w:tcPr>
          <w:p w14:paraId="2DF5E4EF"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0.40</w:t>
            </w:r>
          </w:p>
        </w:tc>
      </w:tr>
      <w:tr w:rsidR="00547000" w:rsidRPr="00F704C7" w14:paraId="4779460F" w14:textId="77777777" w:rsidTr="006F35D9">
        <w:tc>
          <w:tcPr>
            <w:tcW w:w="1863" w:type="dxa"/>
            <w:tcBorders>
              <w:right w:val="single" w:sz="12" w:space="0" w:color="auto"/>
            </w:tcBorders>
          </w:tcPr>
          <w:p w14:paraId="6F37DFA7" w14:textId="308B2082"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FAE2D5" w:themeFill="accent2" w:themeFillTint="33"/>
          </w:tcPr>
          <w:p w14:paraId="4D8C0260"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0.84</w:t>
            </w:r>
          </w:p>
        </w:tc>
        <w:tc>
          <w:tcPr>
            <w:tcW w:w="1864" w:type="dxa"/>
          </w:tcPr>
          <w:p w14:paraId="0F440EB2"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40F472C5"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0.22</w:t>
            </w:r>
          </w:p>
        </w:tc>
        <w:tc>
          <w:tcPr>
            <w:tcW w:w="1736" w:type="dxa"/>
            <w:shd w:val="clear" w:color="auto" w:fill="FAE2D5" w:themeFill="accent2" w:themeFillTint="33"/>
          </w:tcPr>
          <w:p w14:paraId="7CE3BA91"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0.42</w:t>
            </w:r>
          </w:p>
        </w:tc>
      </w:tr>
      <w:tr w:rsidR="00547000" w:rsidRPr="00F704C7" w14:paraId="31A70C2A" w14:textId="77777777" w:rsidTr="006F35D9">
        <w:tc>
          <w:tcPr>
            <w:tcW w:w="1863" w:type="dxa"/>
            <w:tcBorders>
              <w:right w:val="single" w:sz="12" w:space="0" w:color="auto"/>
            </w:tcBorders>
          </w:tcPr>
          <w:p w14:paraId="1281912F" w14:textId="36F48C69"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863" w:type="dxa"/>
            <w:tcBorders>
              <w:left w:val="single" w:sz="12" w:space="0" w:color="auto"/>
            </w:tcBorders>
            <w:shd w:val="clear" w:color="auto" w:fill="FAE2D5" w:themeFill="accent2" w:themeFillTint="33"/>
          </w:tcPr>
          <w:p w14:paraId="0FAB627D"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0.14</w:t>
            </w:r>
          </w:p>
        </w:tc>
        <w:tc>
          <w:tcPr>
            <w:tcW w:w="1864" w:type="dxa"/>
            <w:shd w:val="clear" w:color="auto" w:fill="FAE2D5" w:themeFill="accent2" w:themeFillTint="33"/>
          </w:tcPr>
          <w:p w14:paraId="3CEE018B"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0.22</w:t>
            </w:r>
          </w:p>
        </w:tc>
        <w:tc>
          <w:tcPr>
            <w:tcW w:w="1736" w:type="dxa"/>
          </w:tcPr>
          <w:p w14:paraId="11BE0AD0"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42B194D2"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0.07</w:t>
            </w:r>
          </w:p>
        </w:tc>
      </w:tr>
      <w:tr w:rsidR="00547000" w:rsidRPr="00F704C7" w14:paraId="207C2CED" w14:textId="77777777" w:rsidTr="006F35D9">
        <w:tc>
          <w:tcPr>
            <w:tcW w:w="1863" w:type="dxa"/>
            <w:tcBorders>
              <w:right w:val="single" w:sz="12" w:space="0" w:color="auto"/>
            </w:tcBorders>
          </w:tcPr>
          <w:p w14:paraId="708A72DC" w14:textId="010E1437"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FAE2D5" w:themeFill="accent2" w:themeFillTint="33"/>
          </w:tcPr>
          <w:p w14:paraId="0A654654"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0.40</w:t>
            </w:r>
          </w:p>
        </w:tc>
        <w:tc>
          <w:tcPr>
            <w:tcW w:w="1864" w:type="dxa"/>
            <w:shd w:val="clear" w:color="auto" w:fill="FAE2D5" w:themeFill="accent2" w:themeFillTint="33"/>
          </w:tcPr>
          <w:p w14:paraId="6A47C746"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0.42</w:t>
            </w:r>
          </w:p>
        </w:tc>
        <w:tc>
          <w:tcPr>
            <w:tcW w:w="1736" w:type="dxa"/>
            <w:shd w:val="clear" w:color="auto" w:fill="FAE2D5" w:themeFill="accent2" w:themeFillTint="33"/>
          </w:tcPr>
          <w:p w14:paraId="5EB4C290"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0.07</w:t>
            </w:r>
          </w:p>
        </w:tc>
        <w:tc>
          <w:tcPr>
            <w:tcW w:w="1736" w:type="dxa"/>
          </w:tcPr>
          <w:p w14:paraId="5798EAFF" w14:textId="77777777" w:rsidR="00547000" w:rsidRPr="00F704C7" w:rsidRDefault="00547000" w:rsidP="006F35D9">
            <w:pPr>
              <w:jc w:val="center"/>
              <w:rPr>
                <w:rFonts w:ascii="Times New Roman" w:hAnsi="Times New Roman" w:cs="Times New Roman"/>
                <w:sz w:val="20"/>
                <w:szCs w:val="20"/>
              </w:rPr>
            </w:pPr>
          </w:p>
        </w:tc>
      </w:tr>
    </w:tbl>
    <w:p w14:paraId="56D45657" w14:textId="6E04EF8E" w:rsidR="0054700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14</w:t>
      </w:r>
      <w:r w:rsidRPr="00F704C7">
        <w:rPr>
          <w:rFonts w:ascii="Times New Roman" w:hAnsi="Times New Roman" w:cs="Times New Roman"/>
          <w:i/>
          <w:iCs/>
          <w:sz w:val="20"/>
          <w:szCs w:val="20"/>
        </w:rPr>
        <w:t xml:space="preserve"> – Results of post-hoc Dunn’s test using Bonferroni-corrected alpha value for aPTT. Significant p-values in green.</w:t>
      </w:r>
    </w:p>
    <w:p w14:paraId="2B012412" w14:textId="77777777" w:rsidR="00547000" w:rsidRPr="00F704C7" w:rsidRDefault="00547000" w:rsidP="00547000">
      <w:pPr>
        <w:spacing w:after="0" w:line="240" w:lineRule="auto"/>
        <w:rPr>
          <w:rFonts w:ascii="Times New Roman" w:hAnsi="Times New Roman" w:cs="Times New Roman"/>
          <w:i/>
          <w:iCs/>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863"/>
        <w:gridCol w:w="1864"/>
        <w:gridCol w:w="1736"/>
        <w:gridCol w:w="1736"/>
      </w:tblGrid>
      <w:tr w:rsidR="00547000" w:rsidRPr="00F704C7" w14:paraId="5631F186" w14:textId="77777777" w:rsidTr="006F35D9">
        <w:tc>
          <w:tcPr>
            <w:tcW w:w="1863" w:type="dxa"/>
            <w:tcBorders>
              <w:bottom w:val="single" w:sz="12" w:space="0" w:color="auto"/>
              <w:right w:val="single" w:sz="12" w:space="0" w:color="auto"/>
            </w:tcBorders>
          </w:tcPr>
          <w:p w14:paraId="65D17F8F" w14:textId="77777777" w:rsidR="00547000" w:rsidRPr="00F704C7" w:rsidRDefault="00547000" w:rsidP="006F35D9">
            <w:pPr>
              <w:jc w:val="center"/>
              <w:rPr>
                <w:rFonts w:ascii="Times New Roman" w:hAnsi="Times New Roman" w:cs="Times New Roman"/>
                <w:b/>
                <w:bCs/>
                <w:sz w:val="20"/>
                <w:szCs w:val="20"/>
              </w:rPr>
            </w:pPr>
            <w:r w:rsidRPr="00F704C7">
              <w:rPr>
                <w:rFonts w:ascii="Times New Roman" w:hAnsi="Times New Roman" w:cs="Times New Roman"/>
                <w:b/>
                <w:bCs/>
                <w:color w:val="212121"/>
                <w:sz w:val="20"/>
                <w:szCs w:val="20"/>
                <w:shd w:val="clear" w:color="auto" w:fill="FFFFFF"/>
              </w:rPr>
              <w:t>PT</w:t>
            </w:r>
          </w:p>
        </w:tc>
        <w:tc>
          <w:tcPr>
            <w:tcW w:w="1863" w:type="dxa"/>
            <w:tcBorders>
              <w:left w:val="single" w:sz="12" w:space="0" w:color="auto"/>
              <w:bottom w:val="single" w:sz="12" w:space="0" w:color="auto"/>
            </w:tcBorders>
          </w:tcPr>
          <w:p w14:paraId="3117738E" w14:textId="56B9D0B9"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4" w:type="dxa"/>
            <w:tcBorders>
              <w:bottom w:val="single" w:sz="12" w:space="0" w:color="auto"/>
            </w:tcBorders>
          </w:tcPr>
          <w:p w14:paraId="6BB8E9EC" w14:textId="76429F1A"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736" w:type="dxa"/>
            <w:tcBorders>
              <w:bottom w:val="single" w:sz="12" w:space="0" w:color="auto"/>
            </w:tcBorders>
          </w:tcPr>
          <w:p w14:paraId="2FF2ECAF" w14:textId="594FB3DD"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736" w:type="dxa"/>
            <w:tcBorders>
              <w:bottom w:val="single" w:sz="12" w:space="0" w:color="auto"/>
            </w:tcBorders>
          </w:tcPr>
          <w:p w14:paraId="156EC96C" w14:textId="301B54A8"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r>
      <w:tr w:rsidR="00547000" w:rsidRPr="00F704C7" w14:paraId="0822DD42" w14:textId="77777777" w:rsidTr="006F35D9">
        <w:tc>
          <w:tcPr>
            <w:tcW w:w="1863" w:type="dxa"/>
            <w:tcBorders>
              <w:top w:val="single" w:sz="12" w:space="0" w:color="auto"/>
              <w:right w:val="single" w:sz="12" w:space="0" w:color="auto"/>
            </w:tcBorders>
          </w:tcPr>
          <w:p w14:paraId="550B91D9" w14:textId="784E2FC8"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bacterial infection</w:t>
            </w:r>
          </w:p>
        </w:tc>
        <w:tc>
          <w:tcPr>
            <w:tcW w:w="1863" w:type="dxa"/>
            <w:tcBorders>
              <w:top w:val="single" w:sz="12" w:space="0" w:color="auto"/>
              <w:left w:val="single" w:sz="12" w:space="0" w:color="auto"/>
            </w:tcBorders>
          </w:tcPr>
          <w:p w14:paraId="37E70873" w14:textId="77777777" w:rsidR="00547000" w:rsidRPr="00F704C7" w:rsidRDefault="00547000" w:rsidP="006F35D9">
            <w:pPr>
              <w:jc w:val="center"/>
              <w:rPr>
                <w:rFonts w:ascii="Times New Roman" w:hAnsi="Times New Roman" w:cs="Times New Roman"/>
                <w:sz w:val="20"/>
                <w:szCs w:val="20"/>
              </w:rPr>
            </w:pPr>
          </w:p>
        </w:tc>
        <w:tc>
          <w:tcPr>
            <w:tcW w:w="1864" w:type="dxa"/>
            <w:tcBorders>
              <w:top w:val="single" w:sz="12" w:space="0" w:color="auto"/>
            </w:tcBorders>
            <w:shd w:val="clear" w:color="auto" w:fill="FAE2D5" w:themeFill="accent2" w:themeFillTint="33"/>
          </w:tcPr>
          <w:p w14:paraId="353BFCB8"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0.25</w:t>
            </w:r>
          </w:p>
        </w:tc>
        <w:tc>
          <w:tcPr>
            <w:tcW w:w="1736" w:type="dxa"/>
            <w:tcBorders>
              <w:top w:val="single" w:sz="12" w:space="0" w:color="auto"/>
            </w:tcBorders>
            <w:shd w:val="clear" w:color="auto" w:fill="FAE2D5" w:themeFill="accent2" w:themeFillTint="33"/>
          </w:tcPr>
          <w:p w14:paraId="595AE99F"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0.98</w:t>
            </w:r>
          </w:p>
        </w:tc>
        <w:tc>
          <w:tcPr>
            <w:tcW w:w="1736" w:type="dxa"/>
            <w:tcBorders>
              <w:top w:val="single" w:sz="12" w:space="0" w:color="auto"/>
            </w:tcBorders>
            <w:shd w:val="clear" w:color="auto" w:fill="FAE2D5" w:themeFill="accent2" w:themeFillTint="33"/>
          </w:tcPr>
          <w:p w14:paraId="0FC15D3E"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0.26</w:t>
            </w:r>
          </w:p>
        </w:tc>
      </w:tr>
      <w:tr w:rsidR="00547000" w:rsidRPr="00F704C7" w14:paraId="66FB7C1F" w14:textId="77777777" w:rsidTr="006F35D9">
        <w:tc>
          <w:tcPr>
            <w:tcW w:w="1863" w:type="dxa"/>
            <w:tcBorders>
              <w:right w:val="single" w:sz="12" w:space="0" w:color="auto"/>
            </w:tcBorders>
          </w:tcPr>
          <w:p w14:paraId="3C8ED643" w14:textId="1E23AC9B"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viral infection</w:t>
            </w:r>
          </w:p>
        </w:tc>
        <w:tc>
          <w:tcPr>
            <w:tcW w:w="1863" w:type="dxa"/>
            <w:tcBorders>
              <w:left w:val="single" w:sz="12" w:space="0" w:color="auto"/>
            </w:tcBorders>
            <w:shd w:val="clear" w:color="auto" w:fill="FAE2D5" w:themeFill="accent2" w:themeFillTint="33"/>
          </w:tcPr>
          <w:p w14:paraId="4EBEA566"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0.25</w:t>
            </w:r>
          </w:p>
        </w:tc>
        <w:tc>
          <w:tcPr>
            <w:tcW w:w="1864" w:type="dxa"/>
          </w:tcPr>
          <w:p w14:paraId="02DC2AD3"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5363A24A"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0.50</w:t>
            </w:r>
          </w:p>
        </w:tc>
        <w:tc>
          <w:tcPr>
            <w:tcW w:w="1736" w:type="dxa"/>
            <w:shd w:val="clear" w:color="auto" w:fill="FAE2D5" w:themeFill="accent2" w:themeFillTint="33"/>
          </w:tcPr>
          <w:p w14:paraId="3055CF39"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0.89</w:t>
            </w:r>
          </w:p>
        </w:tc>
      </w:tr>
      <w:tr w:rsidR="00547000" w:rsidRPr="00F704C7" w14:paraId="7997DC62" w14:textId="77777777" w:rsidTr="006F35D9">
        <w:tc>
          <w:tcPr>
            <w:tcW w:w="1863" w:type="dxa"/>
            <w:tcBorders>
              <w:right w:val="single" w:sz="12" w:space="0" w:color="auto"/>
            </w:tcBorders>
          </w:tcPr>
          <w:p w14:paraId="58D596DD" w14:textId="51AE1C07"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co-infection</w:t>
            </w:r>
          </w:p>
        </w:tc>
        <w:tc>
          <w:tcPr>
            <w:tcW w:w="1863" w:type="dxa"/>
            <w:tcBorders>
              <w:left w:val="single" w:sz="12" w:space="0" w:color="auto"/>
            </w:tcBorders>
            <w:shd w:val="clear" w:color="auto" w:fill="FAE2D5" w:themeFill="accent2" w:themeFillTint="33"/>
          </w:tcPr>
          <w:p w14:paraId="150981D1"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0.98</w:t>
            </w:r>
          </w:p>
        </w:tc>
        <w:tc>
          <w:tcPr>
            <w:tcW w:w="1864" w:type="dxa"/>
            <w:shd w:val="clear" w:color="auto" w:fill="FAE2D5" w:themeFill="accent2" w:themeFillTint="33"/>
          </w:tcPr>
          <w:p w14:paraId="28C5E720"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0.50</w:t>
            </w:r>
          </w:p>
        </w:tc>
        <w:tc>
          <w:tcPr>
            <w:tcW w:w="1736" w:type="dxa"/>
          </w:tcPr>
          <w:p w14:paraId="4B4072F1" w14:textId="77777777" w:rsidR="00547000" w:rsidRPr="00F704C7" w:rsidRDefault="00547000" w:rsidP="006F35D9">
            <w:pPr>
              <w:jc w:val="center"/>
              <w:rPr>
                <w:rFonts w:ascii="Times New Roman" w:hAnsi="Times New Roman" w:cs="Times New Roman"/>
                <w:sz w:val="20"/>
                <w:szCs w:val="20"/>
              </w:rPr>
            </w:pPr>
          </w:p>
        </w:tc>
        <w:tc>
          <w:tcPr>
            <w:tcW w:w="1736" w:type="dxa"/>
            <w:shd w:val="clear" w:color="auto" w:fill="FAE2D5" w:themeFill="accent2" w:themeFillTint="33"/>
          </w:tcPr>
          <w:p w14:paraId="028669DC"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0.55</w:t>
            </w:r>
          </w:p>
        </w:tc>
      </w:tr>
      <w:tr w:rsidR="00547000" w:rsidRPr="00F704C7" w14:paraId="58755871" w14:textId="77777777" w:rsidTr="006F35D9">
        <w:tc>
          <w:tcPr>
            <w:tcW w:w="1863" w:type="dxa"/>
            <w:tcBorders>
              <w:right w:val="single" w:sz="12" w:space="0" w:color="auto"/>
            </w:tcBorders>
          </w:tcPr>
          <w:p w14:paraId="51EE9609" w14:textId="38323317" w:rsidR="00547000" w:rsidRPr="00F704C7" w:rsidRDefault="009B3EA3" w:rsidP="006F35D9">
            <w:pPr>
              <w:jc w:val="center"/>
              <w:rPr>
                <w:rFonts w:ascii="Times New Roman" w:hAnsi="Times New Roman" w:cs="Times New Roman"/>
                <w:sz w:val="20"/>
                <w:szCs w:val="20"/>
              </w:rPr>
            </w:pPr>
            <w:r>
              <w:rPr>
                <w:rFonts w:ascii="Times New Roman" w:hAnsi="Times New Roman" w:cs="Times New Roman"/>
                <w:sz w:val="20"/>
                <w:szCs w:val="20"/>
              </w:rPr>
              <w:t>non-infection</w:t>
            </w:r>
          </w:p>
        </w:tc>
        <w:tc>
          <w:tcPr>
            <w:tcW w:w="1863" w:type="dxa"/>
            <w:tcBorders>
              <w:left w:val="single" w:sz="12" w:space="0" w:color="auto"/>
            </w:tcBorders>
            <w:shd w:val="clear" w:color="auto" w:fill="FAE2D5" w:themeFill="accent2" w:themeFillTint="33"/>
          </w:tcPr>
          <w:p w14:paraId="48FEC08B"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0.26</w:t>
            </w:r>
          </w:p>
        </w:tc>
        <w:tc>
          <w:tcPr>
            <w:tcW w:w="1864" w:type="dxa"/>
            <w:shd w:val="clear" w:color="auto" w:fill="FAE2D5" w:themeFill="accent2" w:themeFillTint="33"/>
          </w:tcPr>
          <w:p w14:paraId="702D7633"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0.89</w:t>
            </w:r>
          </w:p>
        </w:tc>
        <w:tc>
          <w:tcPr>
            <w:tcW w:w="1736" w:type="dxa"/>
            <w:shd w:val="clear" w:color="auto" w:fill="FAE2D5" w:themeFill="accent2" w:themeFillTint="33"/>
          </w:tcPr>
          <w:p w14:paraId="1B1C7D56" w14:textId="77777777" w:rsidR="00547000" w:rsidRPr="00F704C7" w:rsidRDefault="00547000" w:rsidP="006F35D9">
            <w:pPr>
              <w:jc w:val="center"/>
              <w:rPr>
                <w:rFonts w:ascii="Times New Roman" w:hAnsi="Times New Roman" w:cs="Times New Roman"/>
                <w:sz w:val="20"/>
                <w:szCs w:val="20"/>
              </w:rPr>
            </w:pPr>
            <w:r w:rsidRPr="00F704C7">
              <w:rPr>
                <w:rFonts w:ascii="Times New Roman" w:hAnsi="Times New Roman" w:cs="Times New Roman"/>
                <w:sz w:val="20"/>
                <w:szCs w:val="20"/>
              </w:rPr>
              <w:t>p = 0.55</w:t>
            </w:r>
          </w:p>
        </w:tc>
        <w:tc>
          <w:tcPr>
            <w:tcW w:w="1736" w:type="dxa"/>
          </w:tcPr>
          <w:p w14:paraId="2F011AFE" w14:textId="77777777" w:rsidR="00547000" w:rsidRPr="00F704C7" w:rsidRDefault="00547000" w:rsidP="006F35D9">
            <w:pPr>
              <w:jc w:val="center"/>
              <w:rPr>
                <w:rFonts w:ascii="Times New Roman" w:hAnsi="Times New Roman" w:cs="Times New Roman"/>
                <w:sz w:val="20"/>
                <w:szCs w:val="20"/>
              </w:rPr>
            </w:pPr>
          </w:p>
        </w:tc>
      </w:tr>
    </w:tbl>
    <w:p w14:paraId="28CEBC8C" w14:textId="6153CD8B" w:rsidR="00547000" w:rsidRPr="00F704C7" w:rsidRDefault="00547000" w:rsidP="00547000">
      <w:pPr>
        <w:spacing w:after="0" w:line="240" w:lineRule="auto"/>
        <w:rPr>
          <w:rFonts w:ascii="Times New Roman" w:hAnsi="Times New Roman" w:cs="Times New Roman"/>
          <w:i/>
          <w:iCs/>
          <w:sz w:val="20"/>
          <w:szCs w:val="20"/>
        </w:rPr>
      </w:pPr>
      <w:r w:rsidRPr="00F704C7">
        <w:rPr>
          <w:rFonts w:ascii="Times New Roman" w:hAnsi="Times New Roman" w:cs="Times New Roman"/>
          <w:i/>
          <w:iCs/>
          <w:sz w:val="20"/>
          <w:szCs w:val="20"/>
        </w:rPr>
        <w:t>Table S</w:t>
      </w:r>
      <w:r w:rsidR="00C64412" w:rsidRPr="00F704C7">
        <w:rPr>
          <w:rFonts w:ascii="Times New Roman" w:hAnsi="Times New Roman" w:cs="Times New Roman"/>
          <w:i/>
          <w:iCs/>
          <w:sz w:val="20"/>
          <w:szCs w:val="20"/>
        </w:rPr>
        <w:t>3</w:t>
      </w:r>
      <w:r w:rsidRPr="00F704C7">
        <w:rPr>
          <w:rFonts w:ascii="Times New Roman" w:hAnsi="Times New Roman" w:cs="Times New Roman"/>
          <w:i/>
          <w:iCs/>
          <w:sz w:val="20"/>
          <w:szCs w:val="20"/>
          <w:vertAlign w:val="subscript"/>
        </w:rPr>
        <w:t>15</w:t>
      </w:r>
      <w:r w:rsidRPr="00F704C7">
        <w:rPr>
          <w:rFonts w:ascii="Times New Roman" w:hAnsi="Times New Roman" w:cs="Times New Roman"/>
          <w:i/>
          <w:iCs/>
          <w:sz w:val="20"/>
          <w:szCs w:val="20"/>
        </w:rPr>
        <w:t xml:space="preserve"> – Results of post-hoc Dunn’s test using Bonferroni-corrected alpha value for PT. Significant p-values in green.</w:t>
      </w:r>
      <w:r w:rsidRPr="00F704C7">
        <w:rPr>
          <w:rFonts w:ascii="Times New Roman" w:hAnsi="Times New Roman" w:cs="Times New Roman"/>
          <w:i/>
          <w:iCs/>
          <w:sz w:val="20"/>
          <w:szCs w:val="20"/>
        </w:rPr>
        <w:br w:type="page"/>
      </w:r>
    </w:p>
    <w:tbl>
      <w:tblPr>
        <w:tblStyle w:val="Mkatabulky"/>
        <w:tblpPr w:leftFromText="180" w:rightFromText="180" w:vertAnchor="page" w:horzAnchor="margin" w:tblpY="1818"/>
        <w:tblW w:w="9209" w:type="dxa"/>
        <w:tblLayout w:type="fixed"/>
        <w:tblLook w:val="04A0" w:firstRow="1" w:lastRow="0" w:firstColumn="1" w:lastColumn="0" w:noHBand="0" w:noVBand="1"/>
      </w:tblPr>
      <w:tblGrid>
        <w:gridCol w:w="1696"/>
        <w:gridCol w:w="1373"/>
        <w:gridCol w:w="1535"/>
        <w:gridCol w:w="1535"/>
        <w:gridCol w:w="1535"/>
        <w:gridCol w:w="1535"/>
      </w:tblGrid>
      <w:tr w:rsidR="00547000" w:rsidRPr="00140322" w14:paraId="637EF710" w14:textId="77777777" w:rsidTr="00547000">
        <w:tc>
          <w:tcPr>
            <w:tcW w:w="1696" w:type="dxa"/>
            <w:vAlign w:val="center"/>
          </w:tcPr>
          <w:p w14:paraId="180D370C" w14:textId="77777777" w:rsidR="00547000" w:rsidRPr="00140322" w:rsidRDefault="00547000" w:rsidP="00547000">
            <w:pPr>
              <w:jc w:val="center"/>
              <w:rPr>
                <w:rFonts w:ascii="Times New Roman" w:hAnsi="Times New Roman" w:cs="Times New Roman"/>
                <w:b/>
                <w:bCs/>
                <w:sz w:val="20"/>
                <w:szCs w:val="20"/>
              </w:rPr>
            </w:pPr>
            <w:r w:rsidRPr="00140322">
              <w:rPr>
                <w:rFonts w:ascii="Times New Roman" w:hAnsi="Times New Roman" w:cs="Times New Roman"/>
                <w:b/>
                <w:bCs/>
                <w:sz w:val="20"/>
                <w:szCs w:val="20"/>
              </w:rPr>
              <w:lastRenderedPageBreak/>
              <w:t>predictors</w:t>
            </w:r>
          </w:p>
        </w:tc>
        <w:tc>
          <w:tcPr>
            <w:tcW w:w="1373" w:type="dxa"/>
            <w:vAlign w:val="center"/>
          </w:tcPr>
          <w:p w14:paraId="4E05961C" w14:textId="77777777" w:rsidR="00547000" w:rsidRPr="00140322" w:rsidRDefault="00547000" w:rsidP="00547000">
            <w:pPr>
              <w:jc w:val="center"/>
              <w:rPr>
                <w:rFonts w:ascii="Times New Roman" w:hAnsi="Times New Roman" w:cs="Times New Roman"/>
                <w:b/>
                <w:bCs/>
                <w:sz w:val="20"/>
                <w:szCs w:val="20"/>
              </w:rPr>
            </w:pPr>
            <w:r w:rsidRPr="00140322">
              <w:rPr>
                <w:rFonts w:ascii="Times New Roman" w:hAnsi="Times New Roman" w:cs="Times New Roman"/>
                <w:b/>
                <w:bCs/>
                <w:sz w:val="20"/>
                <w:szCs w:val="20"/>
              </w:rPr>
              <w:t>regression coefficient (β)</w:t>
            </w:r>
          </w:p>
        </w:tc>
        <w:tc>
          <w:tcPr>
            <w:tcW w:w="1535" w:type="dxa"/>
            <w:vAlign w:val="center"/>
          </w:tcPr>
          <w:p w14:paraId="475C8657" w14:textId="77777777" w:rsidR="00547000" w:rsidRPr="00140322" w:rsidRDefault="00547000" w:rsidP="00547000">
            <w:pPr>
              <w:jc w:val="center"/>
              <w:rPr>
                <w:rFonts w:ascii="Times New Roman" w:hAnsi="Times New Roman" w:cs="Times New Roman"/>
                <w:b/>
                <w:bCs/>
                <w:sz w:val="20"/>
                <w:szCs w:val="20"/>
              </w:rPr>
            </w:pPr>
            <w:r w:rsidRPr="00140322">
              <w:rPr>
                <w:rFonts w:ascii="Times New Roman" w:hAnsi="Times New Roman" w:cs="Times New Roman"/>
                <w:b/>
                <w:bCs/>
                <w:sz w:val="20"/>
                <w:szCs w:val="20"/>
              </w:rPr>
              <w:t>DF (Degree of Freedom)</w:t>
            </w:r>
          </w:p>
        </w:tc>
        <w:tc>
          <w:tcPr>
            <w:tcW w:w="1535" w:type="dxa"/>
            <w:vAlign w:val="center"/>
          </w:tcPr>
          <w:p w14:paraId="439A8D19" w14:textId="77777777" w:rsidR="00547000" w:rsidRPr="00140322" w:rsidRDefault="00547000" w:rsidP="00547000">
            <w:pPr>
              <w:jc w:val="center"/>
              <w:rPr>
                <w:rFonts w:ascii="Times New Roman" w:hAnsi="Times New Roman" w:cs="Times New Roman"/>
                <w:b/>
                <w:bCs/>
                <w:sz w:val="20"/>
                <w:szCs w:val="20"/>
              </w:rPr>
            </w:pPr>
            <w:r w:rsidRPr="00140322">
              <w:rPr>
                <w:rFonts w:ascii="Times New Roman" w:hAnsi="Times New Roman" w:cs="Times New Roman"/>
                <w:b/>
                <w:bCs/>
                <w:sz w:val="20"/>
                <w:szCs w:val="20"/>
              </w:rPr>
              <w:t>SE (Standard Error)</w:t>
            </w:r>
          </w:p>
        </w:tc>
        <w:tc>
          <w:tcPr>
            <w:tcW w:w="1535" w:type="dxa"/>
            <w:vAlign w:val="center"/>
          </w:tcPr>
          <w:p w14:paraId="1B23DB97" w14:textId="77777777" w:rsidR="00547000" w:rsidRPr="00140322" w:rsidRDefault="00547000" w:rsidP="00547000">
            <w:pPr>
              <w:jc w:val="center"/>
              <w:rPr>
                <w:rFonts w:ascii="Times New Roman" w:hAnsi="Times New Roman" w:cs="Times New Roman"/>
                <w:b/>
                <w:bCs/>
                <w:sz w:val="20"/>
                <w:szCs w:val="20"/>
              </w:rPr>
            </w:pPr>
            <w:r w:rsidRPr="00140322">
              <w:rPr>
                <w:rFonts w:ascii="Times New Roman" w:hAnsi="Times New Roman" w:cs="Times New Roman"/>
                <w:b/>
                <w:bCs/>
                <w:sz w:val="20"/>
                <w:szCs w:val="20"/>
              </w:rPr>
              <w:t>Wald Chi-Square test</w:t>
            </w:r>
          </w:p>
        </w:tc>
        <w:tc>
          <w:tcPr>
            <w:tcW w:w="1535" w:type="dxa"/>
            <w:vAlign w:val="center"/>
          </w:tcPr>
          <w:p w14:paraId="49ABEBB9" w14:textId="77777777" w:rsidR="00547000" w:rsidRPr="00140322" w:rsidRDefault="00547000" w:rsidP="00547000">
            <w:pPr>
              <w:jc w:val="center"/>
              <w:rPr>
                <w:rFonts w:ascii="Times New Roman" w:hAnsi="Times New Roman" w:cs="Times New Roman"/>
                <w:b/>
                <w:bCs/>
                <w:sz w:val="20"/>
                <w:szCs w:val="20"/>
              </w:rPr>
            </w:pPr>
            <w:r w:rsidRPr="00140322">
              <w:rPr>
                <w:rFonts w:ascii="Times New Roman" w:hAnsi="Times New Roman" w:cs="Times New Roman"/>
                <w:b/>
                <w:bCs/>
                <w:sz w:val="20"/>
                <w:szCs w:val="20"/>
              </w:rPr>
              <w:t>p value</w:t>
            </w:r>
          </w:p>
        </w:tc>
      </w:tr>
      <w:tr w:rsidR="00547000" w:rsidRPr="00140322" w14:paraId="4725FE3D" w14:textId="77777777" w:rsidTr="00547000">
        <w:tc>
          <w:tcPr>
            <w:tcW w:w="1696" w:type="dxa"/>
            <w:vAlign w:val="center"/>
          </w:tcPr>
          <w:p w14:paraId="18D91F5E"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intercept</w:t>
            </w:r>
          </w:p>
        </w:tc>
        <w:tc>
          <w:tcPr>
            <w:tcW w:w="1373" w:type="dxa"/>
            <w:vAlign w:val="center"/>
          </w:tcPr>
          <w:p w14:paraId="5C952AF8"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0.340</w:t>
            </w:r>
          </w:p>
        </w:tc>
        <w:tc>
          <w:tcPr>
            <w:tcW w:w="1535" w:type="dxa"/>
            <w:vAlign w:val="center"/>
          </w:tcPr>
          <w:p w14:paraId="619E536B"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1</w:t>
            </w:r>
          </w:p>
        </w:tc>
        <w:tc>
          <w:tcPr>
            <w:tcW w:w="1535" w:type="dxa"/>
            <w:vAlign w:val="center"/>
          </w:tcPr>
          <w:p w14:paraId="11F31C38"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0.039</w:t>
            </w:r>
          </w:p>
        </w:tc>
        <w:tc>
          <w:tcPr>
            <w:tcW w:w="1535" w:type="dxa"/>
            <w:vAlign w:val="center"/>
          </w:tcPr>
          <w:p w14:paraId="368E5CD9"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76.39</w:t>
            </w:r>
          </w:p>
        </w:tc>
        <w:tc>
          <w:tcPr>
            <w:tcW w:w="1535" w:type="dxa"/>
            <w:vAlign w:val="center"/>
          </w:tcPr>
          <w:p w14:paraId="0E8CB5C5"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&lt; 0.001</w:t>
            </w:r>
          </w:p>
        </w:tc>
      </w:tr>
      <w:tr w:rsidR="00547000" w:rsidRPr="00140322" w14:paraId="1C24E901" w14:textId="77777777" w:rsidTr="00547000">
        <w:tc>
          <w:tcPr>
            <w:tcW w:w="1696" w:type="dxa"/>
            <w:vAlign w:val="center"/>
          </w:tcPr>
          <w:p w14:paraId="1797426E"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C-reactive protein</w:t>
            </w:r>
          </w:p>
        </w:tc>
        <w:tc>
          <w:tcPr>
            <w:tcW w:w="1373" w:type="dxa"/>
            <w:vAlign w:val="center"/>
          </w:tcPr>
          <w:p w14:paraId="20DC2864"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-0.001</w:t>
            </w:r>
          </w:p>
        </w:tc>
        <w:tc>
          <w:tcPr>
            <w:tcW w:w="1535" w:type="dxa"/>
            <w:vAlign w:val="center"/>
          </w:tcPr>
          <w:p w14:paraId="3906412C"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1</w:t>
            </w:r>
          </w:p>
        </w:tc>
        <w:tc>
          <w:tcPr>
            <w:tcW w:w="1535" w:type="dxa"/>
            <w:vAlign w:val="center"/>
          </w:tcPr>
          <w:p w14:paraId="3FFEFB58"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0.001</w:t>
            </w:r>
          </w:p>
        </w:tc>
        <w:tc>
          <w:tcPr>
            <w:tcW w:w="1535" w:type="dxa"/>
            <w:vAlign w:val="center"/>
          </w:tcPr>
          <w:p w14:paraId="33FD27F3"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12.28</w:t>
            </w:r>
          </w:p>
        </w:tc>
        <w:tc>
          <w:tcPr>
            <w:tcW w:w="1535" w:type="dxa"/>
            <w:vAlign w:val="center"/>
          </w:tcPr>
          <w:p w14:paraId="11F26BF9"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&lt; 0.001</w:t>
            </w:r>
          </w:p>
        </w:tc>
      </w:tr>
      <w:tr w:rsidR="00547000" w:rsidRPr="00140322" w14:paraId="097442C9" w14:textId="77777777" w:rsidTr="00547000">
        <w:tc>
          <w:tcPr>
            <w:tcW w:w="1696" w:type="dxa"/>
            <w:vAlign w:val="center"/>
          </w:tcPr>
          <w:p w14:paraId="4F0B9205"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procalcitonin</w:t>
            </w:r>
          </w:p>
        </w:tc>
        <w:tc>
          <w:tcPr>
            <w:tcW w:w="1373" w:type="dxa"/>
            <w:vAlign w:val="center"/>
          </w:tcPr>
          <w:p w14:paraId="09EDAEAC"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-0.002</w:t>
            </w:r>
          </w:p>
        </w:tc>
        <w:tc>
          <w:tcPr>
            <w:tcW w:w="1535" w:type="dxa"/>
            <w:vAlign w:val="center"/>
          </w:tcPr>
          <w:p w14:paraId="7E52C2B0"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1</w:t>
            </w:r>
          </w:p>
        </w:tc>
        <w:tc>
          <w:tcPr>
            <w:tcW w:w="1535" w:type="dxa"/>
            <w:vAlign w:val="center"/>
          </w:tcPr>
          <w:p w14:paraId="4803E1B5"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0.001</w:t>
            </w:r>
          </w:p>
        </w:tc>
        <w:tc>
          <w:tcPr>
            <w:tcW w:w="1535" w:type="dxa"/>
            <w:vAlign w:val="center"/>
          </w:tcPr>
          <w:p w14:paraId="57F6BBB0"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2.26</w:t>
            </w:r>
          </w:p>
        </w:tc>
        <w:tc>
          <w:tcPr>
            <w:tcW w:w="1535" w:type="dxa"/>
            <w:vAlign w:val="center"/>
          </w:tcPr>
          <w:p w14:paraId="2F8B2E19"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0.13</w:t>
            </w:r>
          </w:p>
        </w:tc>
      </w:tr>
      <w:tr w:rsidR="00547000" w:rsidRPr="00140322" w14:paraId="46EA0D39" w14:textId="77777777" w:rsidTr="00547000">
        <w:tc>
          <w:tcPr>
            <w:tcW w:w="1696" w:type="dxa"/>
            <w:vAlign w:val="center"/>
          </w:tcPr>
          <w:p w14:paraId="4C32DA5B"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MxA protein</w:t>
            </w:r>
          </w:p>
        </w:tc>
        <w:tc>
          <w:tcPr>
            <w:tcW w:w="1373" w:type="dxa"/>
            <w:vAlign w:val="center"/>
          </w:tcPr>
          <w:p w14:paraId="55EFBDE2"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0.002</w:t>
            </w:r>
          </w:p>
        </w:tc>
        <w:tc>
          <w:tcPr>
            <w:tcW w:w="1535" w:type="dxa"/>
            <w:vAlign w:val="center"/>
          </w:tcPr>
          <w:p w14:paraId="6954655C"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1</w:t>
            </w:r>
          </w:p>
        </w:tc>
        <w:tc>
          <w:tcPr>
            <w:tcW w:w="1535" w:type="dxa"/>
            <w:vAlign w:val="center"/>
          </w:tcPr>
          <w:p w14:paraId="65C16797"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0.001</w:t>
            </w:r>
          </w:p>
        </w:tc>
        <w:tc>
          <w:tcPr>
            <w:tcW w:w="1535" w:type="dxa"/>
            <w:vAlign w:val="center"/>
          </w:tcPr>
          <w:p w14:paraId="47AFFEA5"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210.88</w:t>
            </w:r>
          </w:p>
        </w:tc>
        <w:tc>
          <w:tcPr>
            <w:tcW w:w="1535" w:type="dxa"/>
            <w:vAlign w:val="center"/>
          </w:tcPr>
          <w:p w14:paraId="45C8E445"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&lt; 0.001</w:t>
            </w:r>
          </w:p>
        </w:tc>
      </w:tr>
      <w:tr w:rsidR="00547000" w:rsidRPr="00140322" w14:paraId="0A7226E8" w14:textId="77777777" w:rsidTr="00547000">
        <w:tc>
          <w:tcPr>
            <w:tcW w:w="1696" w:type="dxa"/>
            <w:vAlign w:val="center"/>
          </w:tcPr>
          <w:p w14:paraId="1C0A1B9A"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leukocytes</w:t>
            </w:r>
          </w:p>
        </w:tc>
        <w:tc>
          <w:tcPr>
            <w:tcW w:w="1373" w:type="dxa"/>
            <w:vAlign w:val="center"/>
          </w:tcPr>
          <w:p w14:paraId="4AD198E5"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-0.005</w:t>
            </w:r>
          </w:p>
        </w:tc>
        <w:tc>
          <w:tcPr>
            <w:tcW w:w="1535" w:type="dxa"/>
            <w:vAlign w:val="center"/>
          </w:tcPr>
          <w:p w14:paraId="65E35AA3"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1</w:t>
            </w:r>
          </w:p>
        </w:tc>
        <w:tc>
          <w:tcPr>
            <w:tcW w:w="1535" w:type="dxa"/>
            <w:vAlign w:val="center"/>
          </w:tcPr>
          <w:p w14:paraId="5E190A10"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0.002</w:t>
            </w:r>
          </w:p>
        </w:tc>
        <w:tc>
          <w:tcPr>
            <w:tcW w:w="1535" w:type="dxa"/>
            <w:vAlign w:val="center"/>
          </w:tcPr>
          <w:p w14:paraId="01A3E268"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11.23</w:t>
            </w:r>
          </w:p>
        </w:tc>
        <w:tc>
          <w:tcPr>
            <w:tcW w:w="1535" w:type="dxa"/>
            <w:vAlign w:val="center"/>
          </w:tcPr>
          <w:p w14:paraId="0731540D"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&lt; 0.001</w:t>
            </w:r>
          </w:p>
        </w:tc>
      </w:tr>
      <w:tr w:rsidR="00547000" w:rsidRPr="00140322" w14:paraId="0CA9B543" w14:textId="77777777" w:rsidTr="00547000">
        <w:tc>
          <w:tcPr>
            <w:tcW w:w="1696" w:type="dxa"/>
            <w:vAlign w:val="center"/>
          </w:tcPr>
          <w:p w14:paraId="584B4964"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thrombocytes</w:t>
            </w:r>
          </w:p>
        </w:tc>
        <w:tc>
          <w:tcPr>
            <w:tcW w:w="1373" w:type="dxa"/>
            <w:vAlign w:val="center"/>
          </w:tcPr>
          <w:p w14:paraId="5B4B5EE0"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-0-001</w:t>
            </w:r>
          </w:p>
        </w:tc>
        <w:tc>
          <w:tcPr>
            <w:tcW w:w="1535" w:type="dxa"/>
            <w:vAlign w:val="center"/>
          </w:tcPr>
          <w:p w14:paraId="75839BED"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1</w:t>
            </w:r>
          </w:p>
        </w:tc>
        <w:tc>
          <w:tcPr>
            <w:tcW w:w="1535" w:type="dxa"/>
            <w:vAlign w:val="center"/>
          </w:tcPr>
          <w:p w14:paraId="5501CA28"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0.001</w:t>
            </w:r>
          </w:p>
        </w:tc>
        <w:tc>
          <w:tcPr>
            <w:tcW w:w="1535" w:type="dxa"/>
            <w:vAlign w:val="center"/>
          </w:tcPr>
          <w:p w14:paraId="40B5527F"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1.11</w:t>
            </w:r>
          </w:p>
        </w:tc>
        <w:tc>
          <w:tcPr>
            <w:tcW w:w="1535" w:type="dxa"/>
            <w:vAlign w:val="center"/>
          </w:tcPr>
          <w:p w14:paraId="072AB68B" w14:textId="77777777" w:rsidR="00547000" w:rsidRPr="00140322" w:rsidRDefault="00547000" w:rsidP="00547000">
            <w:pPr>
              <w:jc w:val="center"/>
              <w:rPr>
                <w:rFonts w:ascii="Times New Roman" w:hAnsi="Times New Roman" w:cs="Times New Roman"/>
                <w:sz w:val="20"/>
                <w:szCs w:val="20"/>
              </w:rPr>
            </w:pPr>
            <w:r w:rsidRPr="00140322">
              <w:rPr>
                <w:rFonts w:ascii="Times New Roman" w:hAnsi="Times New Roman" w:cs="Times New Roman"/>
                <w:sz w:val="20"/>
                <w:szCs w:val="20"/>
              </w:rPr>
              <w:t>0.29</w:t>
            </w:r>
          </w:p>
        </w:tc>
      </w:tr>
    </w:tbl>
    <w:p w14:paraId="6C106E24" w14:textId="35655C5A" w:rsidR="00547000" w:rsidRPr="00140322" w:rsidRDefault="00547000" w:rsidP="00F07603">
      <w:pPr>
        <w:pStyle w:val="Nadpis1"/>
        <w:rPr>
          <w:sz w:val="20"/>
          <w:szCs w:val="20"/>
        </w:rPr>
      </w:pPr>
      <w:r w:rsidRPr="00140322">
        <w:rPr>
          <w:sz w:val="20"/>
          <w:szCs w:val="20"/>
        </w:rPr>
        <w:t>Tables S</w:t>
      </w:r>
      <w:r w:rsidR="00C64412" w:rsidRPr="00140322">
        <w:rPr>
          <w:sz w:val="20"/>
          <w:szCs w:val="20"/>
        </w:rPr>
        <w:t>4</w:t>
      </w:r>
      <w:r w:rsidRPr="00140322">
        <w:rPr>
          <w:sz w:val="20"/>
          <w:szCs w:val="20"/>
        </w:rPr>
        <w:t xml:space="preserve"> – Results of the multivariate logistic regression analysis</w:t>
      </w:r>
    </w:p>
    <w:p w14:paraId="659B78BF" w14:textId="3E9D5818" w:rsidR="00547000" w:rsidRPr="00140322" w:rsidRDefault="00547000" w:rsidP="00547000">
      <w:pPr>
        <w:rPr>
          <w:rFonts w:ascii="Times New Roman" w:hAnsi="Times New Roman" w:cs="Times New Roman"/>
          <w:i/>
          <w:iCs/>
          <w:sz w:val="20"/>
          <w:szCs w:val="20"/>
        </w:rPr>
      </w:pPr>
      <w:r w:rsidRPr="00140322">
        <w:rPr>
          <w:rFonts w:ascii="Times New Roman" w:hAnsi="Times New Roman" w:cs="Times New Roman"/>
          <w:i/>
          <w:iCs/>
          <w:sz w:val="20"/>
          <w:szCs w:val="20"/>
        </w:rPr>
        <w:t>Table S</w:t>
      </w:r>
      <w:r w:rsidR="00F75869" w:rsidRPr="00140322">
        <w:rPr>
          <w:rFonts w:ascii="Times New Roman" w:hAnsi="Times New Roman" w:cs="Times New Roman"/>
          <w:i/>
          <w:iCs/>
          <w:sz w:val="20"/>
          <w:szCs w:val="20"/>
        </w:rPr>
        <w:t>4</w:t>
      </w:r>
      <w:r w:rsidRPr="00140322">
        <w:rPr>
          <w:rFonts w:ascii="Times New Roman" w:hAnsi="Times New Roman" w:cs="Times New Roman"/>
          <w:i/>
          <w:iCs/>
          <w:sz w:val="20"/>
          <w:szCs w:val="20"/>
        </w:rPr>
        <w:t xml:space="preserve"> – Results of the multivariate logistic regression analysis. </w:t>
      </w:r>
    </w:p>
    <w:p w14:paraId="38638570" w14:textId="5CDA3E00" w:rsidR="00BB0F86" w:rsidRPr="00F704C7" w:rsidRDefault="00BB0F86" w:rsidP="00F07603">
      <w:pPr>
        <w:pStyle w:val="Nadpis1"/>
      </w:pPr>
      <w:r w:rsidRPr="00F704C7">
        <w:t>Table S</w:t>
      </w:r>
      <w:r w:rsidR="00F75869" w:rsidRPr="00F704C7">
        <w:t>5</w:t>
      </w:r>
      <w:r w:rsidRPr="00F704C7">
        <w:t xml:space="preserve"> – MxA values in non-respiratory viral infections </w:t>
      </w:r>
    </w:p>
    <w:p w14:paraId="5D02E66A" w14:textId="77777777" w:rsidR="00BB0F86" w:rsidRPr="00140322" w:rsidRDefault="00BB0F86" w:rsidP="00BB0F86">
      <w:pPr>
        <w:spacing w:after="0" w:line="240" w:lineRule="auto"/>
        <w:jc w:val="both"/>
        <w:rPr>
          <w:rFonts w:ascii="Times New Roman" w:hAnsi="Times New Roman" w:cs="Times New Roman"/>
          <w:b/>
          <w:bCs/>
          <w:sz w:val="20"/>
          <w:szCs w:val="20"/>
        </w:rPr>
      </w:pPr>
    </w:p>
    <w:tbl>
      <w:tblPr>
        <w:tblStyle w:val="Mkatabulky"/>
        <w:tblW w:w="0" w:type="auto"/>
        <w:tblLook w:val="04A0" w:firstRow="1" w:lastRow="0" w:firstColumn="1" w:lastColumn="0" w:noHBand="0" w:noVBand="1"/>
      </w:tblPr>
      <w:tblGrid>
        <w:gridCol w:w="3397"/>
        <w:gridCol w:w="2644"/>
        <w:gridCol w:w="3021"/>
      </w:tblGrid>
      <w:tr w:rsidR="00BB0F86" w:rsidRPr="00140322" w14:paraId="1425376B" w14:textId="77777777" w:rsidTr="006F35D9">
        <w:tc>
          <w:tcPr>
            <w:tcW w:w="3397" w:type="dxa"/>
          </w:tcPr>
          <w:p w14:paraId="534E4A59" w14:textId="77777777" w:rsidR="00BB0F86" w:rsidRPr="00140322" w:rsidRDefault="00BB0F86" w:rsidP="006F35D9">
            <w:pPr>
              <w:jc w:val="center"/>
              <w:rPr>
                <w:rFonts w:ascii="Times New Roman" w:hAnsi="Times New Roman" w:cs="Times New Roman"/>
                <w:b/>
                <w:bCs/>
                <w:sz w:val="20"/>
                <w:szCs w:val="20"/>
              </w:rPr>
            </w:pPr>
            <w:r w:rsidRPr="00140322">
              <w:rPr>
                <w:rFonts w:ascii="Times New Roman" w:hAnsi="Times New Roman" w:cs="Times New Roman"/>
                <w:b/>
                <w:bCs/>
                <w:sz w:val="20"/>
                <w:szCs w:val="20"/>
              </w:rPr>
              <w:t>causative viral agens</w:t>
            </w:r>
          </w:p>
        </w:tc>
        <w:tc>
          <w:tcPr>
            <w:tcW w:w="2644" w:type="dxa"/>
          </w:tcPr>
          <w:p w14:paraId="7D870A00" w14:textId="77777777" w:rsidR="00BB0F86" w:rsidRPr="00140322" w:rsidRDefault="00BB0F86" w:rsidP="006F35D9">
            <w:pPr>
              <w:jc w:val="center"/>
              <w:rPr>
                <w:rFonts w:ascii="Times New Roman" w:hAnsi="Times New Roman" w:cs="Times New Roman"/>
                <w:b/>
                <w:bCs/>
                <w:sz w:val="20"/>
                <w:szCs w:val="20"/>
              </w:rPr>
            </w:pPr>
            <w:r w:rsidRPr="00140322">
              <w:rPr>
                <w:rFonts w:ascii="Times New Roman" w:hAnsi="Times New Roman" w:cs="Times New Roman"/>
                <w:b/>
                <w:bCs/>
                <w:sz w:val="20"/>
                <w:szCs w:val="20"/>
              </w:rPr>
              <w:t>number of patients</w:t>
            </w:r>
          </w:p>
        </w:tc>
        <w:tc>
          <w:tcPr>
            <w:tcW w:w="3021" w:type="dxa"/>
          </w:tcPr>
          <w:p w14:paraId="4097A1C1" w14:textId="77777777" w:rsidR="00BB0F86" w:rsidRPr="00140322" w:rsidRDefault="00BB0F86" w:rsidP="006F35D9">
            <w:pPr>
              <w:jc w:val="center"/>
              <w:rPr>
                <w:rFonts w:ascii="Times New Roman" w:hAnsi="Times New Roman" w:cs="Times New Roman"/>
                <w:b/>
                <w:bCs/>
                <w:sz w:val="20"/>
                <w:szCs w:val="20"/>
              </w:rPr>
            </w:pPr>
            <w:r w:rsidRPr="00140322">
              <w:rPr>
                <w:rFonts w:ascii="Times New Roman" w:hAnsi="Times New Roman" w:cs="Times New Roman"/>
                <w:b/>
                <w:bCs/>
                <w:sz w:val="20"/>
                <w:szCs w:val="20"/>
              </w:rPr>
              <w:t>MxA value (µg/l)</w:t>
            </w:r>
          </w:p>
        </w:tc>
      </w:tr>
      <w:tr w:rsidR="00BB0F86" w:rsidRPr="00140322" w14:paraId="4C7174F2" w14:textId="77777777" w:rsidTr="006F35D9">
        <w:tc>
          <w:tcPr>
            <w:tcW w:w="3397" w:type="dxa"/>
          </w:tcPr>
          <w:p w14:paraId="72CBB03A"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active hepatitis B</w:t>
            </w:r>
          </w:p>
        </w:tc>
        <w:tc>
          <w:tcPr>
            <w:tcW w:w="2644" w:type="dxa"/>
          </w:tcPr>
          <w:p w14:paraId="0B348F4B"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1</w:t>
            </w:r>
          </w:p>
        </w:tc>
        <w:tc>
          <w:tcPr>
            <w:tcW w:w="3021" w:type="dxa"/>
          </w:tcPr>
          <w:p w14:paraId="7A69EB36"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&lt;1</w:t>
            </w:r>
          </w:p>
        </w:tc>
      </w:tr>
      <w:tr w:rsidR="00BB0F86" w:rsidRPr="00140322" w14:paraId="03E86654" w14:textId="77777777" w:rsidTr="006F35D9">
        <w:tc>
          <w:tcPr>
            <w:tcW w:w="3397" w:type="dxa"/>
          </w:tcPr>
          <w:p w14:paraId="37A04B58"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herpes simplex virus encephalitis</w:t>
            </w:r>
          </w:p>
        </w:tc>
        <w:tc>
          <w:tcPr>
            <w:tcW w:w="2644" w:type="dxa"/>
          </w:tcPr>
          <w:p w14:paraId="1B774A3C"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1</w:t>
            </w:r>
          </w:p>
        </w:tc>
        <w:tc>
          <w:tcPr>
            <w:tcW w:w="3021" w:type="dxa"/>
          </w:tcPr>
          <w:p w14:paraId="4A679C6A"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23</w:t>
            </w:r>
          </w:p>
        </w:tc>
      </w:tr>
      <w:tr w:rsidR="00BB0F86" w:rsidRPr="00140322" w14:paraId="2FB69779" w14:textId="77777777" w:rsidTr="006F35D9">
        <w:tc>
          <w:tcPr>
            <w:tcW w:w="3397" w:type="dxa"/>
          </w:tcPr>
          <w:p w14:paraId="05AA5380"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active human immunodeficiency virus</w:t>
            </w:r>
          </w:p>
        </w:tc>
        <w:tc>
          <w:tcPr>
            <w:tcW w:w="2644" w:type="dxa"/>
          </w:tcPr>
          <w:p w14:paraId="725204B4"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1</w:t>
            </w:r>
          </w:p>
        </w:tc>
        <w:tc>
          <w:tcPr>
            <w:tcW w:w="3021" w:type="dxa"/>
          </w:tcPr>
          <w:p w14:paraId="4F8B57DD"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492</w:t>
            </w:r>
          </w:p>
        </w:tc>
      </w:tr>
      <w:tr w:rsidR="00BB0F86" w:rsidRPr="00140322" w14:paraId="7E05175F" w14:textId="77777777" w:rsidTr="006F35D9">
        <w:tc>
          <w:tcPr>
            <w:tcW w:w="3397" w:type="dxa"/>
          </w:tcPr>
          <w:p w14:paraId="0ADDBCCD"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rotavirus gastroenteritis</w:t>
            </w:r>
          </w:p>
        </w:tc>
        <w:tc>
          <w:tcPr>
            <w:tcW w:w="2644" w:type="dxa"/>
          </w:tcPr>
          <w:p w14:paraId="77A0AEA7"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1</w:t>
            </w:r>
          </w:p>
        </w:tc>
        <w:tc>
          <w:tcPr>
            <w:tcW w:w="3021" w:type="dxa"/>
          </w:tcPr>
          <w:p w14:paraId="6A5946FC"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302</w:t>
            </w:r>
          </w:p>
        </w:tc>
      </w:tr>
      <w:tr w:rsidR="00BB0F86" w:rsidRPr="00140322" w14:paraId="70FADE57" w14:textId="77777777" w:rsidTr="006F35D9">
        <w:tc>
          <w:tcPr>
            <w:tcW w:w="3397" w:type="dxa"/>
          </w:tcPr>
          <w:p w14:paraId="245E91F2"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tick-borne encephalitis</w:t>
            </w:r>
          </w:p>
        </w:tc>
        <w:tc>
          <w:tcPr>
            <w:tcW w:w="2644" w:type="dxa"/>
          </w:tcPr>
          <w:p w14:paraId="5B11C342"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4</w:t>
            </w:r>
          </w:p>
        </w:tc>
        <w:tc>
          <w:tcPr>
            <w:tcW w:w="3021" w:type="dxa"/>
          </w:tcPr>
          <w:p w14:paraId="537CACB8" w14:textId="77777777" w:rsidR="00BB0F86" w:rsidRPr="00140322" w:rsidRDefault="00BB0F86" w:rsidP="006F35D9">
            <w:pPr>
              <w:jc w:val="center"/>
              <w:rPr>
                <w:rFonts w:ascii="Times New Roman" w:hAnsi="Times New Roman" w:cs="Times New Roman"/>
                <w:sz w:val="20"/>
                <w:szCs w:val="20"/>
              </w:rPr>
            </w:pPr>
            <w:r w:rsidRPr="00140322">
              <w:rPr>
                <w:rFonts w:ascii="Times New Roman" w:hAnsi="Times New Roman" w:cs="Times New Roman"/>
                <w:sz w:val="20"/>
                <w:szCs w:val="20"/>
              </w:rPr>
              <w:t>18 (3-64)</w:t>
            </w:r>
          </w:p>
        </w:tc>
      </w:tr>
    </w:tbl>
    <w:p w14:paraId="13EB0301" w14:textId="0ECE6A1F" w:rsidR="00497595" w:rsidRPr="00140322" w:rsidRDefault="00BB0F86" w:rsidP="003C4AF7">
      <w:pPr>
        <w:spacing w:after="0" w:line="240" w:lineRule="auto"/>
        <w:rPr>
          <w:rFonts w:ascii="Times New Roman" w:hAnsi="Times New Roman" w:cs="Times New Roman"/>
          <w:sz w:val="20"/>
          <w:szCs w:val="20"/>
        </w:rPr>
      </w:pPr>
      <w:r w:rsidRPr="00140322">
        <w:rPr>
          <w:rFonts w:ascii="Times New Roman" w:hAnsi="Times New Roman" w:cs="Times New Roman"/>
          <w:i/>
          <w:iCs/>
          <w:sz w:val="20"/>
          <w:szCs w:val="20"/>
        </w:rPr>
        <w:t>Table S</w:t>
      </w:r>
      <w:r w:rsidR="00F75869" w:rsidRPr="00140322">
        <w:rPr>
          <w:rFonts w:ascii="Times New Roman" w:hAnsi="Times New Roman" w:cs="Times New Roman"/>
          <w:i/>
          <w:iCs/>
          <w:sz w:val="20"/>
          <w:szCs w:val="20"/>
        </w:rPr>
        <w:t>5</w:t>
      </w:r>
      <w:r w:rsidRPr="00140322">
        <w:rPr>
          <w:rFonts w:ascii="Times New Roman" w:hAnsi="Times New Roman" w:cs="Times New Roman"/>
          <w:i/>
          <w:iCs/>
          <w:sz w:val="20"/>
          <w:szCs w:val="20"/>
        </w:rPr>
        <w:t xml:space="preserve"> – MxA values in non-respiratory viral infections. MxA – Myxovirus resistance protei</w:t>
      </w:r>
      <w:r w:rsidR="003C4AF7" w:rsidRPr="00140322">
        <w:rPr>
          <w:rFonts w:ascii="Times New Roman" w:hAnsi="Times New Roman" w:cs="Times New Roman"/>
          <w:i/>
          <w:iCs/>
          <w:sz w:val="20"/>
          <w:szCs w:val="20"/>
        </w:rPr>
        <w:t>n</w:t>
      </w:r>
    </w:p>
    <w:sectPr w:rsidR="00497595" w:rsidRPr="00140322" w:rsidSect="00547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A8"/>
    <w:rsid w:val="00051BAB"/>
    <w:rsid w:val="0006422C"/>
    <w:rsid w:val="00087687"/>
    <w:rsid w:val="00094551"/>
    <w:rsid w:val="000A4FE7"/>
    <w:rsid w:val="000B1B57"/>
    <w:rsid w:val="001033DD"/>
    <w:rsid w:val="00140322"/>
    <w:rsid w:val="00160246"/>
    <w:rsid w:val="001B7AE4"/>
    <w:rsid w:val="00252B1F"/>
    <w:rsid w:val="00264D15"/>
    <w:rsid w:val="002861A5"/>
    <w:rsid w:val="002C55FE"/>
    <w:rsid w:val="00331CC3"/>
    <w:rsid w:val="003B65F2"/>
    <w:rsid w:val="003C4AF7"/>
    <w:rsid w:val="003F23B7"/>
    <w:rsid w:val="00401882"/>
    <w:rsid w:val="004719A8"/>
    <w:rsid w:val="004738F1"/>
    <w:rsid w:val="00497595"/>
    <w:rsid w:val="004F4BCD"/>
    <w:rsid w:val="00547000"/>
    <w:rsid w:val="005D7607"/>
    <w:rsid w:val="005E475D"/>
    <w:rsid w:val="005E57BF"/>
    <w:rsid w:val="00675DD6"/>
    <w:rsid w:val="0067761B"/>
    <w:rsid w:val="007554F2"/>
    <w:rsid w:val="00785842"/>
    <w:rsid w:val="008A4F76"/>
    <w:rsid w:val="009270F8"/>
    <w:rsid w:val="00953E09"/>
    <w:rsid w:val="00972696"/>
    <w:rsid w:val="00993689"/>
    <w:rsid w:val="009B2EB3"/>
    <w:rsid w:val="009B3EA3"/>
    <w:rsid w:val="009C456A"/>
    <w:rsid w:val="009E1E93"/>
    <w:rsid w:val="009E38D6"/>
    <w:rsid w:val="009F1320"/>
    <w:rsid w:val="00A71FA2"/>
    <w:rsid w:val="00AF6833"/>
    <w:rsid w:val="00B32773"/>
    <w:rsid w:val="00BB0F86"/>
    <w:rsid w:val="00C0431B"/>
    <w:rsid w:val="00C46423"/>
    <w:rsid w:val="00C64412"/>
    <w:rsid w:val="00C84FA0"/>
    <w:rsid w:val="00D40D2D"/>
    <w:rsid w:val="00D56AD8"/>
    <w:rsid w:val="00E453A8"/>
    <w:rsid w:val="00F07603"/>
    <w:rsid w:val="00F704C7"/>
    <w:rsid w:val="00F75869"/>
    <w:rsid w:val="00F93A26"/>
    <w:rsid w:val="00FB6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A447"/>
  <w15:chartTrackingRefBased/>
  <w15:docId w15:val="{16C9C204-FC0B-462F-A191-F742B2E4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704C7"/>
    <w:pPr>
      <w:keepNext/>
      <w:keepLines/>
      <w:spacing w:before="360" w:after="80"/>
      <w:outlineLvl w:val="0"/>
    </w:pPr>
    <w:rPr>
      <w:rFonts w:ascii="Times New Roman" w:eastAsiaTheme="majorEastAsia" w:hAnsi="Times New Roman" w:cs="Times New Roman"/>
      <w:b/>
      <w:bCs/>
    </w:rPr>
  </w:style>
  <w:style w:type="paragraph" w:styleId="Nadpis2">
    <w:name w:val="heading 2"/>
    <w:basedOn w:val="Normln"/>
    <w:next w:val="Normln"/>
    <w:link w:val="Nadpis2Char"/>
    <w:uiPriority w:val="9"/>
    <w:semiHidden/>
    <w:unhideWhenUsed/>
    <w:qFormat/>
    <w:rsid w:val="00471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719A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719A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719A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719A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19A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19A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19A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04C7"/>
    <w:rPr>
      <w:rFonts w:ascii="Times New Roman" w:eastAsiaTheme="majorEastAsia" w:hAnsi="Times New Roman" w:cs="Times New Roman"/>
      <w:b/>
      <w:bCs/>
    </w:rPr>
  </w:style>
  <w:style w:type="character" w:customStyle="1" w:styleId="Nadpis2Char">
    <w:name w:val="Nadpis 2 Char"/>
    <w:basedOn w:val="Standardnpsmoodstavce"/>
    <w:link w:val="Nadpis2"/>
    <w:uiPriority w:val="9"/>
    <w:semiHidden/>
    <w:rsid w:val="004719A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719A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719A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719A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719A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19A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19A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19A8"/>
    <w:rPr>
      <w:rFonts w:eastAsiaTheme="majorEastAsia" w:cstheme="majorBidi"/>
      <w:color w:val="272727" w:themeColor="text1" w:themeTint="D8"/>
    </w:rPr>
  </w:style>
  <w:style w:type="paragraph" w:styleId="Nzev">
    <w:name w:val="Title"/>
    <w:basedOn w:val="Normln"/>
    <w:next w:val="Normln"/>
    <w:link w:val="NzevChar"/>
    <w:uiPriority w:val="10"/>
    <w:qFormat/>
    <w:rsid w:val="00471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19A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19A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19A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19A8"/>
    <w:pPr>
      <w:spacing w:before="160"/>
      <w:jc w:val="center"/>
    </w:pPr>
    <w:rPr>
      <w:i/>
      <w:iCs/>
      <w:color w:val="404040" w:themeColor="text1" w:themeTint="BF"/>
    </w:rPr>
  </w:style>
  <w:style w:type="character" w:customStyle="1" w:styleId="CittChar">
    <w:name w:val="Citát Char"/>
    <w:basedOn w:val="Standardnpsmoodstavce"/>
    <w:link w:val="Citt"/>
    <w:uiPriority w:val="29"/>
    <w:rsid w:val="004719A8"/>
    <w:rPr>
      <w:i/>
      <w:iCs/>
      <w:color w:val="404040" w:themeColor="text1" w:themeTint="BF"/>
    </w:rPr>
  </w:style>
  <w:style w:type="paragraph" w:styleId="Odstavecseseznamem">
    <w:name w:val="List Paragraph"/>
    <w:basedOn w:val="Normln"/>
    <w:uiPriority w:val="34"/>
    <w:qFormat/>
    <w:rsid w:val="004719A8"/>
    <w:pPr>
      <w:ind w:left="720"/>
      <w:contextualSpacing/>
    </w:pPr>
  </w:style>
  <w:style w:type="character" w:styleId="Zdraznnintenzivn">
    <w:name w:val="Intense Emphasis"/>
    <w:basedOn w:val="Standardnpsmoodstavce"/>
    <w:uiPriority w:val="21"/>
    <w:qFormat/>
    <w:rsid w:val="004719A8"/>
    <w:rPr>
      <w:i/>
      <w:iCs/>
      <w:color w:val="0F4761" w:themeColor="accent1" w:themeShade="BF"/>
    </w:rPr>
  </w:style>
  <w:style w:type="paragraph" w:styleId="Vrazncitt">
    <w:name w:val="Intense Quote"/>
    <w:basedOn w:val="Normln"/>
    <w:next w:val="Normln"/>
    <w:link w:val="VrazncittChar"/>
    <w:uiPriority w:val="30"/>
    <w:qFormat/>
    <w:rsid w:val="00471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719A8"/>
    <w:rPr>
      <w:i/>
      <w:iCs/>
      <w:color w:val="0F4761" w:themeColor="accent1" w:themeShade="BF"/>
    </w:rPr>
  </w:style>
  <w:style w:type="character" w:styleId="Odkazintenzivn">
    <w:name w:val="Intense Reference"/>
    <w:basedOn w:val="Standardnpsmoodstavce"/>
    <w:uiPriority w:val="32"/>
    <w:qFormat/>
    <w:rsid w:val="004719A8"/>
    <w:rPr>
      <w:b/>
      <w:bCs/>
      <w:smallCaps/>
      <w:color w:val="0F4761" w:themeColor="accent1" w:themeShade="BF"/>
      <w:spacing w:val="5"/>
    </w:rPr>
  </w:style>
  <w:style w:type="table" w:styleId="Mkatabulky">
    <w:name w:val="Table Grid"/>
    <w:basedOn w:val="Normlntabulka"/>
    <w:uiPriority w:val="39"/>
    <w:rsid w:val="000B1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1880</Words>
  <Characters>11357</Characters>
  <Application>Microsoft Office Word</Application>
  <DocSecurity>0</DocSecurity>
  <Lines>206</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Müller</dc:creator>
  <cp:keywords/>
  <dc:description/>
  <cp:lastModifiedBy>Jiří Müller</cp:lastModifiedBy>
  <cp:revision>9</cp:revision>
  <dcterms:created xsi:type="dcterms:W3CDTF">2025-11-23T12:33:00Z</dcterms:created>
  <dcterms:modified xsi:type="dcterms:W3CDTF">2025-11-24T20:44:00Z</dcterms:modified>
</cp:coreProperties>
</file>