
<file path=[Content_Types].xml><?xml version="1.0" encoding="utf-8"?>
<Types xmlns="http://schemas.openxmlformats.org/package/2006/content-types">
  <Default Extension="tiff" ContentType="image/tiff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E97B1">
      <w:pPr>
        <w:ind w:firstLine="361"/>
        <w:jc w:val="center"/>
        <w:rPr>
          <w:rFonts w:hint="default" w:eastAsia="宋体"/>
          <w:b/>
          <w:bCs/>
          <w:i/>
          <w:iCs/>
          <w:sz w:val="36"/>
          <w:szCs w:val="32"/>
          <w:lang w:val="en-US" w:eastAsia="zh-CN"/>
        </w:rPr>
      </w:pPr>
      <w:r>
        <w:rPr>
          <w:rFonts w:hint="eastAsia"/>
          <w:b/>
          <w:bCs/>
          <w:i/>
          <w:iCs/>
          <w:sz w:val="36"/>
          <w:szCs w:val="32"/>
        </w:rPr>
        <w:t xml:space="preserve">Supplementary </w:t>
      </w:r>
      <w:r>
        <w:rPr>
          <w:rFonts w:hint="eastAsia"/>
          <w:b/>
          <w:bCs/>
          <w:i/>
          <w:iCs/>
          <w:sz w:val="36"/>
          <w:szCs w:val="32"/>
          <w:lang w:val="en-US" w:eastAsia="zh-CN"/>
        </w:rPr>
        <w:t>m</w:t>
      </w:r>
      <w:bookmarkStart w:id="26" w:name="_GoBack"/>
      <w:bookmarkEnd w:id="26"/>
      <w:r>
        <w:rPr>
          <w:rFonts w:hint="eastAsia"/>
          <w:b/>
          <w:bCs/>
          <w:i/>
          <w:iCs/>
          <w:sz w:val="36"/>
          <w:szCs w:val="32"/>
          <w:lang w:val="en-US" w:eastAsia="zh-CN"/>
        </w:rPr>
        <w:t>aterial</w:t>
      </w:r>
    </w:p>
    <w:p w14:paraId="38C30051">
      <w:pPr>
        <w:spacing w:line="360" w:lineRule="auto"/>
        <w:ind w:firstLine="0" w:firstLineChars="0"/>
        <w:jc w:val="center"/>
        <w:rPr>
          <w:b/>
          <w:bCs/>
          <w:szCs w:val="24"/>
        </w:rPr>
      </w:pPr>
      <w:r>
        <w:rPr>
          <w:b/>
          <w:bCs/>
          <w:szCs w:val="24"/>
        </w:rPr>
        <w:t>Insight into Site Environment and Photoluminescence Properties of Cr</w:t>
      </w:r>
      <w:r>
        <w:rPr>
          <w:b/>
          <w:bCs/>
          <w:szCs w:val="24"/>
          <w:vertAlign w:val="superscript"/>
        </w:rPr>
        <w:t>3+</w:t>
      </w:r>
      <w:r>
        <w:rPr>
          <w:b/>
          <w:bCs/>
          <w:szCs w:val="24"/>
        </w:rPr>
        <w:t>-doped Gallogermanate Toward NIR pc-LEDs Applications</w:t>
      </w:r>
    </w:p>
    <w:p w14:paraId="2BF000B7">
      <w:pPr>
        <w:spacing w:line="360" w:lineRule="auto"/>
        <w:ind w:firstLine="0" w:firstLineChars="0"/>
        <w:jc w:val="center"/>
        <w:rPr>
          <w:sz w:val="21"/>
          <w:szCs w:val="21"/>
        </w:rPr>
      </w:pPr>
      <w:bookmarkStart w:id="0" w:name="_Hlk148014546"/>
      <w:bookmarkStart w:id="1" w:name="_Hlk151371937"/>
      <w:r>
        <w:rPr>
          <w:sz w:val="21"/>
          <w:szCs w:val="21"/>
        </w:rPr>
        <w:t>Wenjie Deng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1</w:t>
      </w:r>
      <w:r>
        <w:rPr>
          <w:rFonts w:hint="eastAsia"/>
          <w:sz w:val="21"/>
          <w:szCs w:val="21"/>
        </w:rPr>
        <w:t xml:space="preserve">, </w:t>
      </w:r>
      <w:r>
        <w:rPr>
          <w:sz w:val="21"/>
          <w:szCs w:val="21"/>
        </w:rPr>
        <w:t>Decai Huang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 xml:space="preserve">3, </w:t>
      </w:r>
      <w:r>
        <w:rPr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</w:rPr>
        <w:t>,</w:t>
      </w:r>
      <w:r>
        <w:rPr>
          <w:sz w:val="21"/>
          <w:szCs w:val="21"/>
        </w:rPr>
        <w:t xml:space="preserve"> </w:t>
      </w:r>
      <w:r>
        <w:rPr>
          <w:rFonts w:cs="Times New Roman"/>
          <w:color w:val="2E3033"/>
          <w:sz w:val="21"/>
          <w:szCs w:val="21"/>
          <w:shd w:val="clear" w:color="auto" w:fill="FFFFFF"/>
        </w:rPr>
        <w:t>Wangzu Zou</w:t>
      </w:r>
      <w:r>
        <w:rPr>
          <w:rFonts w:cs="Times New Roman"/>
          <w:color w:val="2E3033"/>
          <w:sz w:val="21"/>
          <w:szCs w:val="21"/>
          <w:shd w:val="clear" w:color="auto" w:fill="FFFFFF"/>
          <w:vertAlign w:val="superscript"/>
        </w:rPr>
        <w:t xml:space="preserve"> </w:t>
      </w:r>
      <w:r>
        <w:rPr>
          <w:rFonts w:hint="eastAsia" w:cs="Times New Roman"/>
          <w:color w:val="2E3033"/>
          <w:sz w:val="21"/>
          <w:szCs w:val="21"/>
          <w:shd w:val="clear" w:color="auto" w:fill="FFFFFF"/>
          <w:vertAlign w:val="superscript"/>
        </w:rPr>
        <w:t>1</w:t>
      </w:r>
      <w:r>
        <w:rPr>
          <w:sz w:val="21"/>
          <w:szCs w:val="21"/>
        </w:rPr>
        <w:t xml:space="preserve">, </w:t>
      </w:r>
      <w:r>
        <w:rPr>
          <w:rFonts w:hint="eastAsia"/>
          <w:sz w:val="21"/>
          <w:szCs w:val="21"/>
        </w:rPr>
        <w:t>Zhi Zhang</w:t>
      </w:r>
      <w:r>
        <w:rPr>
          <w:rFonts w:cs="Times New Roman"/>
          <w:color w:val="2E3033"/>
          <w:sz w:val="21"/>
          <w:szCs w:val="21"/>
          <w:shd w:val="clear" w:color="auto" w:fill="FFFFFF"/>
          <w:vertAlign w:val="superscript"/>
        </w:rPr>
        <w:t xml:space="preserve"> </w:t>
      </w:r>
      <w:r>
        <w:rPr>
          <w:rFonts w:hint="eastAsia" w:cs="Times New Roman"/>
          <w:color w:val="2E3033"/>
          <w:sz w:val="21"/>
          <w:szCs w:val="21"/>
          <w:shd w:val="clear" w:color="auto" w:fill="FFFFFF"/>
          <w:vertAlign w:val="superscript"/>
        </w:rPr>
        <w:t>1</w:t>
      </w:r>
      <w:r>
        <w:rPr>
          <w:sz w:val="21"/>
          <w:szCs w:val="21"/>
        </w:rPr>
        <w:t>,</w:t>
      </w:r>
      <w:r>
        <w:rPr>
          <w:rFonts w:hint="eastAsia"/>
          <w:sz w:val="21"/>
          <w:szCs w:val="21"/>
        </w:rPr>
        <w:t xml:space="preserve"> Shuping Huang</w:t>
      </w:r>
      <w:r>
        <w:rPr>
          <w:rFonts w:cs="Times New Roman"/>
          <w:color w:val="2E3033"/>
          <w:sz w:val="21"/>
          <w:szCs w:val="21"/>
          <w:shd w:val="clear" w:color="auto" w:fill="FFFFFF"/>
          <w:vertAlign w:val="superscript"/>
        </w:rPr>
        <w:t xml:space="preserve"> </w:t>
      </w:r>
      <w:r>
        <w:rPr>
          <w:rFonts w:hint="eastAsia" w:cs="Times New Roman"/>
          <w:color w:val="2E3033"/>
          <w:sz w:val="21"/>
          <w:szCs w:val="21"/>
          <w:shd w:val="clear" w:color="auto" w:fill="FFFFFF"/>
          <w:vertAlign w:val="superscript"/>
        </w:rPr>
        <w:t>1</w:t>
      </w:r>
      <w:r>
        <w:rPr>
          <w:sz w:val="21"/>
          <w:szCs w:val="21"/>
        </w:rPr>
        <w:t>,</w:t>
      </w:r>
      <w:r>
        <w:rPr>
          <w:rFonts w:hint="eastAsia"/>
          <w:sz w:val="21"/>
          <w:szCs w:val="21"/>
        </w:rPr>
        <w:t xml:space="preserve"> Haiping Luo</w:t>
      </w:r>
      <w:r>
        <w:rPr>
          <w:rFonts w:cs="Times New Roman"/>
          <w:color w:val="2E3033"/>
          <w:sz w:val="21"/>
          <w:szCs w:val="21"/>
          <w:shd w:val="clear" w:color="auto" w:fill="FFFFFF"/>
          <w:vertAlign w:val="superscript"/>
        </w:rPr>
        <w:t xml:space="preserve"> </w:t>
      </w:r>
      <w:r>
        <w:rPr>
          <w:rFonts w:hint="eastAsia" w:cs="Times New Roman"/>
          <w:color w:val="2E3033"/>
          <w:sz w:val="21"/>
          <w:szCs w:val="21"/>
          <w:shd w:val="clear" w:color="auto" w:fill="FFFFFF"/>
          <w:vertAlign w:val="superscript"/>
        </w:rPr>
        <w:t>1</w:t>
      </w:r>
      <w:r>
        <w:rPr>
          <w:sz w:val="21"/>
          <w:szCs w:val="21"/>
        </w:rPr>
        <w:t>,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Jiaqing Peng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>,</w:t>
      </w:r>
      <w:r>
        <w:rPr>
          <w:rFonts w:hint="eastAsia"/>
          <w:sz w:val="21"/>
          <w:szCs w:val="21"/>
          <w:vertAlign w:val="superscript"/>
        </w:rPr>
        <w:t xml:space="preserve"> 3</w:t>
      </w:r>
      <w:r>
        <w:rPr>
          <w:sz w:val="21"/>
          <w:szCs w:val="21"/>
        </w:rPr>
        <w:t>,</w:t>
      </w:r>
      <w:r>
        <w:rPr>
          <w:rFonts w:hint="eastAsia"/>
          <w:sz w:val="21"/>
          <w:szCs w:val="21"/>
        </w:rPr>
        <w:t xml:space="preserve"> </w:t>
      </w:r>
      <w:bookmarkStart w:id="2" w:name="OLE_LINK20"/>
      <w:r>
        <w:rPr>
          <w:sz w:val="21"/>
          <w:szCs w:val="21"/>
        </w:rPr>
        <w:t>Weixiong You</w:t>
      </w:r>
      <w:bookmarkEnd w:id="2"/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>,</w:t>
      </w:r>
      <w:r>
        <w:rPr>
          <w:rFonts w:hint="eastAsia"/>
          <w:sz w:val="21"/>
          <w:szCs w:val="21"/>
          <w:vertAlign w:val="superscript"/>
        </w:rPr>
        <w:t xml:space="preserve"> 3</w:t>
      </w:r>
      <w:r>
        <w:rPr>
          <w:sz w:val="21"/>
          <w:szCs w:val="21"/>
        </w:rPr>
        <w:t xml:space="preserve">, </w:t>
      </w:r>
      <w:r>
        <w:rPr>
          <w:rFonts w:hint="eastAsia"/>
          <w:sz w:val="21"/>
          <w:szCs w:val="21"/>
        </w:rPr>
        <w:t>Zhihua Xiong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3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>4</w:t>
      </w:r>
      <w:r>
        <w:rPr>
          <w:rFonts w:hint="eastAsia"/>
          <w:sz w:val="21"/>
          <w:szCs w:val="21"/>
        </w:rPr>
        <w:t>, Jing Zhu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5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and Xinyu Ye</w:t>
      </w:r>
      <w:r>
        <w:rPr>
          <w:sz w:val="21"/>
          <w:szCs w:val="21"/>
          <w:vertAlign w:val="superscript"/>
        </w:rPr>
        <w:t xml:space="preserve"> </w:t>
      </w:r>
      <w:r>
        <w:rPr>
          <w:rFonts w:hint="eastAsia"/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 xml:space="preserve">, 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>,</w:t>
      </w:r>
      <w:r>
        <w:rPr>
          <w:rFonts w:hint="eastAsia"/>
          <w:sz w:val="21"/>
          <w:szCs w:val="21"/>
          <w:vertAlign w:val="superscript"/>
        </w:rPr>
        <w:t xml:space="preserve"> 3</w:t>
      </w:r>
      <w:r>
        <w:rPr>
          <w:sz w:val="21"/>
          <w:szCs w:val="21"/>
          <w:vertAlign w:val="superscript"/>
        </w:rPr>
        <w:t>,</w:t>
      </w:r>
      <w:r>
        <w:rPr>
          <w:rFonts w:hint="eastAsia"/>
          <w:sz w:val="21"/>
          <w:szCs w:val="21"/>
          <w:vertAlign w:val="superscript"/>
        </w:rPr>
        <w:t xml:space="preserve"> 4</w:t>
      </w:r>
    </w:p>
    <w:bookmarkEnd w:id="0"/>
    <w:p w14:paraId="3158256D">
      <w:pPr>
        <w:spacing w:line="240" w:lineRule="auto"/>
        <w:ind w:left="181" w:hanging="181" w:firstLineChars="0"/>
        <w:rPr>
          <w:i/>
          <w:iCs/>
          <w:sz w:val="21"/>
          <w:szCs w:val="21"/>
        </w:rPr>
      </w:pPr>
      <w:bookmarkStart w:id="3" w:name="_Hlk215299977"/>
      <w:bookmarkStart w:id="4" w:name="_Hlk107908298"/>
      <w:r>
        <w:rPr>
          <w:rFonts w:hint="eastAsia"/>
          <w:i/>
          <w:iCs/>
          <w:sz w:val="21"/>
          <w:szCs w:val="21"/>
          <w:vertAlign w:val="superscript"/>
        </w:rPr>
        <w:t>1</w:t>
      </w:r>
      <w:r>
        <w:rPr>
          <w:i/>
          <w:iCs/>
          <w:sz w:val="21"/>
          <w:szCs w:val="21"/>
        </w:rPr>
        <w:t xml:space="preserve"> College of Rare Earths, Jiangxi University of Science and Technology, Ganzhou 341000, P.R. China</w:t>
      </w:r>
    </w:p>
    <w:p w14:paraId="1DA0A23D">
      <w:pPr>
        <w:spacing w:line="240" w:lineRule="auto"/>
        <w:ind w:left="147" w:hanging="147" w:firstLineChars="0"/>
        <w:rPr>
          <w:i/>
          <w:iCs/>
          <w:sz w:val="21"/>
          <w:szCs w:val="21"/>
        </w:rPr>
      </w:pPr>
      <w:r>
        <w:rPr>
          <w:rFonts w:hint="eastAsia"/>
          <w:i/>
          <w:iCs/>
          <w:sz w:val="21"/>
          <w:szCs w:val="21"/>
          <w:vertAlign w:val="superscript"/>
        </w:rPr>
        <w:t>2</w:t>
      </w:r>
      <w:r>
        <w:rPr>
          <w:rFonts w:hint="eastAsia"/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National Rare Earth Functional Materials Manufacturing Innovation Centre, Guorui Kechuang Rare Earth Functional Materials (Ganzhou) Co., Ltd</w:t>
      </w:r>
      <w:r>
        <w:rPr>
          <w:rFonts w:hint="eastAsia"/>
          <w:i/>
          <w:iCs/>
          <w:sz w:val="21"/>
          <w:szCs w:val="21"/>
        </w:rPr>
        <w:t>,</w:t>
      </w:r>
      <w:r>
        <w:rPr>
          <w:i/>
          <w:iCs/>
          <w:sz w:val="21"/>
          <w:szCs w:val="21"/>
        </w:rPr>
        <w:t xml:space="preserve"> Ganzhou 341000, P. R. China</w:t>
      </w:r>
    </w:p>
    <w:p w14:paraId="367CB742">
      <w:pPr>
        <w:spacing w:line="240" w:lineRule="auto"/>
        <w:ind w:left="181" w:hanging="181" w:firstLineChars="0"/>
        <w:rPr>
          <w:i/>
          <w:iCs/>
          <w:sz w:val="21"/>
          <w:szCs w:val="21"/>
        </w:rPr>
      </w:pPr>
      <w:r>
        <w:rPr>
          <w:rFonts w:hint="eastAsia"/>
          <w:i/>
          <w:iCs/>
          <w:sz w:val="21"/>
          <w:szCs w:val="21"/>
          <w:vertAlign w:val="superscript"/>
        </w:rPr>
        <w:t>3</w:t>
      </w:r>
      <w:r>
        <w:rPr>
          <w:i/>
          <w:iCs/>
          <w:sz w:val="21"/>
          <w:szCs w:val="21"/>
        </w:rPr>
        <w:t xml:space="preserve"> Key Laboratory of Testing and Tracing of Rare Earth Products for State Market Regulation, Jiangxi University of Science and Technology, Ganzhou 341000, P.R. China</w:t>
      </w:r>
    </w:p>
    <w:p w14:paraId="698F222F">
      <w:pPr>
        <w:spacing w:line="240" w:lineRule="auto"/>
        <w:ind w:left="181" w:hanging="181" w:firstLineChars="0"/>
        <w:rPr>
          <w:i/>
          <w:iCs/>
          <w:sz w:val="21"/>
          <w:szCs w:val="21"/>
        </w:rPr>
      </w:pPr>
      <w:r>
        <w:rPr>
          <w:rFonts w:hint="eastAsia"/>
          <w:i/>
          <w:iCs/>
          <w:sz w:val="21"/>
          <w:szCs w:val="21"/>
          <w:vertAlign w:val="superscript"/>
        </w:rPr>
        <w:t>4</w:t>
      </w:r>
      <w:r>
        <w:rPr>
          <w:i/>
          <w:iCs/>
          <w:sz w:val="21"/>
          <w:szCs w:val="21"/>
        </w:rPr>
        <w:t xml:space="preserve"> </w:t>
      </w:r>
      <w:r>
        <w:rPr>
          <w:rFonts w:hint="eastAsia"/>
          <w:i/>
          <w:iCs/>
          <w:sz w:val="21"/>
          <w:szCs w:val="21"/>
        </w:rPr>
        <w:t>Key Laboratory of Low Dimensional Quantum Materials and Sensor Devices of Jiangxi Education Institutes, Ganzhou 341000, China</w:t>
      </w:r>
    </w:p>
    <w:p w14:paraId="331F62A8">
      <w:pPr>
        <w:spacing w:line="240" w:lineRule="auto"/>
        <w:ind w:left="181" w:hanging="181" w:firstLineChars="0"/>
        <w:rPr>
          <w:i/>
          <w:iCs/>
          <w:sz w:val="21"/>
          <w:szCs w:val="21"/>
        </w:rPr>
      </w:pPr>
      <w:r>
        <w:rPr>
          <w:rFonts w:hint="eastAsia"/>
          <w:i/>
          <w:iCs/>
          <w:sz w:val="21"/>
          <w:szCs w:val="21"/>
          <w:vertAlign w:val="superscript"/>
        </w:rPr>
        <w:t>5</w:t>
      </w:r>
      <w:r>
        <w:rPr>
          <w:i/>
          <w:iCs/>
          <w:sz w:val="21"/>
          <w:szCs w:val="21"/>
        </w:rPr>
        <w:t xml:space="preserve"> Yunnan Key Laboratory of Electromagnetic</w:t>
      </w:r>
      <w:r>
        <w:rPr>
          <w:rFonts w:hint="eastAsia"/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Materials and Devices, School of Materials and Energy,</w:t>
      </w:r>
      <w:r>
        <w:rPr>
          <w:rFonts w:hint="eastAsia"/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Yunnan University, Kunming 650091, P. R. China</w:t>
      </w:r>
    </w:p>
    <w:bookmarkEnd w:id="3"/>
    <w:p w14:paraId="56188AFD">
      <w:pPr>
        <w:spacing w:line="240" w:lineRule="auto"/>
        <w:ind w:left="181" w:hanging="181" w:firstLineChars="0"/>
        <w:rPr>
          <w:i/>
          <w:iCs/>
          <w:sz w:val="21"/>
          <w:szCs w:val="21"/>
        </w:rPr>
      </w:pPr>
    </w:p>
    <w:p w14:paraId="06990273">
      <w:pPr>
        <w:spacing w:line="360" w:lineRule="auto"/>
        <w:ind w:firstLine="0" w:firstLineChars="0"/>
        <w:rPr>
          <w:sz w:val="21"/>
          <w:szCs w:val="21"/>
        </w:rPr>
      </w:pPr>
      <w:r>
        <w:rPr>
          <w:sz w:val="21"/>
          <w:szCs w:val="21"/>
          <w:vertAlign w:val="superscript"/>
        </w:rPr>
        <w:t>*</w:t>
      </w:r>
      <w:r>
        <w:rPr>
          <w:rFonts w:hint="eastAsia"/>
          <w:sz w:val="21"/>
          <w:szCs w:val="21"/>
          <w:vertAlign w:val="superscript"/>
        </w:rPr>
        <w:t xml:space="preserve"> </w:t>
      </w:r>
      <w:r>
        <w:rPr>
          <w:sz w:val="21"/>
          <w:szCs w:val="21"/>
        </w:rPr>
        <w:t>Corresponding author;</w:t>
      </w:r>
    </w:p>
    <w:p w14:paraId="36FFB6E4">
      <w:pPr>
        <w:spacing w:line="360" w:lineRule="auto"/>
        <w:ind w:firstLine="0" w:firstLineChars="0"/>
      </w:pPr>
      <w:r>
        <w:rPr>
          <w:sz w:val="21"/>
          <w:szCs w:val="21"/>
        </w:rPr>
        <w:t>Email: hdecai@jxust.edu.cn</w:t>
      </w:r>
      <w:bookmarkEnd w:id="1"/>
      <w:bookmarkEnd w:id="4"/>
    </w:p>
    <w:p w14:paraId="7FD4FBB3">
      <w:pPr>
        <w:adjustRightInd/>
        <w:snapToGrid/>
        <w:spacing w:line="240" w:lineRule="auto"/>
        <w:ind w:firstLine="0" w:firstLineChars="0"/>
        <w:jc w:val="left"/>
        <w:rPr>
          <w:rFonts w:hint="eastAsia"/>
        </w:rPr>
      </w:pPr>
      <w:r>
        <w:br w:type="page"/>
      </w:r>
    </w:p>
    <w:p w14:paraId="38A73C98">
      <w:pPr>
        <w:ind w:firstLine="0" w:firstLineChars="0"/>
        <w:jc w:val="center"/>
      </w:pPr>
      <w:r>
        <w:drawing>
          <wp:inline distT="0" distB="0" distL="0" distR="0">
            <wp:extent cx="4319905" cy="3663315"/>
            <wp:effectExtent l="0" t="0" r="4445" b="0"/>
            <wp:docPr id="1917602410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02410" name="图片 1" descr="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6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5B74">
      <w:pPr>
        <w:ind w:firstLine="0" w:firstLineChars="0"/>
        <w:rPr>
          <w:sz w:val="21"/>
          <w:szCs w:val="21"/>
        </w:rPr>
      </w:pPr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1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XRD</w:t>
      </w:r>
      <w:r>
        <w:rPr>
          <w:sz w:val="21"/>
          <w:szCs w:val="21"/>
        </w:rPr>
        <w:t xml:space="preserve"> Rietveld refinement of</w:t>
      </w:r>
      <w:r>
        <w:rPr>
          <w:rFonts w:hint="eastAsia"/>
          <w:sz w:val="21"/>
          <w:szCs w:val="21"/>
        </w:rPr>
        <w:t xml:space="preserve"> GGO: </w:t>
      </w:r>
      <w:r>
        <w:rPr>
          <w:rFonts w:hint="eastAsia"/>
          <w:i/>
          <w:iCs/>
          <w:sz w:val="21"/>
          <w:szCs w:val="21"/>
        </w:rPr>
        <w:t>y</w:t>
      </w:r>
      <w:r>
        <w:rPr>
          <w:rFonts w:hint="eastAsia"/>
          <w:sz w:val="21"/>
          <w:szCs w:val="21"/>
        </w:rPr>
        <w:t>Cr</w:t>
      </w:r>
      <w:r>
        <w:rPr>
          <w:rFonts w:hint="eastAsia"/>
          <w:sz w:val="21"/>
          <w:szCs w:val="21"/>
          <w:vertAlign w:val="superscript"/>
        </w:rPr>
        <w:t>3+</w:t>
      </w:r>
      <w:r>
        <w:rPr>
          <w:rFonts w:hint="eastAsia"/>
          <w:sz w:val="21"/>
          <w:szCs w:val="21"/>
        </w:rPr>
        <w:t xml:space="preserve"> (</w:t>
      </w:r>
      <w:r>
        <w:rPr>
          <w:rFonts w:hint="eastAsia"/>
          <w:i/>
          <w:iCs/>
          <w:sz w:val="21"/>
          <w:szCs w:val="21"/>
        </w:rPr>
        <w:t>y</w:t>
      </w:r>
      <w:r>
        <w:rPr>
          <w:rFonts w:hint="eastAsia"/>
          <w:sz w:val="21"/>
          <w:szCs w:val="21"/>
        </w:rPr>
        <w:t xml:space="preserve"> = 2%, 4%, 8%, and 12%).</w:t>
      </w:r>
    </w:p>
    <w:p w14:paraId="74DD2882">
      <w:pPr>
        <w:ind w:firstLine="0" w:firstLineChars="0"/>
        <w:rPr>
          <w:sz w:val="21"/>
          <w:szCs w:val="21"/>
        </w:rPr>
      </w:pPr>
    </w:p>
    <w:p w14:paraId="63680C59"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4319905" cy="2197735"/>
            <wp:effectExtent l="0" t="0" r="444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E8C53">
      <w:pPr>
        <w:ind w:firstLine="0" w:firstLineChars="0"/>
        <w:rPr>
          <w:sz w:val="21"/>
          <w:szCs w:val="21"/>
        </w:rPr>
      </w:pPr>
      <w:bookmarkStart w:id="5" w:name="OLE_LINK1"/>
      <w:bookmarkStart w:id="6" w:name="_Hlk171626146"/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2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EDS</w:t>
      </w:r>
      <w:r>
        <w:rPr>
          <w:sz w:val="21"/>
          <w:szCs w:val="21"/>
        </w:rPr>
        <w:t xml:space="preserve"> spectr</w:t>
      </w:r>
      <w:r>
        <w:rPr>
          <w:rFonts w:hint="eastAsia"/>
          <w:sz w:val="21"/>
          <w:szCs w:val="21"/>
        </w:rPr>
        <w:t>um</w:t>
      </w:r>
      <w:r>
        <w:rPr>
          <w:sz w:val="21"/>
          <w:szCs w:val="21"/>
        </w:rPr>
        <w:t xml:space="preserve"> of the</w:t>
      </w:r>
      <w:r>
        <w:rPr>
          <w:rFonts w:hint="eastAsia"/>
          <w:sz w:val="21"/>
          <w:szCs w:val="21"/>
        </w:rPr>
        <w:t xml:space="preserve"> GGO:6% Cr</w:t>
      </w:r>
      <w:r>
        <w:rPr>
          <w:rFonts w:hint="eastAsia"/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</w:p>
    <w:bookmarkEnd w:id="5"/>
    <w:p w14:paraId="284A0566">
      <w:pPr>
        <w:ind w:firstLine="0" w:firstLineChars="0"/>
        <w:jc w:val="center"/>
      </w:pPr>
    </w:p>
    <w:p w14:paraId="3ABDEB34">
      <w:pPr>
        <w:ind w:firstLine="0" w:firstLineChars="0"/>
        <w:jc w:val="center"/>
      </w:pPr>
      <w:r>
        <w:drawing>
          <wp:inline distT="0" distB="0" distL="0" distR="0">
            <wp:extent cx="4319905" cy="1868805"/>
            <wp:effectExtent l="0" t="0" r="4445" b="0"/>
            <wp:docPr id="1608348020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48020" name="图片 2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F8DE">
      <w:pPr>
        <w:ind w:firstLine="0" w:firstLineChars="0"/>
        <w:rPr>
          <w:sz w:val="21"/>
          <w:szCs w:val="21"/>
        </w:rPr>
      </w:pPr>
      <w:bookmarkStart w:id="7" w:name="_Hlk210674513"/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3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a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XPS survey spectrum of the</w:t>
      </w:r>
      <w:r>
        <w:rPr>
          <w:rFonts w:hint="eastAsia"/>
          <w:sz w:val="21"/>
          <w:szCs w:val="21"/>
        </w:rPr>
        <w:t xml:space="preserve"> GGO:6% Cr</w:t>
      </w:r>
      <w:r>
        <w:rPr>
          <w:rFonts w:hint="eastAsia"/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b</w:t>
      </w:r>
      <w:r>
        <w:rPr>
          <w:rFonts w:hint="eastAsia"/>
          <w:sz w:val="21"/>
          <w:szCs w:val="21"/>
        </w:rPr>
        <w:t xml:space="preserve"> </w:t>
      </w:r>
      <w:bookmarkEnd w:id="6"/>
      <w:r>
        <w:rPr>
          <w:sz w:val="21"/>
          <w:szCs w:val="21"/>
        </w:rPr>
        <w:t>The high-resolution Cr 2p spectrum</w:t>
      </w:r>
      <w:r>
        <w:rPr>
          <w:rFonts w:hint="eastAsia"/>
          <w:sz w:val="21"/>
          <w:szCs w:val="21"/>
        </w:rPr>
        <w:t>.</w:t>
      </w:r>
    </w:p>
    <w:p w14:paraId="2AFC215C"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2879725" cy="2304415"/>
            <wp:effectExtent l="0" t="0" r="0" b="635"/>
            <wp:docPr id="10" name="图片 9" descr="gajasghj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gajasghj1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8F8E">
      <w:pPr>
        <w:ind w:firstLine="0" w:firstLineChars="0"/>
        <w:rPr>
          <w:sz w:val="21"/>
          <w:szCs w:val="21"/>
        </w:rPr>
      </w:pPr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4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PL QY spectr</w:t>
      </w:r>
      <w:r>
        <w:rPr>
          <w:rFonts w:hint="eastAsia"/>
          <w:sz w:val="21"/>
          <w:szCs w:val="21"/>
        </w:rPr>
        <w:t>um</w:t>
      </w:r>
      <w:r>
        <w:rPr>
          <w:sz w:val="21"/>
          <w:szCs w:val="21"/>
        </w:rPr>
        <w:t xml:space="preserve"> of </w:t>
      </w:r>
      <w:r>
        <w:rPr>
          <w:rFonts w:hint="eastAsia"/>
          <w:sz w:val="21"/>
          <w:szCs w:val="21"/>
        </w:rPr>
        <w:t>G</w:t>
      </w:r>
      <w:r>
        <w:rPr>
          <w:sz w:val="21"/>
          <w:szCs w:val="21"/>
        </w:rPr>
        <w:t>GO:</w:t>
      </w:r>
      <w:r>
        <w:rPr>
          <w:rFonts w:hint="eastAsia"/>
          <w:sz w:val="21"/>
          <w:szCs w:val="21"/>
        </w:rPr>
        <w:t xml:space="preserve">6% </w:t>
      </w:r>
      <w:r>
        <w:rPr>
          <w:sz w:val="21"/>
          <w:szCs w:val="21"/>
        </w:rPr>
        <w:t>Cr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</w:p>
    <w:bookmarkEnd w:id="7"/>
    <w:p w14:paraId="68C7F8D9">
      <w:pPr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drawing>
          <wp:inline distT="0" distB="0" distL="114300" distR="114300">
            <wp:extent cx="4319905" cy="1871345"/>
            <wp:effectExtent l="0" t="0" r="4445" b="0"/>
            <wp:docPr id="1" name="图片 1" descr="zut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utuS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7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9ADC">
      <w:pPr>
        <w:ind w:firstLine="0" w:firstLineChars="0"/>
        <w:rPr>
          <w:sz w:val="21"/>
          <w:szCs w:val="21"/>
        </w:rPr>
      </w:pPr>
      <w:bookmarkStart w:id="8" w:name="OLE_LINK23"/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5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a, b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Temperature-dependent PL spectra of GGO:</w:t>
      </w:r>
      <w:r>
        <w:rPr>
          <w:rFonts w:hint="eastAsia"/>
          <w:sz w:val="21"/>
          <w:szCs w:val="21"/>
        </w:rPr>
        <w:t>0.1</w:t>
      </w:r>
      <w:r>
        <w:rPr>
          <w:sz w:val="21"/>
          <w:szCs w:val="21"/>
        </w:rPr>
        <w:t>% Cr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and </w:t>
      </w:r>
      <w:r>
        <w:rPr>
          <w:sz w:val="21"/>
          <w:szCs w:val="21"/>
        </w:rPr>
        <w:t>GGO:6% Cr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at </w:t>
      </w:r>
      <w:r>
        <w:rPr>
          <w:sz w:val="21"/>
          <w:szCs w:val="21"/>
        </w:rPr>
        <w:t>10 K – 300 K</w:t>
      </w:r>
      <w:r>
        <w:rPr>
          <w:rFonts w:hint="eastAsia"/>
          <w:sz w:val="21"/>
          <w:szCs w:val="21"/>
        </w:rPr>
        <w:t>, respectively.</w:t>
      </w:r>
    </w:p>
    <w:bookmarkEnd w:id="8"/>
    <w:p w14:paraId="2B1BD7B2">
      <w:pPr>
        <w:adjustRightInd/>
        <w:snapToGrid/>
        <w:spacing w:line="240" w:lineRule="auto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319905" cy="1908175"/>
            <wp:effectExtent l="0" t="0" r="4445" b="0"/>
            <wp:docPr id="8430069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0690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7F1C">
      <w:pPr>
        <w:ind w:firstLine="0" w:firstLineChars="0"/>
        <w:rPr>
          <w:sz w:val="21"/>
          <w:szCs w:val="21"/>
        </w:rPr>
      </w:pPr>
      <w:r>
        <w:rPr>
          <w:b/>
          <w:bCs/>
          <w:sz w:val="21"/>
          <w:szCs w:val="21"/>
        </w:rPr>
        <w:t>Fig. S</w:t>
      </w:r>
      <w:r>
        <w:rPr>
          <w:rFonts w:hint="eastAsia"/>
          <w:b/>
          <w:bCs/>
          <w:sz w:val="21"/>
          <w:szCs w:val="21"/>
        </w:rPr>
        <w:t>6</w:t>
      </w:r>
      <w:r>
        <w:rPr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a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FT-EXAFS fitting of </w:t>
      </w:r>
      <w:r>
        <w:rPr>
          <w:rFonts w:hint="eastAsia"/>
          <w:sz w:val="21"/>
          <w:szCs w:val="21"/>
        </w:rPr>
        <w:t>Cr</w:t>
      </w:r>
      <w:r>
        <w:rPr>
          <w:sz w:val="21"/>
          <w:szCs w:val="21"/>
        </w:rPr>
        <w:t xml:space="preserve"> for the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Ga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Ge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13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:6% Cr</w:t>
      </w:r>
      <w:r>
        <w:rPr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3+</w:t>
      </w:r>
      <w:r>
        <w:rPr>
          <w:sz w:val="21"/>
          <w:szCs w:val="21"/>
        </w:rPr>
        <w:t xml:space="preserve"> at </w:t>
      </w:r>
      <w:r>
        <w:rPr>
          <w:rFonts w:hint="eastAsia"/>
          <w:sz w:val="21"/>
          <w:szCs w:val="21"/>
        </w:rPr>
        <w:t>k</w:t>
      </w:r>
      <w:r>
        <w:rPr>
          <w:sz w:val="21"/>
          <w:szCs w:val="21"/>
        </w:rPr>
        <w:t xml:space="preserve"> space.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b/>
          <w:bCs/>
          <w:sz w:val="21"/>
          <w:szCs w:val="21"/>
        </w:rPr>
        <w:t>b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R-space EXAFS spectra at </w:t>
      </w:r>
      <w:r>
        <w:rPr>
          <w:rFonts w:hint="eastAsia"/>
          <w:sz w:val="21"/>
          <w:szCs w:val="21"/>
        </w:rPr>
        <w:t>Cr</w:t>
      </w:r>
      <w:r>
        <w:rPr>
          <w:sz w:val="21"/>
          <w:szCs w:val="21"/>
        </w:rPr>
        <w:t xml:space="preserve"> K-edge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of 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Ga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Ge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13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:6% Cr</w:t>
      </w:r>
      <w:r>
        <w:rPr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3+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</w:t>
      </w:r>
    </w:p>
    <w:p w14:paraId="20CF3EE6">
      <w:pPr>
        <w:ind w:firstLine="420" w:firstLineChars="200"/>
        <w:rPr>
          <w:sz w:val="21"/>
          <w:szCs w:val="21"/>
        </w:rPr>
      </w:pPr>
      <w:bookmarkStart w:id="9" w:name="_Hlk214462493"/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crystal field</w:t>
      </w:r>
      <w:r>
        <w:rPr>
          <w:sz w:val="21"/>
          <w:szCs w:val="21"/>
        </w:rPr>
        <w:t xml:space="preserve"> strength </w:t>
      </w:r>
      <w:r>
        <w:rPr>
          <w:i/>
          <w:iCs/>
          <w:sz w:val="21"/>
          <w:szCs w:val="21"/>
        </w:rPr>
        <w:t>Dq</w:t>
      </w:r>
      <w:r>
        <w:rPr>
          <w:sz w:val="21"/>
          <w:szCs w:val="21"/>
        </w:rPr>
        <w:t>/</w:t>
      </w:r>
      <w:r>
        <w:rPr>
          <w:i/>
          <w:iCs/>
          <w:sz w:val="21"/>
          <w:szCs w:val="21"/>
        </w:rPr>
        <w:t>B</w:t>
      </w:r>
      <w:r>
        <w:rPr>
          <w:sz w:val="21"/>
          <w:szCs w:val="21"/>
        </w:rPr>
        <w:t xml:space="preserve"> of Cr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 xml:space="preserve"> ions in octahedral coordination can be obtained by the following equation </w:t>
      </w:r>
      <w:r>
        <w:rPr>
          <w:color w:val="0070C0"/>
          <w:sz w:val="21"/>
          <w:szCs w:val="21"/>
          <w:vertAlign w:val="superscript"/>
        </w:rPr>
        <w:t>1, 2</w:t>
      </w:r>
      <w:r>
        <w:rPr>
          <w:sz w:val="21"/>
          <w:szCs w:val="21"/>
        </w:rPr>
        <w:t>:</w:t>
      </w:r>
    </w:p>
    <w:p w14:paraId="49ACBC58">
      <w:pPr>
        <w:ind w:firstLine="0" w:firstLineChars="0"/>
        <w:jc w:val="right"/>
        <w:rPr>
          <w:rFonts w:cs="Times New Roman"/>
          <w:sz w:val="21"/>
          <w:szCs w:val="21"/>
        </w:rPr>
      </w:pPr>
      <m:oMathPara>
        <m:oMathParaPr>
          <m:jc m:val="right"/>
        </m:oMathParaPr>
        <m:oMath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10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×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Dq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=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ascii="Cambria Math" w:cs="Times New Roman"/>
                  <w:i/>
                  <w:iCs/>
                  <w:sz w:val="21"/>
                  <w:szCs w:val="21"/>
                </w:rPr>
                <m:t>A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     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    (1)</m:t>
          </m:r>
        </m:oMath>
      </m:oMathPara>
    </w:p>
    <w:p w14:paraId="02C25E0E">
      <w:pPr>
        <w:ind w:firstLine="0" w:firstLineChars="0"/>
        <w:jc w:val="right"/>
        <w:rPr>
          <w:rFonts w:cs="Times New Roman"/>
          <w:sz w:val="21"/>
          <w:szCs w:val="21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Dq</m:t>
              </m:r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num>
            <m:den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B</m:t>
              </m:r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den>
          </m:f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fPr>
            <m:num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</w:rPr>
                <m:t>15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  <w:sz w:val="21"/>
                          <w:szCs w:val="21"/>
                        </w:rPr>
                        <m:t>∆E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num>
                    <m:den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  <w:sz w:val="21"/>
                          <w:szCs w:val="21"/>
                        </w:rPr>
                        <m:t>Dq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den>
                  </m:f>
                  <m:r>
                    <m:rPr>
                      <m:nor/>
                      <m:sty m:val="p"/>
                    </m:rPr>
                    <w:rPr>
                      <w:rFonts w:cs="Times New Roman"/>
                      <w:b w:val="0"/>
                      <w:i w:val="0"/>
                      <w:sz w:val="21"/>
                      <w:szCs w:val="21"/>
                    </w:rPr>
                    <m:t>-8</m:t>
                  </m:r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e>
              </m:d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  <w:sz w:val="21"/>
                              <w:szCs w:val="21"/>
                            </w:rPr>
                            <m:t>∆E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  <w:szCs w:val="21"/>
                            </w:rPr>
                          </m:ctrlP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  <w:sz w:val="21"/>
                              <w:szCs w:val="21"/>
                            </w:rPr>
                            <m:t>Dq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cs="Times New Roman"/>
                      <w:b w:val="0"/>
                      <w:i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sup>
              </m:sSup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</w:rPr>
                <m:t>-10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  <w:sz w:val="21"/>
                          <w:szCs w:val="21"/>
                        </w:rPr>
                        <m:t>∆E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num>
                    <m:den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  <w:sz w:val="21"/>
                          <w:szCs w:val="21"/>
                        </w:rPr>
                        <m:t>Dq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1"/>
                          <w:szCs w:val="21"/>
                        </w:rPr>
                      </m:ctrlP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1"/>
                      <w:szCs w:val="21"/>
                    </w:rPr>
                  </m:ctrlPr>
                </m:e>
              </m:d>
              <m:ctrlPr>
                <w:rPr>
                  <w:rFonts w:ascii="Cambria Math" w:hAnsi="Cambria Math" w:cs="Times New Roman"/>
                  <w:i/>
                  <w:sz w:val="21"/>
                  <w:szCs w:val="21"/>
                </w:rPr>
              </m:ctrlPr>
            </m:den>
          </m:f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         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    (2)</m:t>
          </m:r>
        </m:oMath>
      </m:oMathPara>
    </w:p>
    <w:p w14:paraId="759EE9A4">
      <w:pPr>
        <w:ind w:firstLine="0" w:firstLineChars="0"/>
        <w:jc w:val="right"/>
        <w:rPr>
          <w:rFonts w:cs="Times New Roman"/>
          <w:sz w:val="21"/>
          <w:szCs w:val="21"/>
        </w:rPr>
      </w:pPr>
      <m:oMathPara>
        <m:oMathParaPr>
          <m:jc m:val="right"/>
        </m:oMathParaPr>
        <m:oMath>
          <m:r>
            <m:rPr>
              <m:nor/>
              <m:sty m:val="p"/>
            </m:rPr>
            <w:rPr>
              <w:rFonts w:ascii="Cambria Math" w:hAnsi="Cambria Math" w:cs="Times New Roman"/>
              <w:b w:val="0"/>
              <w:i w:val="0"/>
              <w:sz w:val="21"/>
              <w:szCs w:val="21"/>
            </w:rPr>
            <m:t>∆</m:t>
          </m:r>
          <m:r>
            <m:rPr>
              <m:nor/>
            </m:rPr>
            <w:rPr>
              <w:rFonts w:ascii="Cambria Math" w:cs="Times New Roman"/>
              <w:i/>
              <w:iCs/>
              <w:sz w:val="21"/>
              <w:szCs w:val="21"/>
            </w:rPr>
            <m:t>E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=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ascii="Cambria Math" w:cs="Times New Roman"/>
                  <w:i/>
                  <w:iCs/>
                  <w:sz w:val="21"/>
                  <w:szCs w:val="21"/>
                </w:rPr>
                <m:t>A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1"/>
              <w:szCs w:val="21"/>
            </w:rPr>
            <m:t xml:space="preserve">−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ascii="Cambria Math" w:cs="Times New Roman"/>
                  <w:i/>
                  <w:iCs/>
                  <w:sz w:val="21"/>
                  <w:szCs w:val="21"/>
                </w:rPr>
                <m:t>A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       (3)</m:t>
          </m:r>
        </m:oMath>
      </m:oMathPara>
    </w:p>
    <w:p w14:paraId="6C763F60">
      <w:pPr>
        <w:ind w:firstLine="420" w:firstLineChars="200"/>
        <w:rPr>
          <w:sz w:val="21"/>
          <w:szCs w:val="21"/>
        </w:rPr>
      </w:pPr>
      <w:r>
        <w:rPr>
          <w:rFonts w:cs="Times New Roman"/>
          <w:sz w:val="21"/>
          <w:szCs w:val="21"/>
        </w:rPr>
        <w:t xml:space="preserve">Where </w:t>
      </w:r>
      <w:r>
        <w:rPr>
          <w:rFonts w:cs="Times New Roman"/>
          <w:i/>
          <w:iCs/>
          <w:sz w:val="21"/>
          <w:szCs w:val="21"/>
        </w:rPr>
        <w:t>Dq</w:t>
      </w:r>
      <w:r>
        <w:rPr>
          <w:rFonts w:cs="Times New Roman"/>
          <w:sz w:val="21"/>
          <w:szCs w:val="21"/>
        </w:rPr>
        <w:t xml:space="preserve"> is the parameter describing the crystal field strength, </w:t>
      </w:r>
      <w:r>
        <w:rPr>
          <w:rFonts w:cs="Times New Roman"/>
          <w:i/>
          <w:iCs/>
          <w:sz w:val="21"/>
          <w:szCs w:val="21"/>
        </w:rPr>
        <w:t>B</w:t>
      </w:r>
      <w:r>
        <w:rPr>
          <w:rFonts w:cs="Times New Roman"/>
          <w:sz w:val="21"/>
          <w:szCs w:val="21"/>
        </w:rPr>
        <w:t xml:space="preserve"> is the Racah parameter, and </w:t>
      </w:r>
      <w:r>
        <w:rPr>
          <w:rFonts w:cs="Times New Roman"/>
          <w:i/>
          <w:iCs/>
          <w:sz w:val="21"/>
          <w:szCs w:val="21"/>
        </w:rPr>
        <w:t>E</w:t>
      </w:r>
      <w:r>
        <w:rPr>
          <w:rFonts w:cs="Times New Roman"/>
          <w:sz w:val="21"/>
          <w:szCs w:val="21"/>
        </w:rPr>
        <w:t xml:space="preserve"> represents the energy of the transition between the two energy levels, which can be obtained from the excitation spectrum data. According to the experimental data, the energies of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T</w:t>
      </w:r>
      <w:r>
        <w:rPr>
          <w:rFonts w:cs="Times New Roman"/>
          <w:sz w:val="21"/>
          <w:szCs w:val="21"/>
          <w:vertAlign w:val="subscript"/>
        </w:rPr>
        <w:t>1</w:t>
      </w:r>
      <w:r>
        <w:rPr>
          <w:rFonts w:cs="Times New Roman"/>
          <w:sz w:val="21"/>
          <w:szCs w:val="21"/>
        </w:rPr>
        <w:t xml:space="preserve"> (433 nm, 23142 cm</w:t>
      </w:r>
      <w:r>
        <w:rPr>
          <w:rFonts w:cs="Times New Roman"/>
          <w:sz w:val="21"/>
          <w:szCs w:val="21"/>
          <w:vertAlign w:val="superscript"/>
        </w:rPr>
        <w:t>-1</w:t>
      </w:r>
      <w:r>
        <w:rPr>
          <w:rFonts w:cs="Times New Roman"/>
          <w:sz w:val="21"/>
          <w:szCs w:val="21"/>
        </w:rPr>
        <w:t xml:space="preserve">) and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T</w:t>
      </w:r>
      <w:r>
        <w:rPr>
          <w:rFonts w:cs="Times New Roman"/>
          <w:sz w:val="21"/>
          <w:szCs w:val="21"/>
          <w:vertAlign w:val="subscript"/>
        </w:rPr>
        <w:t>2</w:t>
      </w:r>
      <w:r>
        <w:rPr>
          <w:rFonts w:cs="Times New Roman"/>
          <w:sz w:val="21"/>
          <w:szCs w:val="21"/>
        </w:rPr>
        <w:t xml:space="preserve"> (594 nm, 16836 cm</w:t>
      </w:r>
      <w:r>
        <w:rPr>
          <w:rFonts w:cs="Times New Roman"/>
          <w:sz w:val="21"/>
          <w:szCs w:val="21"/>
          <w:vertAlign w:val="superscript"/>
        </w:rPr>
        <w:t>-1</w:t>
      </w:r>
      <w:r>
        <w:rPr>
          <w:rFonts w:cs="Times New Roman"/>
          <w:sz w:val="21"/>
          <w:szCs w:val="21"/>
        </w:rPr>
        <w:t>) states of Cr</w:t>
      </w:r>
      <w:r>
        <w:rPr>
          <w:rFonts w:cs="Times New Roman"/>
          <w:sz w:val="21"/>
          <w:szCs w:val="21"/>
          <w:vertAlign w:val="superscript"/>
        </w:rPr>
        <w:t>3+</w:t>
      </w:r>
      <w:r>
        <w:rPr>
          <w:rFonts w:cs="Times New Roman"/>
          <w:sz w:val="21"/>
          <w:szCs w:val="21"/>
        </w:rPr>
        <w:t xml:space="preserve"> were determined. Substitution into the above expression yielded a </w:t>
      </w:r>
      <w:r>
        <w:rPr>
          <w:rFonts w:cs="Times New Roman"/>
          <w:i/>
          <w:iCs/>
          <w:sz w:val="21"/>
          <w:szCs w:val="21"/>
        </w:rPr>
        <w:t>Dq</w:t>
      </w:r>
      <w:r>
        <w:rPr>
          <w:rFonts w:cs="Times New Roman"/>
          <w:sz w:val="21"/>
          <w:szCs w:val="21"/>
        </w:rPr>
        <w:t>/</w:t>
      </w:r>
      <w:r>
        <w:rPr>
          <w:rFonts w:cs="Times New Roman"/>
          <w:i/>
          <w:iCs/>
          <w:sz w:val="21"/>
          <w:szCs w:val="21"/>
        </w:rPr>
        <w:t>B</w:t>
      </w:r>
      <w:r>
        <w:rPr>
          <w:rFonts w:cs="Times New Roman"/>
          <w:sz w:val="21"/>
          <w:szCs w:val="21"/>
        </w:rPr>
        <w:t xml:space="preserve"> value of 2.74 for GGO:0.1%Cr</w:t>
      </w:r>
      <w:r>
        <w:rPr>
          <w:rFonts w:cs="Times New Roman"/>
          <w:sz w:val="21"/>
          <w:szCs w:val="21"/>
          <w:vertAlign w:val="superscript"/>
        </w:rPr>
        <w:t>3+</w:t>
      </w:r>
      <w:r>
        <w:rPr>
          <w:rFonts w:cs="Times New Roman"/>
          <w:sz w:val="21"/>
          <w:szCs w:val="21"/>
        </w:rPr>
        <w:t xml:space="preserve"> at 10 K, indicating a strong crystal field environment where the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T</w:t>
      </w:r>
      <w:r>
        <w:rPr>
          <w:rFonts w:cs="Times New Roman"/>
          <w:sz w:val="21"/>
          <w:szCs w:val="21"/>
          <w:vertAlign w:val="subscript"/>
        </w:rPr>
        <w:t>2</w:t>
      </w:r>
      <w:r>
        <w:rPr>
          <w:rFonts w:cs="Times New Roman"/>
          <w:sz w:val="21"/>
          <w:szCs w:val="21"/>
        </w:rPr>
        <w:t xml:space="preserve"> and </w:t>
      </w:r>
      <w:r>
        <w:rPr>
          <w:rFonts w:cs="Times New Roman"/>
          <w:sz w:val="21"/>
          <w:szCs w:val="21"/>
          <w:vertAlign w:val="superscript"/>
        </w:rPr>
        <w:t>2</w:t>
      </w:r>
      <w:r>
        <w:rPr>
          <w:rFonts w:cs="Times New Roman"/>
          <w:sz w:val="21"/>
          <w:szCs w:val="21"/>
        </w:rPr>
        <w:t xml:space="preserve">E energy levels lie close in energy. Therefore, the R-line emission and broadband emission can be observed simultaneously. </w:t>
      </w:r>
      <w:r>
        <w:rPr>
          <w:sz w:val="21"/>
          <w:szCs w:val="21"/>
        </w:rPr>
        <w:t>The Tanabe-Sugano (TS) diagram of Cr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 xml:space="preserve"> (3d</w:t>
      </w:r>
      <w:r>
        <w:rPr>
          <w:sz w:val="21"/>
          <w:szCs w:val="21"/>
          <w:vertAlign w:val="superscript"/>
        </w:rPr>
        <w:t>3</w:t>
      </w:r>
      <w:r>
        <w:rPr>
          <w:sz w:val="21"/>
          <w:szCs w:val="21"/>
        </w:rPr>
        <w:t xml:space="preserve">) ions in the </w:t>
      </w:r>
      <w:bookmarkStart w:id="10" w:name="_Hlk215157000"/>
      <w:r>
        <w:rPr>
          <w:sz w:val="21"/>
          <w:szCs w:val="21"/>
        </w:rPr>
        <w:t>octahedral</w:t>
      </w:r>
      <w:bookmarkEnd w:id="10"/>
      <w:r>
        <w:rPr>
          <w:sz w:val="21"/>
          <w:szCs w:val="21"/>
        </w:rPr>
        <w:t xml:space="preserve"> crystal field is given in Fig. </w:t>
      </w:r>
      <w:r>
        <w:rPr>
          <w:color w:val="0070C0"/>
          <w:sz w:val="21"/>
          <w:szCs w:val="21"/>
        </w:rPr>
        <w:t>5</w:t>
      </w:r>
      <w:r>
        <w:rPr>
          <w:sz w:val="21"/>
          <w:szCs w:val="21"/>
        </w:rPr>
        <w:t>b.</w:t>
      </w:r>
    </w:p>
    <w:p w14:paraId="0F6A2DF4">
      <w:pPr>
        <w:ind w:firstLine="420" w:firstLineChars="200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For the tetrahedral coordination, the T-S diagram of the 3d</w:t>
      </w:r>
      <w:r>
        <w:rPr>
          <w:rFonts w:cs="Times New Roman"/>
          <w:sz w:val="21"/>
          <w:szCs w:val="21"/>
          <w:vertAlign w:val="superscript"/>
        </w:rPr>
        <w:t>3</w:t>
      </w:r>
      <w:r>
        <w:rPr>
          <w:rFonts w:cs="Times New Roman"/>
          <w:sz w:val="21"/>
          <w:szCs w:val="21"/>
        </w:rPr>
        <w:t xml:space="preserve"> system is equivalent to that of the 3d</w:t>
      </w:r>
      <w:r>
        <w:rPr>
          <w:rFonts w:cs="Times New Roman"/>
          <w:sz w:val="21"/>
          <w:szCs w:val="21"/>
          <w:vertAlign w:val="superscript"/>
        </w:rPr>
        <w:t>7</w:t>
      </w:r>
      <w:r>
        <w:rPr>
          <w:rFonts w:cs="Times New Roman"/>
          <w:sz w:val="21"/>
          <w:szCs w:val="21"/>
        </w:rPr>
        <w:t xml:space="preserve"> system in an octahedral field (Fig. </w:t>
      </w:r>
      <w:r>
        <w:rPr>
          <w:rFonts w:cs="Times New Roman"/>
          <w:color w:val="0070C0"/>
          <w:sz w:val="21"/>
          <w:szCs w:val="21"/>
        </w:rPr>
        <w:t>5</w:t>
      </w:r>
      <w:r>
        <w:rPr>
          <w:rFonts w:cs="Times New Roman"/>
          <w:sz w:val="21"/>
          <w:szCs w:val="21"/>
        </w:rPr>
        <w:t xml:space="preserve">c). The </w:t>
      </w:r>
      <w:r>
        <w:rPr>
          <w:rFonts w:cs="Times New Roman"/>
          <w:i/>
          <w:iCs/>
          <w:sz w:val="21"/>
          <w:szCs w:val="21"/>
        </w:rPr>
        <w:t>Dq</w:t>
      </w:r>
      <w:r>
        <w:rPr>
          <w:rFonts w:cs="Times New Roman"/>
          <w:sz w:val="21"/>
          <w:szCs w:val="21"/>
        </w:rPr>
        <w:t>/</w:t>
      </w:r>
      <w:r>
        <w:rPr>
          <w:rFonts w:cs="Times New Roman"/>
          <w:i/>
          <w:iCs/>
          <w:sz w:val="21"/>
          <w:szCs w:val="21"/>
        </w:rPr>
        <w:t>B</w:t>
      </w:r>
      <w:r>
        <w:rPr>
          <w:rFonts w:cs="Times New Roman"/>
          <w:sz w:val="21"/>
          <w:szCs w:val="21"/>
        </w:rPr>
        <w:t xml:space="preserve"> value of Cr</w:t>
      </w:r>
      <w:r>
        <w:rPr>
          <w:rFonts w:cs="Times New Roman"/>
          <w:sz w:val="21"/>
          <w:szCs w:val="21"/>
          <w:vertAlign w:val="superscript"/>
        </w:rPr>
        <w:t>3+</w:t>
      </w:r>
      <w:r>
        <w:rPr>
          <w:rFonts w:cs="Times New Roman"/>
          <w:sz w:val="21"/>
          <w:szCs w:val="21"/>
        </w:rPr>
        <w:t xml:space="preserve"> ions in tetrahedral environment was evaluated using the following expressions (4) – (5) </w:t>
      </w:r>
      <w:r>
        <w:rPr>
          <w:color w:val="0070C0"/>
          <w:sz w:val="21"/>
          <w:szCs w:val="21"/>
          <w:vertAlign w:val="superscript"/>
        </w:rPr>
        <w:t>3</w:t>
      </w:r>
      <w:r>
        <w:rPr>
          <w:rFonts w:cs="Times New Roman"/>
          <w:sz w:val="21"/>
          <w:szCs w:val="21"/>
        </w:rPr>
        <w:t>:</w:t>
      </w:r>
    </w:p>
    <w:p w14:paraId="7771A8A7">
      <w:pPr>
        <w:ind w:firstLine="0" w:firstLineChars="0"/>
        <w:jc w:val="right"/>
        <w:rPr>
          <w:rFonts w:cs="Times New Roman"/>
          <w:sz w:val="21"/>
          <w:szCs w:val="21"/>
        </w:rPr>
      </w:pPr>
      <m:oMathPara>
        <m:oMathParaPr>
          <m:jc m:val="right"/>
        </m:oMathParaPr>
        <m:oMath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15</m:t>
          </m:r>
          <m:r>
            <m:rPr>
              <m:nor/>
            </m:rPr>
            <w:rPr>
              <w:rFonts w:ascii="Cambria Math" w:cs="Times New Roman"/>
              <w:i/>
              <w:iCs/>
              <w:sz w:val="21"/>
              <w:szCs w:val="21"/>
            </w:rPr>
            <m:t>B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=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(P)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+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A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1"/>
              <w:szCs w:val="21"/>
            </w:rPr>
            <m:t xml:space="preserve">− </m:t>
          </m:r>
          <m:r>
            <m:rPr/>
            <w:rPr>
              <w:rFonts w:ascii="Cambria Math" w:cs="Times New Roman"/>
              <w:sz w:val="21"/>
              <w:szCs w:val="21"/>
            </w:rPr>
            <m:t>3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ascii="Cambria Math"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        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(4)</m:t>
          </m:r>
        </m:oMath>
      </m:oMathPara>
    </w:p>
    <w:p w14:paraId="5E6005A7">
      <w:pPr>
        <w:ind w:firstLine="0" w:firstLineChars="0"/>
        <w:jc w:val="right"/>
        <w:rPr>
          <w:rFonts w:cs="Times New Roman"/>
          <w:sz w:val="21"/>
          <w:szCs w:val="21"/>
        </w:rPr>
      </w:pPr>
      <m:oMathPara>
        <m:oMathParaPr>
          <m:jc m:val="right"/>
        </m:oMathParaPr>
        <m:oMath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10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Dq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>=</m:t>
          </m:r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A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1"/>
              <w:szCs w:val="21"/>
            </w:rPr>
            <m:t xml:space="preserve">− </m:t>
          </m:r>
          <m:r>
            <m:rPr>
              <m:nor/>
            </m:rPr>
            <w:rPr>
              <w:rFonts w:cs="Times New Roman"/>
              <w:i/>
              <w:iCs/>
              <w:sz w:val="21"/>
              <w:szCs w:val="21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dPr>
            <m:e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1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r>
                <m:rPr>
                  <m:nor/>
                  <m:sty m:val="p"/>
                </m:rPr>
                <w:rPr>
                  <w:rFonts w:hint="eastAsia" w:ascii="Cambria Math" w:hAnsi="Cambria Math" w:cs="Times New Roman"/>
                  <w:b w:val="0"/>
                  <w:i w:val="0"/>
                  <w:sz w:val="21"/>
                  <w:szCs w:val="21"/>
                </w:rPr>
                <m:t>→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perscript"/>
                </w:rPr>
                <m:t>4</m:t>
              </m:r>
              <m:r>
                <m:rPr>
                  <m:nor/>
                </m:rPr>
                <w:rPr>
                  <w:rFonts w:ascii="Cambria Math" w:cs="Times New Roman"/>
                  <w:i/>
                  <w:iCs/>
                  <w:sz w:val="21"/>
                  <w:szCs w:val="21"/>
                </w:rPr>
                <m:t>T</m:t>
              </m:r>
              <m:r>
                <m:rPr>
                  <m:nor/>
                  <m:sty m:val="p"/>
                </m:rPr>
                <w:rPr>
                  <w:rFonts w:cs="Times New Roman"/>
                  <w:b w:val="0"/>
                  <w:i w:val="0"/>
                  <w:sz w:val="21"/>
                  <w:szCs w:val="21"/>
                  <w:vertAlign w:val="subscript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cs="Times New Roman"/>
                  <w:b w:val="0"/>
                  <w:i w:val="0"/>
                  <w:sz w:val="21"/>
                  <w:szCs w:val="21"/>
                </w:rPr>
                <m:t>(F)</m:t>
              </m:r>
              <m:ctrlPr>
                <w:rPr>
                  <w:rFonts w:ascii="Cambria Math" w:hAnsi="Cambria Math" w:cs="Times New Roman"/>
                  <w:i/>
                  <w:iCs/>
                  <w:sz w:val="21"/>
                  <w:szCs w:val="21"/>
                </w:rPr>
              </m:ctrlPr>
            </m:e>
          </m:d>
          <m:r>
            <m:rPr>
              <m:nor/>
              <m:sty m:val="p"/>
            </m:rPr>
            <w:rPr>
              <w:rFonts w:ascii="Cambria Math" w:cs="Times New Roman"/>
              <w:b w:val="0"/>
              <w:i w:val="0"/>
              <w:sz w:val="21"/>
              <w:szCs w:val="21"/>
            </w:rPr>
            <m:t xml:space="preserve">                                    </m:t>
          </m:r>
          <m:r>
            <m:rPr>
              <m:nor/>
              <m:sty m:val="p"/>
            </m:rPr>
            <w:rPr>
              <w:rFonts w:cs="Times New Roman"/>
              <w:b w:val="0"/>
              <w:i w:val="0"/>
              <w:sz w:val="21"/>
              <w:szCs w:val="21"/>
            </w:rPr>
            <m:t xml:space="preserve">    (5)</m:t>
          </m:r>
        </m:oMath>
      </m:oMathPara>
    </w:p>
    <w:p w14:paraId="24C5C298">
      <w:pPr>
        <w:ind w:firstLine="420" w:firstLineChars="200"/>
        <w:rPr>
          <w:rFonts w:cs="Times New Roman"/>
          <w:color w:val="EE0000"/>
          <w:sz w:val="21"/>
          <w:szCs w:val="21"/>
        </w:rPr>
      </w:pPr>
      <w:r>
        <w:rPr>
          <w:rFonts w:cs="Times New Roman"/>
          <w:sz w:val="21"/>
          <w:szCs w:val="21"/>
        </w:rPr>
        <w:t>According to the experimental data of the excitation spectra of GGO:0.1% Cr</w:t>
      </w:r>
      <w:r>
        <w:rPr>
          <w:rFonts w:cs="Times New Roman"/>
          <w:sz w:val="21"/>
          <w:szCs w:val="21"/>
          <w:vertAlign w:val="superscript"/>
        </w:rPr>
        <w:t>3+</w:t>
      </w:r>
      <w:r>
        <w:rPr>
          <w:rFonts w:cs="Times New Roman"/>
          <w:sz w:val="21"/>
          <w:szCs w:val="21"/>
        </w:rPr>
        <w:t xml:space="preserve"> at 850 nm monitored at 10 K, the energies of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T</w:t>
      </w:r>
      <w:r>
        <w:rPr>
          <w:rFonts w:cs="Times New Roman"/>
          <w:sz w:val="21"/>
          <w:szCs w:val="21"/>
          <w:vertAlign w:val="subscript"/>
        </w:rPr>
        <w:t>1</w:t>
      </w:r>
      <w:r>
        <w:rPr>
          <w:rFonts w:cs="Times New Roman"/>
          <w:sz w:val="21"/>
          <w:szCs w:val="21"/>
        </w:rPr>
        <w:t xml:space="preserve"> (P) (290 nm, 34441 cm</w:t>
      </w:r>
      <w:r>
        <w:rPr>
          <w:rFonts w:cs="Times New Roman"/>
          <w:sz w:val="21"/>
          <w:szCs w:val="21"/>
          <w:vertAlign w:val="superscript"/>
        </w:rPr>
        <w:t>-1</w:t>
      </w:r>
      <w:r>
        <w:rPr>
          <w:rFonts w:cs="Times New Roman"/>
          <w:sz w:val="21"/>
          <w:szCs w:val="21"/>
        </w:rPr>
        <w:t xml:space="preserve">),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A</w:t>
      </w:r>
      <w:r>
        <w:rPr>
          <w:rFonts w:cs="Times New Roman"/>
          <w:sz w:val="21"/>
          <w:szCs w:val="21"/>
          <w:vertAlign w:val="subscript"/>
        </w:rPr>
        <w:t>2</w:t>
      </w:r>
      <w:r>
        <w:rPr>
          <w:rFonts w:cs="Times New Roman"/>
          <w:sz w:val="21"/>
          <w:szCs w:val="21"/>
        </w:rPr>
        <w:t xml:space="preserve"> (F) (540 nm, 18532 cm</w:t>
      </w:r>
      <w:r>
        <w:rPr>
          <w:rFonts w:cs="Times New Roman"/>
          <w:sz w:val="21"/>
          <w:szCs w:val="21"/>
          <w:vertAlign w:val="superscript"/>
        </w:rPr>
        <w:t>-1</w:t>
      </w:r>
      <w:r>
        <w:rPr>
          <w:rFonts w:cs="Times New Roman"/>
          <w:sz w:val="21"/>
          <w:szCs w:val="21"/>
        </w:rPr>
        <w:t xml:space="preserve">) and </w:t>
      </w:r>
      <w:r>
        <w:rPr>
          <w:rFonts w:cs="Times New Roman"/>
          <w:sz w:val="21"/>
          <w:szCs w:val="21"/>
          <w:vertAlign w:val="superscript"/>
        </w:rPr>
        <w:t>4</w:t>
      </w:r>
      <w:r>
        <w:rPr>
          <w:rFonts w:cs="Times New Roman"/>
          <w:sz w:val="21"/>
          <w:szCs w:val="21"/>
        </w:rPr>
        <w:t>T</w:t>
      </w:r>
      <w:r>
        <w:rPr>
          <w:rFonts w:cs="Times New Roman"/>
          <w:sz w:val="21"/>
          <w:szCs w:val="21"/>
          <w:vertAlign w:val="subscript"/>
        </w:rPr>
        <w:t>2</w:t>
      </w:r>
      <w:r>
        <w:rPr>
          <w:rFonts w:cs="Times New Roman"/>
          <w:sz w:val="21"/>
          <w:szCs w:val="21"/>
        </w:rPr>
        <w:t xml:space="preserve"> (F) (658 nm, 15190 cm</w:t>
      </w:r>
      <w:r>
        <w:rPr>
          <w:rFonts w:cs="Times New Roman"/>
          <w:sz w:val="21"/>
          <w:szCs w:val="21"/>
          <w:vertAlign w:val="superscript"/>
        </w:rPr>
        <w:t>-1</w:t>
      </w:r>
      <w:r>
        <w:rPr>
          <w:rFonts w:cs="Times New Roman"/>
          <w:sz w:val="21"/>
          <w:szCs w:val="21"/>
        </w:rPr>
        <w:t>) levels were determined.</w:t>
      </w:r>
      <w:bookmarkEnd w:id="9"/>
    </w:p>
    <w:p w14:paraId="51C6FC69">
      <w:pPr>
        <w:adjustRightInd/>
        <w:snapToGrid/>
        <w:spacing w:line="240" w:lineRule="auto"/>
        <w:ind w:firstLine="0" w:firstLineChars="0"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59CE3504">
      <w:pPr>
        <w:spacing w:line="360" w:lineRule="auto"/>
        <w:ind w:firstLine="0" w:firstLineChars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Table </w:t>
      </w:r>
      <w:r>
        <w:rPr>
          <w:rFonts w:hint="eastAsia"/>
          <w:b/>
          <w:bCs/>
          <w:sz w:val="21"/>
          <w:szCs w:val="21"/>
        </w:rPr>
        <w:t>S</w:t>
      </w:r>
      <w:r>
        <w:rPr>
          <w:b/>
          <w:bCs/>
          <w:sz w:val="21"/>
          <w:szCs w:val="21"/>
        </w:rPr>
        <w:t>1.</w:t>
      </w:r>
      <w:r>
        <w:rPr>
          <w:sz w:val="21"/>
          <w:szCs w:val="21"/>
        </w:rPr>
        <w:t xml:space="preserve"> Structure Refinement Parameters of </w:t>
      </w:r>
      <w:r>
        <w:rPr>
          <w:rFonts w:hint="eastAsia"/>
          <w:sz w:val="21"/>
          <w:szCs w:val="21"/>
        </w:rPr>
        <w:t>G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Ge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  <w:vertAlign w:val="subscript"/>
        </w:rPr>
        <w:t>3</w:t>
      </w:r>
      <w:r>
        <w:rPr>
          <w:sz w:val="21"/>
          <w:szCs w:val="21"/>
        </w:rPr>
        <w:t xml:space="preserve"> and </w:t>
      </w:r>
      <w:r>
        <w:rPr>
          <w:rFonts w:hint="eastAsia"/>
          <w:sz w:val="21"/>
          <w:szCs w:val="21"/>
        </w:rPr>
        <w:t>G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Ge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  <w:vertAlign w:val="subscript"/>
        </w:rPr>
        <w:t>3</w:t>
      </w:r>
      <w:r>
        <w:rPr>
          <w:sz w:val="21"/>
          <w:szCs w:val="21"/>
        </w:rPr>
        <w:t>:</w:t>
      </w:r>
      <w:r>
        <w:rPr>
          <w:rFonts w:hint="eastAsia"/>
          <w:sz w:val="21"/>
          <w:szCs w:val="21"/>
        </w:rPr>
        <w:t>6</w:t>
      </w:r>
      <w:r>
        <w:rPr>
          <w:sz w:val="21"/>
          <w:szCs w:val="21"/>
        </w:rPr>
        <w:t>%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</w:p>
    <w:tbl>
      <w:tblPr>
        <w:tblStyle w:val="19"/>
        <w:tblW w:w="5000" w:type="pct"/>
        <w:jc w:val="center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1"/>
        <w:gridCol w:w="1601"/>
        <w:gridCol w:w="2382"/>
        <w:gridCol w:w="3101"/>
      </w:tblGrid>
      <w:tr w14:paraId="0313C117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85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6D4B15E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Phase</w:t>
            </w:r>
          </w:p>
        </w:tc>
        <w:tc>
          <w:tcPr>
            <w:tcW w:w="862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8A557F6">
            <w:pPr>
              <w:spacing w:line="240" w:lineRule="auto"/>
              <w:ind w:firstLine="211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283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A2C5906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Ge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3</w:t>
            </w:r>
          </w:p>
          <w:p w14:paraId="52602128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(Host)</w:t>
            </w:r>
          </w:p>
        </w:tc>
        <w:tc>
          <w:tcPr>
            <w:tcW w:w="167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CE4DD89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Ge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: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6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%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C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r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</w:tr>
      <w:tr w14:paraId="0EDB847C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tcBorders>
              <w:top w:val="single" w:color="auto" w:sz="8" w:space="0"/>
            </w:tcBorders>
            <w:vAlign w:val="center"/>
          </w:tcPr>
          <w:p w14:paraId="27E34D8C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Space Group</w:t>
            </w:r>
          </w:p>
        </w:tc>
        <w:tc>
          <w:tcPr>
            <w:tcW w:w="3815" w:type="pct"/>
            <w:gridSpan w:val="3"/>
            <w:tcBorders>
              <w:top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 w14:paraId="5622C48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P b a m</w:t>
            </w:r>
          </w:p>
        </w:tc>
      </w:tr>
      <w:tr w14:paraId="0918382A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restart"/>
            <w:vAlign w:val="center"/>
          </w:tcPr>
          <w:p w14:paraId="1676370E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Cell parameters</w:t>
            </w:r>
          </w:p>
        </w:tc>
        <w:tc>
          <w:tcPr>
            <w:tcW w:w="862" w:type="pct"/>
            <w:vAlign w:val="center"/>
          </w:tcPr>
          <w:p w14:paraId="502ADBC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a(Å)</w:t>
            </w:r>
          </w:p>
        </w:tc>
        <w:tc>
          <w:tcPr>
            <w:tcW w:w="1283" w:type="pct"/>
            <w:vAlign w:val="center"/>
          </w:tcPr>
          <w:p w14:paraId="173ECE1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7.878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72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70" w:type="pct"/>
            <w:vAlign w:val="center"/>
          </w:tcPr>
          <w:p w14:paraId="5F743B6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7.870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63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14:paraId="76175F95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012F50E5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0F3F060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b(Å)</w:t>
            </w:r>
          </w:p>
        </w:tc>
        <w:tc>
          <w:tcPr>
            <w:tcW w:w="1283" w:type="pct"/>
            <w:vAlign w:val="center"/>
          </w:tcPr>
          <w:p w14:paraId="7FD82F0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8.037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46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70" w:type="pct"/>
            <w:vAlign w:val="center"/>
          </w:tcPr>
          <w:p w14:paraId="239068F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8.029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46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14:paraId="7341C471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79BADC80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10AA00A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c(Å)</w:t>
            </w:r>
          </w:p>
        </w:tc>
        <w:tc>
          <w:tcPr>
            <w:tcW w:w="1283" w:type="pct"/>
            <w:vAlign w:val="center"/>
          </w:tcPr>
          <w:p w14:paraId="64E6EA2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3.024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65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70" w:type="pct"/>
            <w:vAlign w:val="center"/>
          </w:tcPr>
          <w:p w14:paraId="09B15620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3.020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36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14:paraId="30E8BAE8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3D1A1372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2C68C19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α(°)</w:t>
            </w:r>
          </w:p>
        </w:tc>
        <w:tc>
          <w:tcPr>
            <w:tcW w:w="1283" w:type="pct"/>
            <w:vAlign w:val="center"/>
          </w:tcPr>
          <w:p w14:paraId="49D6F0F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  <w:tc>
          <w:tcPr>
            <w:tcW w:w="1670" w:type="pct"/>
            <w:vAlign w:val="center"/>
          </w:tcPr>
          <w:p w14:paraId="55E7991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</w:tr>
      <w:tr w14:paraId="44BE6EE2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6B572EEB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0AAFE90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β(°)</w:t>
            </w:r>
          </w:p>
        </w:tc>
        <w:tc>
          <w:tcPr>
            <w:tcW w:w="1283" w:type="pct"/>
            <w:vAlign w:val="center"/>
          </w:tcPr>
          <w:p w14:paraId="198A9A1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  <w:tc>
          <w:tcPr>
            <w:tcW w:w="1670" w:type="pct"/>
            <w:vAlign w:val="center"/>
          </w:tcPr>
          <w:p w14:paraId="754720B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</w:tr>
      <w:tr w14:paraId="4ADBA56C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58B0B7AE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0E83776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γ(°)</w:t>
            </w:r>
          </w:p>
        </w:tc>
        <w:tc>
          <w:tcPr>
            <w:tcW w:w="1283" w:type="pct"/>
            <w:vAlign w:val="center"/>
          </w:tcPr>
          <w:p w14:paraId="6488D1E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  <w:tc>
          <w:tcPr>
            <w:tcW w:w="1670" w:type="pct"/>
            <w:vAlign w:val="center"/>
          </w:tcPr>
          <w:p w14:paraId="6FE8A3A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90</w:t>
            </w:r>
          </w:p>
        </w:tc>
      </w:tr>
      <w:tr w14:paraId="37040886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Align w:val="center"/>
          </w:tcPr>
          <w:p w14:paraId="6765F307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Volume-Å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862" w:type="pct"/>
            <w:vAlign w:val="center"/>
          </w:tcPr>
          <w:p w14:paraId="4D2948B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Unit</w:t>
            </w:r>
          </w:p>
        </w:tc>
        <w:tc>
          <w:tcPr>
            <w:tcW w:w="1283" w:type="pct"/>
            <w:vAlign w:val="center"/>
          </w:tcPr>
          <w:p w14:paraId="43D80B1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19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1.536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11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  <w:tc>
          <w:tcPr>
            <w:tcW w:w="1670" w:type="pct"/>
            <w:vAlign w:val="center"/>
          </w:tcPr>
          <w:p w14:paraId="522D82E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190.877</w:t>
            </w:r>
            <w:r>
              <w:rPr>
                <w:color w:val="000000"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90</w:t>
            </w:r>
            <w:r>
              <w:rPr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14:paraId="14C66302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restart"/>
            <w:vAlign w:val="center"/>
          </w:tcPr>
          <w:p w14:paraId="30C7DB64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R-factors</w:t>
            </w:r>
          </w:p>
        </w:tc>
        <w:tc>
          <w:tcPr>
            <w:tcW w:w="862" w:type="pct"/>
            <w:vAlign w:val="center"/>
          </w:tcPr>
          <w:p w14:paraId="7E38559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R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wp</w:t>
            </w:r>
          </w:p>
        </w:tc>
        <w:tc>
          <w:tcPr>
            <w:tcW w:w="1283" w:type="pct"/>
            <w:vAlign w:val="center"/>
          </w:tcPr>
          <w:p w14:paraId="52380F3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7.82</w:t>
            </w:r>
            <w:r>
              <w:rPr>
                <w:color w:val="000000"/>
                <w:kern w:val="0"/>
                <w:sz w:val="21"/>
                <w:szCs w:val="21"/>
              </w:rPr>
              <w:t>%</w:t>
            </w:r>
          </w:p>
        </w:tc>
        <w:tc>
          <w:tcPr>
            <w:tcW w:w="1670" w:type="pct"/>
            <w:vAlign w:val="center"/>
          </w:tcPr>
          <w:p w14:paraId="4BABB18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8.55</w:t>
            </w:r>
            <w:r>
              <w:rPr>
                <w:color w:val="000000"/>
                <w:kern w:val="0"/>
                <w:sz w:val="21"/>
                <w:szCs w:val="21"/>
              </w:rPr>
              <w:t>%</w:t>
            </w:r>
          </w:p>
        </w:tc>
      </w:tr>
      <w:tr w14:paraId="708076D3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19D10AD6">
            <w:pPr>
              <w:spacing w:line="240" w:lineRule="auto"/>
              <w:ind w:firstLine="211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039975A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R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p</w:t>
            </w:r>
          </w:p>
        </w:tc>
        <w:tc>
          <w:tcPr>
            <w:tcW w:w="1283" w:type="pct"/>
            <w:vAlign w:val="center"/>
          </w:tcPr>
          <w:p w14:paraId="3144680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5.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73</w:t>
            </w:r>
            <w:r>
              <w:rPr>
                <w:color w:val="000000"/>
                <w:kern w:val="0"/>
                <w:sz w:val="21"/>
                <w:szCs w:val="21"/>
              </w:rPr>
              <w:t>%</w:t>
            </w:r>
          </w:p>
        </w:tc>
        <w:tc>
          <w:tcPr>
            <w:tcW w:w="1670" w:type="pct"/>
            <w:vAlign w:val="center"/>
          </w:tcPr>
          <w:p w14:paraId="2858C4B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6.39</w:t>
            </w:r>
            <w:r>
              <w:rPr>
                <w:color w:val="000000"/>
                <w:kern w:val="0"/>
                <w:sz w:val="21"/>
                <w:szCs w:val="21"/>
              </w:rPr>
              <w:t>%</w:t>
            </w:r>
          </w:p>
        </w:tc>
      </w:tr>
      <w:tr w14:paraId="291D2DA0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pct"/>
            <w:vMerge w:val="continue"/>
            <w:vAlign w:val="center"/>
          </w:tcPr>
          <w:p w14:paraId="0B5B79A3">
            <w:pPr>
              <w:spacing w:line="240" w:lineRule="auto"/>
              <w:ind w:firstLine="211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862" w:type="pct"/>
            <w:vAlign w:val="center"/>
          </w:tcPr>
          <w:p w14:paraId="4F5614C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Gof</w:t>
            </w:r>
          </w:p>
        </w:tc>
        <w:tc>
          <w:tcPr>
            <w:tcW w:w="1283" w:type="pct"/>
            <w:vAlign w:val="center"/>
          </w:tcPr>
          <w:p w14:paraId="34687A8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1.81</w:t>
            </w:r>
          </w:p>
        </w:tc>
        <w:tc>
          <w:tcPr>
            <w:tcW w:w="1670" w:type="pct"/>
            <w:vAlign w:val="center"/>
          </w:tcPr>
          <w:p w14:paraId="27314B2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1.99</w:t>
            </w:r>
          </w:p>
        </w:tc>
      </w:tr>
    </w:tbl>
    <w:p w14:paraId="5F6C22C6">
      <w:pPr>
        <w:ind w:firstLine="0" w:firstLineChars="0"/>
        <w:rPr>
          <w:b/>
          <w:bCs/>
          <w:sz w:val="21"/>
          <w:szCs w:val="21"/>
        </w:rPr>
      </w:pPr>
    </w:p>
    <w:p w14:paraId="527EE2FD">
      <w:pPr>
        <w:adjustRightInd/>
        <w:snapToGrid/>
        <w:spacing w:line="240" w:lineRule="auto"/>
        <w:ind w:firstLine="0" w:firstLineChars="0"/>
        <w:jc w:val="lef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68D6F4AD">
      <w:pPr>
        <w:spacing w:line="360" w:lineRule="auto"/>
        <w:ind w:firstLine="0" w:firstLineChars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Table </w:t>
      </w:r>
      <w:r>
        <w:rPr>
          <w:rFonts w:hint="eastAsia"/>
          <w:b/>
          <w:bCs/>
          <w:sz w:val="21"/>
          <w:szCs w:val="21"/>
        </w:rPr>
        <w:t>S</w:t>
      </w:r>
      <w:r>
        <w:rPr>
          <w:b/>
          <w:bCs/>
          <w:sz w:val="21"/>
          <w:szCs w:val="21"/>
        </w:rPr>
        <w:t>2.</w:t>
      </w:r>
      <w:r>
        <w:rPr>
          <w:sz w:val="21"/>
          <w:szCs w:val="21"/>
        </w:rPr>
        <w:t xml:space="preserve"> Refined atom positions </w:t>
      </w:r>
      <w:r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 xml:space="preserve">nd occupancies of </w:t>
      </w:r>
      <w:r>
        <w:rPr>
          <w:rFonts w:hint="eastAsia"/>
          <w:sz w:val="21"/>
          <w:szCs w:val="21"/>
        </w:rPr>
        <w:t>G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Ge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  <w:vertAlign w:val="subscript"/>
        </w:rPr>
        <w:t>3</w:t>
      </w:r>
      <w:r>
        <w:rPr>
          <w:sz w:val="21"/>
          <w:szCs w:val="21"/>
        </w:rPr>
        <w:t xml:space="preserve"> and </w:t>
      </w:r>
      <w:r>
        <w:rPr>
          <w:rFonts w:hint="eastAsia"/>
          <w:sz w:val="21"/>
          <w:szCs w:val="21"/>
        </w:rPr>
        <w:t>G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  <w:vertAlign w:val="subscript"/>
        </w:rPr>
        <w:t>6</w:t>
      </w:r>
      <w:r>
        <w:rPr>
          <w:rFonts w:hint="eastAsia"/>
          <w:sz w:val="21"/>
          <w:szCs w:val="21"/>
        </w:rPr>
        <w:t>Ge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  <w:vertAlign w:val="subscript"/>
        </w:rPr>
        <w:t>3</w:t>
      </w:r>
      <w:r>
        <w:rPr>
          <w:sz w:val="21"/>
          <w:szCs w:val="21"/>
        </w:rPr>
        <w:t>:</w:t>
      </w:r>
      <w:r>
        <w:rPr>
          <w:rFonts w:hint="eastAsia"/>
          <w:sz w:val="21"/>
          <w:szCs w:val="21"/>
        </w:rPr>
        <w:t>6</w:t>
      </w:r>
      <w:r>
        <w:rPr>
          <w:sz w:val="21"/>
          <w:szCs w:val="21"/>
        </w:rPr>
        <w:t>%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</w:p>
    <w:tbl>
      <w:tblPr>
        <w:tblStyle w:val="19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978"/>
        <w:gridCol w:w="1158"/>
        <w:gridCol w:w="1154"/>
        <w:gridCol w:w="1154"/>
        <w:gridCol w:w="1335"/>
        <w:gridCol w:w="1189"/>
      </w:tblGrid>
      <w:tr w14:paraId="225D3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97578DA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Compounds</w:t>
            </w:r>
          </w:p>
        </w:tc>
        <w:tc>
          <w:tcPr>
            <w:tcW w:w="526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AA9FB2B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Atom</w:t>
            </w:r>
          </w:p>
        </w:tc>
        <w:tc>
          <w:tcPr>
            <w:tcW w:w="623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6156E65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x</w:t>
            </w:r>
          </w:p>
        </w:tc>
        <w:tc>
          <w:tcPr>
            <w:tcW w:w="62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F39075D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y</w:t>
            </w:r>
          </w:p>
        </w:tc>
        <w:tc>
          <w:tcPr>
            <w:tcW w:w="62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9DC3933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z</w:t>
            </w:r>
          </w:p>
        </w:tc>
        <w:tc>
          <w:tcPr>
            <w:tcW w:w="718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08B3F21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Fraction</w:t>
            </w:r>
          </w:p>
        </w:tc>
        <w:tc>
          <w:tcPr>
            <w:tcW w:w="639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901BA85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U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iso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 xml:space="preserve"> (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Å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)</w:t>
            </w:r>
          </w:p>
        </w:tc>
      </w:tr>
      <w:tr w14:paraId="43CB2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restart"/>
            <w:tcBorders>
              <w:top w:val="single" w:color="auto" w:sz="8" w:space="0"/>
            </w:tcBorders>
            <w:vAlign w:val="center"/>
          </w:tcPr>
          <w:p w14:paraId="6D4DDC45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a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Ge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 xml:space="preserve"> (h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ost)</w:t>
            </w:r>
          </w:p>
        </w:tc>
        <w:tc>
          <w:tcPr>
            <w:tcW w:w="526" w:type="pct"/>
            <w:tcBorders>
              <w:top w:val="single" w:color="auto" w:sz="8" w:space="0"/>
            </w:tcBorders>
            <w:vAlign w:val="center"/>
          </w:tcPr>
          <w:p w14:paraId="5F08255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</w:p>
        </w:tc>
        <w:tc>
          <w:tcPr>
            <w:tcW w:w="623" w:type="pct"/>
            <w:tcBorders>
              <w:top w:val="single" w:color="auto" w:sz="8" w:space="0"/>
            </w:tcBorders>
            <w:vAlign w:val="center"/>
          </w:tcPr>
          <w:p w14:paraId="568E935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621" w:type="pct"/>
            <w:tcBorders>
              <w:top w:val="single" w:color="auto" w:sz="8" w:space="0"/>
            </w:tcBorders>
            <w:vAlign w:val="center"/>
          </w:tcPr>
          <w:p w14:paraId="36B744A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0.000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(0)</w:t>
            </w:r>
          </w:p>
        </w:tc>
        <w:tc>
          <w:tcPr>
            <w:tcW w:w="621" w:type="pct"/>
            <w:tcBorders>
              <w:top w:val="single" w:color="auto" w:sz="8" w:space="0"/>
            </w:tcBorders>
            <w:vAlign w:val="center"/>
          </w:tcPr>
          <w:p w14:paraId="2FD2730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718" w:type="pct"/>
            <w:tcBorders>
              <w:top w:val="single" w:color="auto" w:sz="8" w:space="0"/>
            </w:tcBorders>
            <w:vAlign w:val="center"/>
          </w:tcPr>
          <w:p w14:paraId="379450C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1.00000</w:t>
            </w:r>
          </w:p>
        </w:tc>
        <w:tc>
          <w:tcPr>
            <w:tcW w:w="639" w:type="pct"/>
            <w:tcBorders>
              <w:top w:val="single" w:color="auto" w:sz="8" w:space="0"/>
            </w:tcBorders>
            <w:vAlign w:val="center"/>
          </w:tcPr>
          <w:p w14:paraId="4FECA03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01077</w:t>
            </w:r>
          </w:p>
        </w:tc>
      </w:tr>
      <w:tr w14:paraId="550F8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647178BF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7032217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T</w:t>
            </w:r>
          </w:p>
        </w:tc>
        <w:tc>
          <w:tcPr>
            <w:tcW w:w="623" w:type="pct"/>
            <w:vAlign w:val="center"/>
          </w:tcPr>
          <w:p w14:paraId="4E3B73A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149(8)</w:t>
            </w:r>
          </w:p>
        </w:tc>
        <w:tc>
          <w:tcPr>
            <w:tcW w:w="621" w:type="pct"/>
            <w:vAlign w:val="center"/>
          </w:tcPr>
          <w:p w14:paraId="59D1A7C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340(9)</w:t>
            </w:r>
          </w:p>
        </w:tc>
        <w:tc>
          <w:tcPr>
            <w:tcW w:w="621" w:type="pct"/>
            <w:vAlign w:val="center"/>
          </w:tcPr>
          <w:p w14:paraId="5B1DBD9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1EFFAE0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0.50000</w:t>
            </w:r>
          </w:p>
        </w:tc>
        <w:tc>
          <w:tcPr>
            <w:tcW w:w="639" w:type="pct"/>
            <w:vAlign w:val="center"/>
          </w:tcPr>
          <w:p w14:paraId="51C3869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1089</w:t>
            </w:r>
          </w:p>
        </w:tc>
      </w:tr>
      <w:tr w14:paraId="4FB17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510C5462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610E142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Ge</w:t>
            </w:r>
          </w:p>
        </w:tc>
        <w:tc>
          <w:tcPr>
            <w:tcW w:w="623" w:type="pct"/>
            <w:vAlign w:val="center"/>
          </w:tcPr>
          <w:p w14:paraId="74292E15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149(8)</w:t>
            </w:r>
          </w:p>
        </w:tc>
        <w:tc>
          <w:tcPr>
            <w:tcW w:w="621" w:type="pct"/>
            <w:vAlign w:val="center"/>
          </w:tcPr>
          <w:p w14:paraId="6AD9C1C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340(9)</w:t>
            </w:r>
          </w:p>
        </w:tc>
        <w:tc>
          <w:tcPr>
            <w:tcW w:w="621" w:type="pct"/>
            <w:vAlign w:val="center"/>
          </w:tcPr>
          <w:p w14:paraId="3EEAF92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5764561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34500</w:t>
            </w:r>
          </w:p>
        </w:tc>
        <w:tc>
          <w:tcPr>
            <w:tcW w:w="639" w:type="pct"/>
            <w:vAlign w:val="center"/>
          </w:tcPr>
          <w:p w14:paraId="3F4831F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1089</w:t>
            </w:r>
          </w:p>
        </w:tc>
      </w:tr>
      <w:tr w14:paraId="6521D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652D1953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0E31749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T*</w:t>
            </w:r>
          </w:p>
        </w:tc>
        <w:tc>
          <w:tcPr>
            <w:tcW w:w="623" w:type="pct"/>
            <w:vAlign w:val="center"/>
          </w:tcPr>
          <w:p w14:paraId="1A51E2B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267(6)</w:t>
            </w:r>
          </w:p>
        </w:tc>
        <w:tc>
          <w:tcPr>
            <w:tcW w:w="621" w:type="pct"/>
            <w:vAlign w:val="center"/>
          </w:tcPr>
          <w:p w14:paraId="5272C8D0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212(3)</w:t>
            </w:r>
          </w:p>
        </w:tc>
        <w:tc>
          <w:tcPr>
            <w:tcW w:w="621" w:type="pct"/>
            <w:vAlign w:val="center"/>
          </w:tcPr>
          <w:p w14:paraId="188EC0F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378D585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15500</w:t>
            </w:r>
          </w:p>
        </w:tc>
        <w:tc>
          <w:tcPr>
            <w:tcW w:w="639" w:type="pct"/>
            <w:vAlign w:val="center"/>
          </w:tcPr>
          <w:p w14:paraId="4482B335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1520</w:t>
            </w:r>
          </w:p>
        </w:tc>
      </w:tr>
      <w:tr w14:paraId="01A540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5EEFE418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340E57F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d</w:t>
            </w:r>
          </w:p>
        </w:tc>
        <w:tc>
          <w:tcPr>
            <w:tcW w:w="623" w:type="pct"/>
            <w:vAlign w:val="center"/>
          </w:tcPr>
          <w:p w14:paraId="25508F9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130(0)</w:t>
            </w:r>
          </w:p>
        </w:tc>
        <w:tc>
          <w:tcPr>
            <w:tcW w:w="621" w:type="pct"/>
            <w:vAlign w:val="center"/>
          </w:tcPr>
          <w:p w14:paraId="1EA27CC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216(3)</w:t>
            </w:r>
          </w:p>
        </w:tc>
        <w:tc>
          <w:tcPr>
            <w:tcW w:w="621" w:type="pct"/>
            <w:vAlign w:val="center"/>
          </w:tcPr>
          <w:p w14:paraId="5A9A036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718" w:type="pct"/>
            <w:vAlign w:val="center"/>
          </w:tcPr>
          <w:p w14:paraId="6182A00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1.00000</w:t>
            </w:r>
          </w:p>
        </w:tc>
        <w:tc>
          <w:tcPr>
            <w:tcW w:w="639" w:type="pct"/>
            <w:vAlign w:val="center"/>
          </w:tcPr>
          <w:p w14:paraId="6B42EDA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01773</w:t>
            </w:r>
          </w:p>
        </w:tc>
      </w:tr>
      <w:tr w14:paraId="770CC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3B96CE5F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2377ED5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ab</w:t>
            </w:r>
          </w:p>
        </w:tc>
        <w:tc>
          <w:tcPr>
            <w:tcW w:w="623" w:type="pct"/>
            <w:vAlign w:val="center"/>
          </w:tcPr>
          <w:p w14:paraId="4AD8742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364(5)</w:t>
            </w:r>
          </w:p>
        </w:tc>
        <w:tc>
          <w:tcPr>
            <w:tcW w:w="621" w:type="pct"/>
            <w:vAlign w:val="center"/>
          </w:tcPr>
          <w:p w14:paraId="6CECBE5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423(3)</w:t>
            </w:r>
          </w:p>
        </w:tc>
        <w:tc>
          <w:tcPr>
            <w:tcW w:w="621" w:type="pct"/>
            <w:vAlign w:val="center"/>
          </w:tcPr>
          <w:p w14:paraId="514E854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4C5B5925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1.00000</w:t>
            </w:r>
          </w:p>
        </w:tc>
        <w:tc>
          <w:tcPr>
            <w:tcW w:w="639" w:type="pct"/>
            <w:vAlign w:val="center"/>
          </w:tcPr>
          <w:p w14:paraId="6777B94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01520</w:t>
            </w:r>
          </w:p>
        </w:tc>
      </w:tr>
      <w:tr w14:paraId="37208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418196D4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23840C5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623" w:type="pct"/>
            <w:vAlign w:val="center"/>
          </w:tcPr>
          <w:p w14:paraId="1BDB6BA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621" w:type="pct"/>
            <w:vAlign w:val="center"/>
          </w:tcPr>
          <w:p w14:paraId="4BBEE3E0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621" w:type="pct"/>
            <w:vAlign w:val="center"/>
          </w:tcPr>
          <w:p w14:paraId="7538F74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2572E550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0.54000</w:t>
            </w:r>
          </w:p>
        </w:tc>
        <w:tc>
          <w:tcPr>
            <w:tcW w:w="639" w:type="pct"/>
            <w:vAlign w:val="center"/>
          </w:tcPr>
          <w:p w14:paraId="43D4006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03293</w:t>
            </w:r>
          </w:p>
        </w:tc>
      </w:tr>
      <w:tr w14:paraId="62A87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tcBorders>
              <w:bottom w:val="single" w:color="auto" w:sz="8" w:space="0"/>
            </w:tcBorders>
            <w:vAlign w:val="center"/>
          </w:tcPr>
          <w:p w14:paraId="75FBEF2D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tcBorders>
              <w:bottom w:val="single" w:color="auto" w:sz="8" w:space="0"/>
            </w:tcBorders>
            <w:vAlign w:val="center"/>
          </w:tcPr>
          <w:p w14:paraId="5D1386D5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c*</w:t>
            </w:r>
          </w:p>
        </w:tc>
        <w:tc>
          <w:tcPr>
            <w:tcW w:w="623" w:type="pct"/>
            <w:tcBorders>
              <w:bottom w:val="single" w:color="auto" w:sz="8" w:space="0"/>
            </w:tcBorders>
            <w:vAlign w:val="center"/>
          </w:tcPr>
          <w:p w14:paraId="5128926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441(0)</w:t>
            </w:r>
          </w:p>
        </w:tc>
        <w:tc>
          <w:tcPr>
            <w:tcW w:w="621" w:type="pct"/>
            <w:tcBorders>
              <w:bottom w:val="single" w:color="auto" w:sz="8" w:space="0"/>
            </w:tcBorders>
            <w:vAlign w:val="center"/>
          </w:tcPr>
          <w:p w14:paraId="1C84C738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049(0)</w:t>
            </w:r>
          </w:p>
        </w:tc>
        <w:tc>
          <w:tcPr>
            <w:tcW w:w="621" w:type="pct"/>
            <w:tcBorders>
              <w:bottom w:val="single" w:color="auto" w:sz="8" w:space="0"/>
            </w:tcBorders>
            <w:vAlign w:val="center"/>
          </w:tcPr>
          <w:p w14:paraId="2CDB6E5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tcBorders>
              <w:bottom w:val="single" w:color="auto" w:sz="8" w:space="0"/>
            </w:tcBorders>
            <w:vAlign w:val="center"/>
          </w:tcPr>
          <w:p w14:paraId="7925900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0.15000</w:t>
            </w:r>
          </w:p>
        </w:tc>
        <w:tc>
          <w:tcPr>
            <w:tcW w:w="639" w:type="pct"/>
            <w:tcBorders>
              <w:bottom w:val="single" w:color="auto" w:sz="8" w:space="0"/>
            </w:tcBorders>
            <w:vAlign w:val="center"/>
          </w:tcPr>
          <w:p w14:paraId="3113E0E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04179</w:t>
            </w:r>
          </w:p>
        </w:tc>
      </w:tr>
      <w:tr w14:paraId="3409F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restart"/>
            <w:tcBorders>
              <w:top w:val="single" w:color="auto" w:sz="8" w:space="0"/>
            </w:tcBorders>
            <w:vAlign w:val="center"/>
          </w:tcPr>
          <w:p w14:paraId="7436E8D6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a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Ge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1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: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6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%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>C</w:t>
            </w: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r</w:t>
            </w:r>
            <w:r>
              <w:rPr>
                <w:b/>
                <w:bCs/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526" w:type="pct"/>
            <w:tcBorders>
              <w:top w:val="single" w:color="auto" w:sz="8" w:space="0"/>
            </w:tcBorders>
            <w:vAlign w:val="center"/>
          </w:tcPr>
          <w:p w14:paraId="798F52E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</w:p>
        </w:tc>
        <w:tc>
          <w:tcPr>
            <w:tcW w:w="623" w:type="pct"/>
            <w:tcBorders>
              <w:top w:val="single" w:color="auto" w:sz="8" w:space="0"/>
            </w:tcBorders>
            <w:vAlign w:val="center"/>
          </w:tcPr>
          <w:p w14:paraId="0A6C36D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621" w:type="pct"/>
            <w:tcBorders>
              <w:top w:val="single" w:color="auto" w:sz="8" w:space="0"/>
            </w:tcBorders>
            <w:vAlign w:val="center"/>
          </w:tcPr>
          <w:p w14:paraId="747FD41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0.000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(0)</w:t>
            </w:r>
          </w:p>
        </w:tc>
        <w:tc>
          <w:tcPr>
            <w:tcW w:w="621" w:type="pct"/>
            <w:tcBorders>
              <w:top w:val="single" w:color="auto" w:sz="8" w:space="0"/>
            </w:tcBorders>
            <w:vAlign w:val="center"/>
          </w:tcPr>
          <w:p w14:paraId="66F8E40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718" w:type="pct"/>
            <w:tcBorders>
              <w:top w:val="single" w:color="auto" w:sz="8" w:space="0"/>
            </w:tcBorders>
            <w:vAlign w:val="center"/>
          </w:tcPr>
          <w:p w14:paraId="7550C0A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0.94000</w:t>
            </w:r>
          </w:p>
        </w:tc>
        <w:tc>
          <w:tcPr>
            <w:tcW w:w="639" w:type="pct"/>
            <w:tcBorders>
              <w:top w:val="single" w:color="auto" w:sz="8" w:space="0"/>
            </w:tcBorders>
            <w:vAlign w:val="center"/>
          </w:tcPr>
          <w:p w14:paraId="35FC886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01077</w:t>
            </w:r>
          </w:p>
        </w:tc>
      </w:tr>
      <w:tr w14:paraId="29D40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7E338049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18CD657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Cr</w:t>
            </w:r>
          </w:p>
        </w:tc>
        <w:tc>
          <w:tcPr>
            <w:tcW w:w="623" w:type="pct"/>
            <w:vAlign w:val="center"/>
          </w:tcPr>
          <w:p w14:paraId="1ABB0E5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621" w:type="pct"/>
            <w:vAlign w:val="center"/>
          </w:tcPr>
          <w:p w14:paraId="1522776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0.000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(0)</w:t>
            </w:r>
          </w:p>
        </w:tc>
        <w:tc>
          <w:tcPr>
            <w:tcW w:w="621" w:type="pct"/>
            <w:vAlign w:val="center"/>
          </w:tcPr>
          <w:p w14:paraId="664B62B0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718" w:type="pct"/>
            <w:vAlign w:val="center"/>
          </w:tcPr>
          <w:p w14:paraId="7515E395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0.06000</w:t>
            </w:r>
          </w:p>
        </w:tc>
        <w:tc>
          <w:tcPr>
            <w:tcW w:w="639" w:type="pct"/>
            <w:vAlign w:val="center"/>
          </w:tcPr>
          <w:p w14:paraId="63C8CFA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02500</w:t>
            </w:r>
          </w:p>
        </w:tc>
      </w:tr>
      <w:tr w14:paraId="04C09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45FBD124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689331E9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T</w:t>
            </w:r>
          </w:p>
        </w:tc>
        <w:tc>
          <w:tcPr>
            <w:tcW w:w="623" w:type="pct"/>
            <w:vAlign w:val="center"/>
          </w:tcPr>
          <w:p w14:paraId="71EE9DB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149(8)</w:t>
            </w:r>
          </w:p>
        </w:tc>
        <w:tc>
          <w:tcPr>
            <w:tcW w:w="621" w:type="pct"/>
            <w:vAlign w:val="center"/>
          </w:tcPr>
          <w:p w14:paraId="6A249EA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340(9)</w:t>
            </w:r>
          </w:p>
        </w:tc>
        <w:tc>
          <w:tcPr>
            <w:tcW w:w="621" w:type="pct"/>
            <w:vAlign w:val="center"/>
          </w:tcPr>
          <w:p w14:paraId="19E6BF7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444CE3F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0.50000</w:t>
            </w:r>
          </w:p>
        </w:tc>
        <w:tc>
          <w:tcPr>
            <w:tcW w:w="639" w:type="pct"/>
            <w:vAlign w:val="center"/>
          </w:tcPr>
          <w:p w14:paraId="54D183F8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1089</w:t>
            </w:r>
          </w:p>
        </w:tc>
      </w:tr>
      <w:tr w14:paraId="206BCB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6C972DE6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7EC8BDF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Ge</w:t>
            </w:r>
          </w:p>
        </w:tc>
        <w:tc>
          <w:tcPr>
            <w:tcW w:w="623" w:type="pct"/>
            <w:vAlign w:val="center"/>
          </w:tcPr>
          <w:p w14:paraId="762BF49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149(8)</w:t>
            </w:r>
          </w:p>
        </w:tc>
        <w:tc>
          <w:tcPr>
            <w:tcW w:w="621" w:type="pct"/>
            <w:vAlign w:val="center"/>
          </w:tcPr>
          <w:p w14:paraId="0F53DCB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340(9)</w:t>
            </w:r>
          </w:p>
        </w:tc>
        <w:tc>
          <w:tcPr>
            <w:tcW w:w="621" w:type="pct"/>
            <w:vAlign w:val="center"/>
          </w:tcPr>
          <w:p w14:paraId="1F471C7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061AEB3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34500</w:t>
            </w:r>
          </w:p>
        </w:tc>
        <w:tc>
          <w:tcPr>
            <w:tcW w:w="639" w:type="pct"/>
            <w:vAlign w:val="center"/>
          </w:tcPr>
          <w:p w14:paraId="51BED12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1089</w:t>
            </w:r>
          </w:p>
        </w:tc>
      </w:tr>
      <w:tr w14:paraId="16A64E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627DB9E5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0C51723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T*</w:t>
            </w:r>
          </w:p>
        </w:tc>
        <w:tc>
          <w:tcPr>
            <w:tcW w:w="623" w:type="pct"/>
            <w:vAlign w:val="center"/>
          </w:tcPr>
          <w:p w14:paraId="2B98652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267(6)</w:t>
            </w:r>
          </w:p>
        </w:tc>
        <w:tc>
          <w:tcPr>
            <w:tcW w:w="621" w:type="pct"/>
            <w:vAlign w:val="center"/>
          </w:tcPr>
          <w:p w14:paraId="106D5E9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212(3)</w:t>
            </w:r>
          </w:p>
        </w:tc>
        <w:tc>
          <w:tcPr>
            <w:tcW w:w="621" w:type="pct"/>
            <w:vAlign w:val="center"/>
          </w:tcPr>
          <w:p w14:paraId="4ED27D07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7C135BE4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15500</w:t>
            </w:r>
          </w:p>
        </w:tc>
        <w:tc>
          <w:tcPr>
            <w:tcW w:w="639" w:type="pct"/>
            <w:vAlign w:val="center"/>
          </w:tcPr>
          <w:p w14:paraId="0DB93EA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0.0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1520</w:t>
            </w:r>
          </w:p>
        </w:tc>
      </w:tr>
      <w:tr w14:paraId="73412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05238A40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3F7B7438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d</w:t>
            </w:r>
          </w:p>
        </w:tc>
        <w:tc>
          <w:tcPr>
            <w:tcW w:w="623" w:type="pct"/>
            <w:vAlign w:val="center"/>
          </w:tcPr>
          <w:p w14:paraId="7E26604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130(0)</w:t>
            </w:r>
          </w:p>
        </w:tc>
        <w:tc>
          <w:tcPr>
            <w:tcW w:w="621" w:type="pct"/>
            <w:vAlign w:val="center"/>
          </w:tcPr>
          <w:p w14:paraId="214999F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216(3)</w:t>
            </w:r>
          </w:p>
        </w:tc>
        <w:tc>
          <w:tcPr>
            <w:tcW w:w="621" w:type="pct"/>
            <w:vAlign w:val="center"/>
          </w:tcPr>
          <w:p w14:paraId="1FA4FF9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718" w:type="pct"/>
            <w:vAlign w:val="center"/>
          </w:tcPr>
          <w:p w14:paraId="17EDE95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1.00000</w:t>
            </w:r>
          </w:p>
        </w:tc>
        <w:tc>
          <w:tcPr>
            <w:tcW w:w="639" w:type="pct"/>
            <w:vAlign w:val="center"/>
          </w:tcPr>
          <w:p w14:paraId="1D1CC1BD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01773</w:t>
            </w:r>
          </w:p>
        </w:tc>
      </w:tr>
      <w:tr w14:paraId="050E2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255DE258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1DC11C2B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ab</w:t>
            </w:r>
          </w:p>
        </w:tc>
        <w:tc>
          <w:tcPr>
            <w:tcW w:w="623" w:type="pct"/>
            <w:vAlign w:val="center"/>
          </w:tcPr>
          <w:p w14:paraId="14625B11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364(5)</w:t>
            </w:r>
          </w:p>
        </w:tc>
        <w:tc>
          <w:tcPr>
            <w:tcW w:w="621" w:type="pct"/>
            <w:vAlign w:val="center"/>
          </w:tcPr>
          <w:p w14:paraId="1C4C4C8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423(3)</w:t>
            </w:r>
          </w:p>
        </w:tc>
        <w:tc>
          <w:tcPr>
            <w:tcW w:w="621" w:type="pct"/>
            <w:vAlign w:val="center"/>
          </w:tcPr>
          <w:p w14:paraId="3621B1F6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45B5040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1.00000</w:t>
            </w:r>
          </w:p>
        </w:tc>
        <w:tc>
          <w:tcPr>
            <w:tcW w:w="639" w:type="pct"/>
            <w:vAlign w:val="center"/>
          </w:tcPr>
          <w:p w14:paraId="4C69772F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01520</w:t>
            </w:r>
          </w:p>
        </w:tc>
      </w:tr>
      <w:tr w14:paraId="5E641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vAlign w:val="center"/>
          </w:tcPr>
          <w:p w14:paraId="0B16183C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vAlign w:val="center"/>
          </w:tcPr>
          <w:p w14:paraId="69AC623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623" w:type="pct"/>
            <w:vAlign w:val="center"/>
          </w:tcPr>
          <w:p w14:paraId="1541404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621" w:type="pct"/>
            <w:vAlign w:val="center"/>
          </w:tcPr>
          <w:p w14:paraId="034B011E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000(0)</w:t>
            </w:r>
          </w:p>
        </w:tc>
        <w:tc>
          <w:tcPr>
            <w:tcW w:w="621" w:type="pct"/>
            <w:vAlign w:val="center"/>
          </w:tcPr>
          <w:p w14:paraId="6F7686E8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vAlign w:val="center"/>
          </w:tcPr>
          <w:p w14:paraId="3122562A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0.54000</w:t>
            </w:r>
          </w:p>
        </w:tc>
        <w:tc>
          <w:tcPr>
            <w:tcW w:w="639" w:type="pct"/>
            <w:vAlign w:val="center"/>
          </w:tcPr>
          <w:p w14:paraId="0D50589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03293</w:t>
            </w:r>
          </w:p>
        </w:tc>
      </w:tr>
      <w:tr w14:paraId="7CC1E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pct"/>
            <w:vMerge w:val="continue"/>
            <w:tcBorders>
              <w:bottom w:val="single" w:color="auto" w:sz="12" w:space="0"/>
            </w:tcBorders>
            <w:vAlign w:val="center"/>
          </w:tcPr>
          <w:p w14:paraId="4140E7CF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26" w:type="pct"/>
            <w:tcBorders>
              <w:bottom w:val="single" w:color="auto" w:sz="12" w:space="0"/>
            </w:tcBorders>
            <w:vAlign w:val="center"/>
          </w:tcPr>
          <w:p w14:paraId="7209D6B3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vertAlign w:val="subscript"/>
              </w:rPr>
              <w:t>c*</w:t>
            </w:r>
          </w:p>
        </w:tc>
        <w:tc>
          <w:tcPr>
            <w:tcW w:w="623" w:type="pct"/>
            <w:tcBorders>
              <w:bottom w:val="single" w:color="auto" w:sz="12" w:space="0"/>
            </w:tcBorders>
            <w:vAlign w:val="center"/>
          </w:tcPr>
          <w:p w14:paraId="7E7E7D7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441(0)</w:t>
            </w:r>
          </w:p>
        </w:tc>
        <w:tc>
          <w:tcPr>
            <w:tcW w:w="621" w:type="pct"/>
            <w:tcBorders>
              <w:bottom w:val="single" w:color="auto" w:sz="12" w:space="0"/>
            </w:tcBorders>
            <w:vAlign w:val="center"/>
          </w:tcPr>
          <w:p w14:paraId="559F785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049(0)</w:t>
            </w:r>
          </w:p>
        </w:tc>
        <w:tc>
          <w:tcPr>
            <w:tcW w:w="621" w:type="pct"/>
            <w:tcBorders>
              <w:bottom w:val="single" w:color="auto" w:sz="12" w:space="0"/>
            </w:tcBorders>
            <w:vAlign w:val="center"/>
          </w:tcPr>
          <w:p w14:paraId="61D7D002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500(0)</w:t>
            </w:r>
          </w:p>
        </w:tc>
        <w:tc>
          <w:tcPr>
            <w:tcW w:w="718" w:type="pct"/>
            <w:tcBorders>
              <w:bottom w:val="single" w:color="auto" w:sz="12" w:space="0"/>
            </w:tcBorders>
            <w:vAlign w:val="center"/>
          </w:tcPr>
          <w:p w14:paraId="2F53BDF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0.15000</w:t>
            </w:r>
          </w:p>
        </w:tc>
        <w:tc>
          <w:tcPr>
            <w:tcW w:w="639" w:type="pct"/>
            <w:tcBorders>
              <w:bottom w:val="single" w:color="auto" w:sz="12" w:space="0"/>
            </w:tcBorders>
            <w:vAlign w:val="center"/>
          </w:tcPr>
          <w:p w14:paraId="3AAC3D8C">
            <w:pPr>
              <w:spacing w:line="24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0.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04179</w:t>
            </w:r>
          </w:p>
        </w:tc>
      </w:tr>
    </w:tbl>
    <w:p w14:paraId="35771882">
      <w:pPr>
        <w:adjustRightInd/>
        <w:snapToGrid/>
        <w:spacing w:line="24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34F3FBAF">
      <w:pPr>
        <w:adjustRightInd/>
        <w:snapToGrid/>
        <w:spacing w:line="240" w:lineRule="auto"/>
        <w:ind w:firstLine="0" w:firstLineChars="0"/>
        <w:jc w:val="lef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br w:type="page"/>
      </w:r>
    </w:p>
    <w:p w14:paraId="0F0B34DB">
      <w:pPr>
        <w:spacing w:line="360" w:lineRule="auto"/>
        <w:ind w:firstLine="0" w:firstLineChars="0"/>
        <w:jc w:val="center"/>
        <w:rPr>
          <w:sz w:val="21"/>
          <w:szCs w:val="21"/>
        </w:rPr>
      </w:pPr>
      <w:r>
        <w:rPr>
          <w:b/>
          <w:bCs/>
          <w:sz w:val="21"/>
          <w:szCs w:val="21"/>
          <w:lang w:bidi="ar"/>
        </w:rPr>
        <w:t xml:space="preserve">Table </w:t>
      </w:r>
      <w:r>
        <w:rPr>
          <w:rFonts w:hint="eastAsia"/>
          <w:b/>
          <w:bCs/>
          <w:sz w:val="21"/>
          <w:szCs w:val="21"/>
          <w:lang w:bidi="ar"/>
        </w:rPr>
        <w:t>S3</w:t>
      </w:r>
      <w:r>
        <w:rPr>
          <w:b/>
          <w:bCs/>
          <w:sz w:val="21"/>
          <w:szCs w:val="21"/>
          <w:lang w:bidi="ar"/>
        </w:rPr>
        <w:t>.</w:t>
      </w:r>
      <w:r>
        <w:rPr>
          <w:sz w:val="21"/>
          <w:szCs w:val="21"/>
          <w:lang w:bidi="ar"/>
        </w:rPr>
        <w:t xml:space="preserve"> Luminescence parameters of several typical Cr</w:t>
      </w:r>
      <w:r>
        <w:rPr>
          <w:sz w:val="21"/>
          <w:szCs w:val="21"/>
          <w:vertAlign w:val="superscript"/>
          <w:lang w:bidi="ar"/>
        </w:rPr>
        <w:t>3+</w:t>
      </w:r>
      <w:r>
        <w:rPr>
          <w:sz w:val="21"/>
          <w:szCs w:val="21"/>
          <w:lang w:bidi="ar"/>
        </w:rPr>
        <w:t xml:space="preserve">-activated </w:t>
      </w:r>
      <w:r>
        <w:rPr>
          <w:rFonts w:hint="eastAsia"/>
          <w:sz w:val="21"/>
          <w:szCs w:val="21"/>
          <w:lang w:bidi="ar"/>
        </w:rPr>
        <w:t xml:space="preserve">long-wave </w:t>
      </w:r>
      <w:r>
        <w:rPr>
          <w:sz w:val="21"/>
          <w:szCs w:val="21"/>
          <w:lang w:bidi="ar"/>
        </w:rPr>
        <w:t>broadband NIR phosphors.</w:t>
      </w:r>
    </w:p>
    <w:tbl>
      <w:tblPr>
        <w:tblStyle w:val="19"/>
        <w:tblW w:w="5000" w:type="pct"/>
        <w:jc w:val="center"/>
        <w:tblBorders>
          <w:top w:val="none" w:color="auto" w:sz="6" w:space="0"/>
          <w:left w:val="none" w:color="auto" w:sz="6" w:space="0"/>
          <w:bottom w:val="single" w:color="auto" w:sz="12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724"/>
        <w:gridCol w:w="724"/>
        <w:gridCol w:w="1024"/>
        <w:gridCol w:w="672"/>
        <w:gridCol w:w="737"/>
        <w:gridCol w:w="633"/>
        <w:gridCol w:w="1205"/>
        <w:gridCol w:w="1338"/>
      </w:tblGrid>
      <w:tr w14:paraId="2AB70C79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0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BF76597">
            <w:pPr>
              <w:spacing w:line="240" w:lineRule="auto"/>
              <w:ind w:firstLine="0" w:firstLineChars="0"/>
              <w:jc w:val="center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Phosphors</w:t>
            </w:r>
          </w:p>
        </w:tc>
        <w:tc>
          <w:tcPr>
            <w:tcW w:w="39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D0115E5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λ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e</w:t>
            </w:r>
            <w:r>
              <w:rPr>
                <w:rFonts w:hint="eastAsia"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x</w:t>
            </w:r>
          </w:p>
          <w:p w14:paraId="4DB1A2F8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(nm)</w:t>
            </w:r>
          </w:p>
        </w:tc>
        <w:tc>
          <w:tcPr>
            <w:tcW w:w="39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2C5E773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λ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em</w:t>
            </w:r>
          </w:p>
          <w:p w14:paraId="6D4CFB12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(nm)</w:t>
            </w:r>
          </w:p>
        </w:tc>
        <w:tc>
          <w:tcPr>
            <w:tcW w:w="55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D48C8A4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FWHM</w:t>
            </w:r>
          </w:p>
          <w:p w14:paraId="2C461305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(nm)</w:t>
            </w:r>
          </w:p>
        </w:tc>
        <w:tc>
          <w:tcPr>
            <w:tcW w:w="362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7547FAF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IQE</w:t>
            </w:r>
          </w:p>
          <w:p w14:paraId="1FB32063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(%)</w:t>
            </w:r>
          </w:p>
        </w:tc>
        <w:tc>
          <w:tcPr>
            <w:tcW w:w="39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5EE3834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EQE</w:t>
            </w:r>
          </w:p>
          <w:p w14:paraId="0EEEEC40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(%)</w:t>
            </w:r>
          </w:p>
        </w:tc>
        <w:tc>
          <w:tcPr>
            <w:tcW w:w="34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EEA000E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A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E</w:t>
            </w:r>
          </w:p>
          <w:p w14:paraId="72110AC0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(%)</w:t>
            </w:r>
          </w:p>
        </w:tc>
        <w:tc>
          <w:tcPr>
            <w:tcW w:w="648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2D656B9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I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423K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/I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298K</w:t>
            </w:r>
          </w:p>
        </w:tc>
        <w:tc>
          <w:tcPr>
            <w:tcW w:w="72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3C9AB22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References</w:t>
            </w:r>
          </w:p>
        </w:tc>
      </w:tr>
      <w:tr w14:paraId="3D7FF38C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B663E9F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LiInGe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single" w:color="auto" w:sz="8" w:space="0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C7D2A3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460</w:t>
            </w:r>
          </w:p>
        </w:tc>
        <w:tc>
          <w:tcPr>
            <w:tcW w:w="390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8CA1CC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880</w:t>
            </w:r>
          </w:p>
        </w:tc>
        <w:tc>
          <w:tcPr>
            <w:tcW w:w="551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CBF0E7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172</w:t>
            </w:r>
          </w:p>
        </w:tc>
        <w:tc>
          <w:tcPr>
            <w:tcW w:w="362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89A644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81</w:t>
            </w:r>
          </w:p>
        </w:tc>
        <w:tc>
          <w:tcPr>
            <w:tcW w:w="397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6053C4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39</w:t>
            </w:r>
          </w:p>
        </w:tc>
        <w:tc>
          <w:tcPr>
            <w:tcW w:w="341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1E72745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48</w:t>
            </w:r>
          </w:p>
        </w:tc>
        <w:tc>
          <w:tcPr>
            <w:tcW w:w="648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BDA5EF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~30%</w:t>
            </w:r>
          </w:p>
        </w:tc>
        <w:tc>
          <w:tcPr>
            <w:tcW w:w="720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37A7FA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4</w:t>
            </w:r>
          </w:p>
        </w:tc>
      </w:tr>
      <w:tr w14:paraId="5CC705B8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F1F98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LiInO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BECF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468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EF5E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897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BA86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129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83C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8454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25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5E38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59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555E7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8.6%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D65C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5</w:t>
            </w:r>
          </w:p>
        </w:tc>
      </w:tr>
      <w:tr w14:paraId="19E5471E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3500A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Ga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GeO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2748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428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E857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910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3E9D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221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F0C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71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84FC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19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82E7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27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BBAD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50%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C982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6</w:t>
            </w:r>
          </w:p>
        </w:tc>
      </w:tr>
      <w:tr w14:paraId="5FFB445A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5F9A2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NaInGe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6640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480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7AEB7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等线"/>
                <w:sz w:val="21"/>
                <w:szCs w:val="21"/>
              </w:rPr>
              <w:t>900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6845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175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FB99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34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0F5A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C1ED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819E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</w:rPr>
              <w:t>25%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5F60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7</w:t>
            </w:r>
          </w:p>
        </w:tc>
      </w:tr>
      <w:tr w14:paraId="27781638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A0F2E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ZnNb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336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515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9CA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930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E4E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210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B104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CF01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2F93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FBDE5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~10%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4F14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8</w:t>
            </w:r>
          </w:p>
        </w:tc>
      </w:tr>
      <w:tr w14:paraId="281E48B1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92076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ZnTa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F189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480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F753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935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1357E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185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E13B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63CF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D1357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56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BBB2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E37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9</w:t>
            </w:r>
          </w:p>
        </w:tc>
      </w:tr>
      <w:tr w14:paraId="2714D516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76D78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Mg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GeO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4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F4CC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465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1C41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940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B7C1E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236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570B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48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63A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55CC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33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FBB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26</w:t>
            </w:r>
            <w:r>
              <w:rPr>
                <w:sz w:val="21"/>
                <w:szCs w:val="21"/>
              </w:rPr>
              <w:t>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A330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10</w:t>
            </w:r>
          </w:p>
        </w:tc>
      </w:tr>
      <w:tr w14:paraId="35A15E88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F6749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LaTiTaO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A417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354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F8725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950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606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300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EE73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A2C95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D420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A974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95F7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11</w:t>
            </w:r>
          </w:p>
        </w:tc>
      </w:tr>
      <w:tr w14:paraId="0DDF1CDA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4679E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LiIn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 w:val="21"/>
                <w:szCs w:val="21"/>
              </w:rPr>
              <w:t>SbO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6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7D49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0"/>
                <w:szCs w:val="20"/>
              </w:rPr>
              <w:t>492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2930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0"/>
                <w:szCs w:val="20"/>
              </w:rPr>
              <w:t>970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FFB1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235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F8E7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等线"/>
                <w:sz w:val="20"/>
                <w:szCs w:val="20"/>
              </w:rPr>
              <w:t>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A776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eastAsia="等线"/>
                <w:sz w:val="20"/>
                <w:szCs w:val="20"/>
              </w:rPr>
              <w:t>3.44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2848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3030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861D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rFonts w:hint="eastAsia"/>
                <w:color w:val="0070C0"/>
                <w:sz w:val="21"/>
                <w:szCs w:val="21"/>
              </w:rPr>
              <w:t>12</w:t>
            </w:r>
          </w:p>
        </w:tc>
      </w:tr>
      <w:tr w14:paraId="3AA0CF1F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28833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LiInF</w:t>
            </w:r>
            <w:r>
              <w:rPr>
                <w:color w:val="000000"/>
                <w:kern w:val="0"/>
                <w:sz w:val="21"/>
                <w:szCs w:val="21"/>
                <w:vertAlign w:val="subscript"/>
              </w:rPr>
              <w:t>4</w:t>
            </w:r>
            <w:r>
              <w:rPr>
                <w:color w:val="000000"/>
                <w:kern w:val="0"/>
                <w:sz w:val="21"/>
                <w:szCs w:val="21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FDE6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4C38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0"/>
                <w:szCs w:val="20"/>
              </w:rPr>
              <w:t>980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FA45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220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6F5F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6065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D8DF3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B570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~10%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77B4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color w:val="0070C0"/>
                <w:sz w:val="21"/>
                <w:szCs w:val="21"/>
              </w:rPr>
              <w:t>1</w:t>
            </w:r>
            <w:r>
              <w:rPr>
                <w:rFonts w:hint="eastAsia"/>
                <w:color w:val="0070C0"/>
                <w:sz w:val="21"/>
                <w:szCs w:val="21"/>
              </w:rPr>
              <w:t>3</w:t>
            </w:r>
          </w:p>
        </w:tc>
      </w:tr>
      <w:tr w14:paraId="19FA779F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6B5EC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  <w:lang w:bidi="ar"/>
              </w:rPr>
              <w:t>Mg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2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SiO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4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3+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, Li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DFA8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468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0ADB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960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50074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226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13BF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70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5434E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D4A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lang w:bidi="ar"/>
              </w:rPr>
              <w:t>68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2429E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58</w:t>
            </w:r>
            <w:r>
              <w:rPr>
                <w:sz w:val="21"/>
                <w:szCs w:val="21"/>
              </w:rPr>
              <w:t>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27E7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color w:val="0070C0"/>
                <w:sz w:val="21"/>
                <w:szCs w:val="21"/>
              </w:rPr>
              <w:t>1</w:t>
            </w:r>
            <w:r>
              <w:rPr>
                <w:rFonts w:hint="eastAsia"/>
                <w:color w:val="0070C0"/>
                <w:sz w:val="21"/>
                <w:szCs w:val="21"/>
              </w:rPr>
              <w:t>4</w:t>
            </w:r>
          </w:p>
        </w:tc>
      </w:tr>
      <w:tr w14:paraId="4D28B7BD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BC0D1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  <w:lang w:bidi="ar"/>
              </w:rPr>
              <w:t>LiAl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5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8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0D249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400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03BD8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950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4BB16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295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A313B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700A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9EDAD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FC89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86</w:t>
            </w:r>
            <w:r>
              <w:rPr>
                <w:sz w:val="21"/>
                <w:szCs w:val="21"/>
              </w:rPr>
              <w:t>%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FDC7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70C0"/>
                <w:kern w:val="0"/>
                <w:sz w:val="21"/>
                <w:szCs w:val="21"/>
              </w:rPr>
            </w:pPr>
            <w:r>
              <w:rPr>
                <w:color w:val="0070C0"/>
                <w:sz w:val="21"/>
                <w:szCs w:val="21"/>
              </w:rPr>
              <w:t>1</w:t>
            </w:r>
            <w:r>
              <w:rPr>
                <w:rFonts w:hint="eastAsia"/>
                <w:color w:val="0070C0"/>
                <w:sz w:val="21"/>
                <w:szCs w:val="21"/>
              </w:rPr>
              <w:t>5</w:t>
            </w:r>
          </w:p>
        </w:tc>
      </w:tr>
      <w:tr w14:paraId="5B091E96">
        <w:tblPrEx>
          <w:tblBorders>
            <w:top w:val="none" w:color="auto" w:sz="6" w:space="0"/>
            <w:left w:val="none" w:color="auto" w:sz="6" w:space="0"/>
            <w:bottom w:val="single" w:color="auto" w:sz="12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E1D9B96">
            <w:pPr>
              <w:spacing w:line="360" w:lineRule="auto"/>
              <w:ind w:firstLine="0" w:firstLineChars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  <w:lang w:bidi="ar"/>
              </w:rPr>
              <w:t>Ga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6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Ge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2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O</w:t>
            </w:r>
            <w:r>
              <w:rPr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13</w:t>
            </w:r>
            <w:r>
              <w:rPr>
                <w:color w:val="000000"/>
                <w:kern w:val="0"/>
                <w:sz w:val="21"/>
                <w:szCs w:val="21"/>
                <w:lang w:bidi="ar"/>
              </w:rPr>
              <w:t>:Cr</w:t>
            </w:r>
            <w:r>
              <w:rPr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3+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0E69FB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</w:rPr>
              <w:t>430</w:t>
            </w:r>
          </w:p>
        </w:tc>
        <w:tc>
          <w:tcPr>
            <w:tcW w:w="39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A8ACBC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880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9B7B0DC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215</w:t>
            </w:r>
          </w:p>
        </w:tc>
        <w:tc>
          <w:tcPr>
            <w:tcW w:w="362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708CA87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74E7862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341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86D0B30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Times New Roman"/>
                <w:color w:val="000000"/>
                <w:kern w:val="0"/>
                <w:sz w:val="21"/>
                <w:szCs w:val="21"/>
                <w:lang w:bidi="ar"/>
              </w:rPr>
              <w:t>69</w:t>
            </w:r>
          </w:p>
        </w:tc>
        <w:tc>
          <w:tcPr>
            <w:tcW w:w="648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A530421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60</w:t>
            </w:r>
            <w:r>
              <w:rPr>
                <w:sz w:val="21"/>
                <w:szCs w:val="21"/>
              </w:rPr>
              <w:t>%</w:t>
            </w:r>
          </w:p>
        </w:tc>
        <w:tc>
          <w:tcPr>
            <w:tcW w:w="72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DD26213">
            <w:pPr>
              <w:spacing w:line="360" w:lineRule="auto"/>
              <w:ind w:firstLine="0" w:firstLineChars="0"/>
              <w:jc w:val="center"/>
              <w:rPr>
                <w:rFonts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cs="Times New Roman"/>
                <w:color w:val="000000"/>
                <w:kern w:val="0"/>
                <w:sz w:val="21"/>
                <w:szCs w:val="21"/>
                <w:lang w:bidi="ar"/>
              </w:rPr>
              <w:t>This work</w:t>
            </w:r>
          </w:p>
        </w:tc>
      </w:tr>
    </w:tbl>
    <w:p w14:paraId="07E7365D">
      <w:pPr>
        <w:adjustRightInd/>
        <w:snapToGrid/>
        <w:spacing w:line="240" w:lineRule="auto"/>
        <w:ind w:firstLine="0" w:firstLineChars="0"/>
        <w:jc w:val="left"/>
        <w:rPr>
          <w:b/>
          <w:bCs/>
          <w:sz w:val="21"/>
          <w:szCs w:val="21"/>
        </w:rPr>
      </w:pPr>
    </w:p>
    <w:p w14:paraId="4C1D4768">
      <w:pPr>
        <w:spacing w:line="360" w:lineRule="auto"/>
        <w:ind w:firstLine="0" w:firstLineChars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Table </w:t>
      </w:r>
      <w:r>
        <w:rPr>
          <w:rFonts w:hint="eastAsia"/>
          <w:b/>
          <w:bCs/>
          <w:sz w:val="21"/>
          <w:szCs w:val="21"/>
        </w:rPr>
        <w:t>S4</w:t>
      </w:r>
      <w:r>
        <w:rPr>
          <w:b/>
          <w:bCs/>
          <w:sz w:val="21"/>
          <w:szCs w:val="21"/>
        </w:rPr>
        <w:t>.</w:t>
      </w:r>
      <w:r>
        <w:rPr>
          <w:sz w:val="21"/>
          <w:szCs w:val="21"/>
        </w:rPr>
        <w:t xml:space="preserve"> Fitting parameters for Cr K-edge EXAFS of</w:t>
      </w:r>
      <w:r>
        <w:rPr>
          <w:rFonts w:hint="eastAsia"/>
          <w:sz w:val="21"/>
          <w:szCs w:val="21"/>
        </w:rPr>
        <w:t xml:space="preserve"> GG</w:t>
      </w:r>
      <w:r>
        <w:rPr>
          <w:sz w:val="21"/>
          <w:szCs w:val="21"/>
        </w:rPr>
        <w:t>O:</w:t>
      </w:r>
      <w:r>
        <w:rPr>
          <w:rFonts w:hint="eastAsia"/>
          <w:sz w:val="21"/>
          <w:szCs w:val="21"/>
        </w:rPr>
        <w:t>6</w:t>
      </w:r>
      <w:r>
        <w:rPr>
          <w:sz w:val="21"/>
          <w:szCs w:val="21"/>
        </w:rPr>
        <w:t>%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r</w:t>
      </w:r>
      <w:r>
        <w:rPr>
          <w:sz w:val="21"/>
          <w:szCs w:val="21"/>
          <w:vertAlign w:val="superscript"/>
        </w:rPr>
        <w:t>3+</w:t>
      </w:r>
      <w:r>
        <w:rPr>
          <w:sz w:val="21"/>
          <w:szCs w:val="21"/>
        </w:rPr>
        <w:t>.</w:t>
      </w:r>
    </w:p>
    <w:tbl>
      <w:tblPr>
        <w:tblStyle w:val="2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994"/>
        <w:gridCol w:w="1495"/>
        <w:gridCol w:w="1099"/>
        <w:gridCol w:w="1580"/>
        <w:gridCol w:w="1179"/>
        <w:gridCol w:w="1314"/>
      </w:tblGrid>
      <w:tr w14:paraId="5EAF7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pct"/>
            <w:tcBorders>
              <w:top w:val="single" w:color="auto" w:sz="12" w:space="0"/>
              <w:bottom w:val="single" w:color="auto" w:sz="8" w:space="0"/>
            </w:tcBorders>
          </w:tcPr>
          <w:p w14:paraId="1A492E69">
            <w:pPr>
              <w:spacing w:line="240" w:lineRule="auto"/>
              <w:ind w:firstLine="0" w:firstLineChars="0"/>
              <w:jc w:val="left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Sample</w:t>
            </w:r>
          </w:p>
        </w:tc>
        <w:tc>
          <w:tcPr>
            <w:tcW w:w="535" w:type="pct"/>
            <w:tcBorders>
              <w:top w:val="single" w:color="auto" w:sz="12" w:space="0"/>
              <w:bottom w:val="single" w:color="auto" w:sz="8" w:space="0"/>
            </w:tcBorders>
          </w:tcPr>
          <w:p w14:paraId="04862C85">
            <w:pPr>
              <w:spacing w:line="240" w:lineRule="auto"/>
              <w:ind w:firstLine="0" w:firstLineChars="0"/>
              <w:jc w:val="left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Shell</w:t>
            </w:r>
          </w:p>
        </w:tc>
        <w:tc>
          <w:tcPr>
            <w:tcW w:w="805" w:type="pct"/>
            <w:tcBorders>
              <w:top w:val="single" w:color="auto" w:sz="12" w:space="0"/>
              <w:bottom w:val="single" w:color="auto" w:sz="8" w:space="0"/>
            </w:tcBorders>
          </w:tcPr>
          <w:p w14:paraId="2A668A8A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Bond length</w:t>
            </w:r>
          </w:p>
          <w:p w14:paraId="3ADD87A8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Å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)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[b]</w:t>
            </w:r>
          </w:p>
        </w:tc>
        <w:tc>
          <w:tcPr>
            <w:tcW w:w="592" w:type="pct"/>
            <w:tcBorders>
              <w:top w:val="single" w:color="auto" w:sz="12" w:space="0"/>
              <w:bottom w:val="single" w:color="auto" w:sz="8" w:space="0"/>
            </w:tcBorders>
          </w:tcPr>
          <w:p w14:paraId="5FAA025C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</w:rPr>
              <w:t>CN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[c]</w:t>
            </w:r>
          </w:p>
        </w:tc>
        <w:tc>
          <w:tcPr>
            <w:tcW w:w="851" w:type="pct"/>
            <w:tcBorders>
              <w:top w:val="single" w:color="auto" w:sz="12" w:space="0"/>
              <w:bottom w:val="single" w:color="auto" w:sz="8" w:space="0"/>
            </w:tcBorders>
          </w:tcPr>
          <w:p w14:paraId="18296475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σ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</w:rPr>
              <w:t>Å</w:t>
            </w:r>
            <w:r>
              <w:rPr>
                <w:rFonts w:cs="Times New Roman"/>
                <w:b/>
                <w:bCs/>
                <w:color w:val="000000"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)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[d]</w:t>
            </w:r>
          </w:p>
        </w:tc>
        <w:tc>
          <w:tcPr>
            <w:tcW w:w="635" w:type="pct"/>
            <w:tcBorders>
              <w:top w:val="single" w:color="auto" w:sz="12" w:space="0"/>
              <w:bottom w:val="single" w:color="auto" w:sz="8" w:space="0"/>
            </w:tcBorders>
          </w:tcPr>
          <w:p w14:paraId="06FF989A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E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  <w:vertAlign w:val="subscript"/>
              </w:rPr>
              <w:t>0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 xml:space="preserve"> shift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cr/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(eV)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[e]</w:t>
            </w:r>
          </w:p>
        </w:tc>
        <w:tc>
          <w:tcPr>
            <w:tcW w:w="707" w:type="pct"/>
            <w:tcBorders>
              <w:top w:val="single" w:color="auto" w:sz="12" w:space="0"/>
              <w:bottom w:val="single" w:color="auto" w:sz="8" w:space="0"/>
            </w:tcBorders>
          </w:tcPr>
          <w:p w14:paraId="168DF2FC">
            <w:pPr>
              <w:spacing w:line="240" w:lineRule="auto"/>
              <w:ind w:firstLine="0" w:firstLineChars="0"/>
              <w:jc w:val="center"/>
              <w:rPr>
                <w:rFonts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R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</w:rPr>
              <w:t>-</w:t>
            </w:r>
            <w:r>
              <w:rPr>
                <w:rFonts w:cs="Times New Roman"/>
                <w:b/>
                <w:bCs/>
                <w:kern w:val="0"/>
                <w:sz w:val="21"/>
                <w:szCs w:val="21"/>
              </w:rPr>
              <w:t>factor</w:t>
            </w:r>
            <w:r>
              <w:rPr>
                <w:rFonts w:hint="eastAsia" w:cs="Times New Roman"/>
                <w:b/>
                <w:bCs/>
                <w:kern w:val="0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[f]</w:t>
            </w:r>
          </w:p>
        </w:tc>
      </w:tr>
      <w:tr w14:paraId="57399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pct"/>
            <w:vMerge w:val="restart"/>
            <w:tcBorders>
              <w:top w:val="single" w:color="auto" w:sz="8" w:space="0"/>
            </w:tcBorders>
          </w:tcPr>
          <w:p w14:paraId="0CD02AD3">
            <w:pPr>
              <w:spacing w:before="130" w:beforeLines="40" w:line="240" w:lineRule="auto"/>
              <w:ind w:firstLine="0" w:firstLineChars="0"/>
              <w:jc w:val="left"/>
              <w:rPr>
                <w:rFonts w:cs="Times New Roman"/>
                <w:kern w:val="0"/>
                <w:sz w:val="21"/>
                <w:szCs w:val="21"/>
                <w:vertAlign w:val="superscript"/>
              </w:rPr>
            </w:pPr>
            <w:r>
              <w:rPr>
                <w:rFonts w:hint="eastAsia" w:cs="Times New Roman"/>
                <w:kern w:val="0"/>
                <w:sz w:val="21"/>
                <w:szCs w:val="21"/>
              </w:rPr>
              <w:t>GGO:6% Cr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>3+</w:t>
            </w:r>
          </w:p>
        </w:tc>
        <w:tc>
          <w:tcPr>
            <w:tcW w:w="535" w:type="pct"/>
            <w:tcBorders>
              <w:top w:val="single" w:color="auto" w:sz="8" w:space="0"/>
            </w:tcBorders>
          </w:tcPr>
          <w:p w14:paraId="2907970D">
            <w:pPr>
              <w:spacing w:line="240" w:lineRule="auto"/>
              <w:ind w:firstLine="0" w:firstLineChars="0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kern w:val="0"/>
                <w:sz w:val="21"/>
                <w:szCs w:val="21"/>
              </w:rPr>
              <w:t>Cr-O</w:t>
            </w:r>
          </w:p>
        </w:tc>
        <w:tc>
          <w:tcPr>
            <w:tcW w:w="805" w:type="pct"/>
            <w:tcBorders>
              <w:top w:val="single" w:color="auto" w:sz="8" w:space="0"/>
            </w:tcBorders>
          </w:tcPr>
          <w:p w14:paraId="233AA29E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1.97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0.01</w:t>
            </w:r>
          </w:p>
        </w:tc>
        <w:tc>
          <w:tcPr>
            <w:tcW w:w="592" w:type="pct"/>
            <w:tcBorders>
              <w:top w:val="single" w:color="auto" w:sz="8" w:space="0"/>
            </w:tcBorders>
          </w:tcPr>
          <w:p w14:paraId="1B7D5986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6.1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0.8</w:t>
            </w:r>
          </w:p>
        </w:tc>
        <w:tc>
          <w:tcPr>
            <w:tcW w:w="851" w:type="pct"/>
            <w:tcBorders>
              <w:top w:val="single" w:color="auto" w:sz="8" w:space="0"/>
            </w:tcBorders>
          </w:tcPr>
          <w:p w14:paraId="32E02027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0.003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0.002</w:t>
            </w:r>
          </w:p>
        </w:tc>
        <w:tc>
          <w:tcPr>
            <w:tcW w:w="635" w:type="pct"/>
            <w:vMerge w:val="restart"/>
            <w:tcBorders>
              <w:top w:val="single" w:color="auto" w:sz="8" w:space="0"/>
            </w:tcBorders>
          </w:tcPr>
          <w:p w14:paraId="5B3E5407">
            <w:pPr>
              <w:spacing w:before="130" w:beforeLines="40"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-3.4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1.6</w:t>
            </w:r>
          </w:p>
        </w:tc>
        <w:tc>
          <w:tcPr>
            <w:tcW w:w="707" w:type="pct"/>
            <w:vMerge w:val="restart"/>
            <w:tcBorders>
              <w:top w:val="single" w:color="auto" w:sz="8" w:space="0"/>
            </w:tcBorders>
          </w:tcPr>
          <w:p w14:paraId="012A84E9">
            <w:pPr>
              <w:spacing w:before="130" w:beforeLines="40"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0.019</w:t>
            </w:r>
          </w:p>
        </w:tc>
      </w:tr>
      <w:tr w14:paraId="45585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pct"/>
            <w:vMerge w:val="continue"/>
            <w:tcBorders>
              <w:bottom w:val="single" w:color="auto" w:sz="12" w:space="0"/>
            </w:tcBorders>
          </w:tcPr>
          <w:p w14:paraId="5728DB1D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</w:p>
        </w:tc>
        <w:tc>
          <w:tcPr>
            <w:tcW w:w="535" w:type="pct"/>
            <w:tcBorders>
              <w:bottom w:val="single" w:color="auto" w:sz="12" w:space="0"/>
            </w:tcBorders>
          </w:tcPr>
          <w:p w14:paraId="556AD2C2">
            <w:pPr>
              <w:spacing w:line="240" w:lineRule="auto"/>
              <w:ind w:firstLine="0" w:firstLineChars="0"/>
              <w:jc w:val="both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hint="eastAsia" w:cs="Times New Roman"/>
                <w:kern w:val="0"/>
                <w:sz w:val="21"/>
                <w:szCs w:val="21"/>
              </w:rPr>
              <w:t>Cr-M</w:t>
            </w:r>
            <w:r>
              <w:rPr>
                <w:rFonts w:hint="eastAsia" w:cs="Times New Roman"/>
                <w:kern w:val="0"/>
                <w:sz w:val="21"/>
                <w:szCs w:val="21"/>
                <w:vertAlign w:val="superscript"/>
              </w:rPr>
              <w:t xml:space="preserve"> [a]</w:t>
            </w:r>
          </w:p>
        </w:tc>
        <w:tc>
          <w:tcPr>
            <w:tcW w:w="805" w:type="pct"/>
            <w:tcBorders>
              <w:bottom w:val="single" w:color="auto" w:sz="12" w:space="0"/>
            </w:tcBorders>
          </w:tcPr>
          <w:p w14:paraId="7E24338A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2.94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0.02</w:t>
            </w:r>
          </w:p>
        </w:tc>
        <w:tc>
          <w:tcPr>
            <w:tcW w:w="592" w:type="pct"/>
            <w:tcBorders>
              <w:bottom w:val="single" w:color="auto" w:sz="12" w:space="0"/>
            </w:tcBorders>
          </w:tcPr>
          <w:p w14:paraId="4DDA37E2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3.2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1.2</w:t>
            </w:r>
          </w:p>
        </w:tc>
        <w:tc>
          <w:tcPr>
            <w:tcW w:w="851" w:type="pct"/>
            <w:tcBorders>
              <w:bottom w:val="single" w:color="auto" w:sz="12" w:space="0"/>
            </w:tcBorders>
          </w:tcPr>
          <w:p w14:paraId="479EB197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  <w:r>
              <w:rPr>
                <w:rFonts w:cs="Times New Roman"/>
                <w:kern w:val="0"/>
                <w:sz w:val="21"/>
                <w:szCs w:val="21"/>
              </w:rPr>
              <w:t>0.004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±</w:t>
            </w:r>
            <w:r>
              <w:rPr>
                <w:rFonts w:hint="eastAsia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cs="Times New Roman"/>
                <w:kern w:val="0"/>
                <w:sz w:val="21"/>
                <w:szCs w:val="21"/>
              </w:rPr>
              <w:t>0.003</w:t>
            </w:r>
          </w:p>
        </w:tc>
        <w:tc>
          <w:tcPr>
            <w:tcW w:w="635" w:type="pct"/>
            <w:vMerge w:val="continue"/>
            <w:tcBorders>
              <w:bottom w:val="single" w:color="auto" w:sz="12" w:space="0"/>
            </w:tcBorders>
          </w:tcPr>
          <w:p w14:paraId="2E0FDB8D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</w:p>
        </w:tc>
        <w:tc>
          <w:tcPr>
            <w:tcW w:w="707" w:type="pct"/>
            <w:vMerge w:val="continue"/>
            <w:tcBorders>
              <w:bottom w:val="single" w:color="auto" w:sz="12" w:space="0"/>
            </w:tcBorders>
          </w:tcPr>
          <w:p w14:paraId="31668711">
            <w:pPr>
              <w:spacing w:line="240" w:lineRule="auto"/>
              <w:ind w:firstLine="0" w:firstLineChars="0"/>
              <w:jc w:val="center"/>
              <w:rPr>
                <w:rFonts w:cs="Times New Roman"/>
                <w:kern w:val="0"/>
                <w:sz w:val="21"/>
                <w:szCs w:val="21"/>
              </w:rPr>
            </w:pPr>
          </w:p>
        </w:tc>
      </w:tr>
    </w:tbl>
    <w:p w14:paraId="6A3437CF">
      <w:pPr>
        <w:spacing w:line="360" w:lineRule="auto"/>
        <w:ind w:firstLine="210"/>
        <w:rPr>
          <w:sz w:val="21"/>
          <w:szCs w:val="21"/>
        </w:rPr>
      </w:pPr>
    </w:p>
    <w:p w14:paraId="704DE5CD">
      <w:pPr>
        <w:spacing w:line="360" w:lineRule="auto"/>
        <w:ind w:firstLine="210"/>
        <w:rPr>
          <w:sz w:val="21"/>
          <w:szCs w:val="21"/>
        </w:rPr>
      </w:pPr>
      <w:r>
        <w:rPr>
          <w:sz w:val="21"/>
          <w:szCs w:val="21"/>
        </w:rPr>
        <w:t>[a].</w:t>
      </w:r>
      <w:r>
        <w:rPr>
          <w:rFonts w:hint="eastAsia"/>
          <w:sz w:val="21"/>
          <w:szCs w:val="21"/>
        </w:rPr>
        <w:t xml:space="preserve"> V</w:t>
      </w:r>
      <w:r>
        <w:rPr>
          <w:sz w:val="21"/>
          <w:szCs w:val="21"/>
        </w:rPr>
        <w:t>alue of the amplitude reduction factor (S</w:t>
      </w:r>
      <w:r>
        <w:rPr>
          <w:sz w:val="21"/>
          <w:szCs w:val="21"/>
          <w:vertAlign w:val="subscript"/>
        </w:rPr>
        <w:t>0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 xml:space="preserve">) was fixed to 0.79, M = Cr, Ga or Ge; [b]. Bond length is the interatomic distance; [c]. CN is the coordination number; [d]. </w:t>
      </w:r>
      <w:r>
        <w:rPr>
          <w:rFonts w:cs="Times New Roman"/>
          <w:sz w:val="21"/>
          <w:szCs w:val="21"/>
        </w:rPr>
        <w:t>σ</w:t>
      </w:r>
      <w:r>
        <w:rPr>
          <w:sz w:val="21"/>
          <w:szCs w:val="21"/>
          <w:vertAlign w:val="superscript"/>
        </w:rPr>
        <w:t>2</w:t>
      </w:r>
      <w:r>
        <w:rPr>
          <w:sz w:val="21"/>
          <w:szCs w:val="21"/>
        </w:rPr>
        <w:t xml:space="preserve"> is Debye-Waller factor (a measure of thermal and static disorder in absorber scatter distance); [e]. E</w:t>
      </w:r>
      <w:r>
        <w:rPr>
          <w:sz w:val="21"/>
          <w:szCs w:val="21"/>
          <w:vertAlign w:val="subscript"/>
        </w:rPr>
        <w:t>0</w:t>
      </w:r>
      <w:r>
        <w:rPr>
          <w:sz w:val="21"/>
          <w:szCs w:val="21"/>
        </w:rPr>
        <w:t xml:space="preserve"> shift is edge-energy shift (the difference between the zero kinetic energy value of the sample and that of the theoretical model); [f]. R factor is used to value the goodness of the fitting.</w:t>
      </w:r>
    </w:p>
    <w:p w14:paraId="7775CEFF">
      <w:pPr>
        <w:spacing w:line="360" w:lineRule="auto"/>
        <w:ind w:firstLine="0" w:firstLineChars="0"/>
        <w:rPr>
          <w:sz w:val="21"/>
          <w:szCs w:val="21"/>
        </w:rPr>
      </w:pPr>
    </w:p>
    <w:p w14:paraId="7D9311A2">
      <w:pPr>
        <w:ind w:firstLine="0" w:firstLineChars="0"/>
        <w:rPr>
          <w:b/>
          <w:bCs/>
        </w:rPr>
      </w:pPr>
      <w:r>
        <w:rPr>
          <w:b/>
          <w:bCs/>
        </w:rPr>
        <w:t>References</w:t>
      </w:r>
    </w:p>
    <w:p w14:paraId="0E185D94">
      <w:pPr>
        <w:spacing w:line="240" w:lineRule="auto"/>
        <w:ind w:left="440" w:hanging="440" w:firstLineChars="0"/>
        <w:rPr>
          <w:rFonts w:eastAsia="Times New Roman" w:cs="Times New Roman"/>
          <w:sz w:val="20"/>
        </w:rPr>
      </w:pPr>
      <w:bookmarkStart w:id="11" w:name="_ENREF_41"/>
      <w:r>
        <w:rPr>
          <w:rFonts w:eastAsia="Times New Roman" w:cs="Times New Roman"/>
          <w:sz w:val="20"/>
        </w:rPr>
        <w:t>1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ab/>
      </w:r>
      <w:r>
        <w:rPr>
          <w:rFonts w:eastAsia="Times New Roman" w:cs="Times New Roman"/>
          <w:sz w:val="20"/>
        </w:rPr>
        <w:t xml:space="preserve">Huang, </w:t>
      </w:r>
      <w:r>
        <w:rPr>
          <w:rFonts w:cs="Times New Roman" w:eastAsiaTheme="minorEastAsia"/>
          <w:sz w:val="20"/>
        </w:rPr>
        <w:t xml:space="preserve">D. C. et al. </w:t>
      </w:r>
      <w:r>
        <w:rPr>
          <w:rFonts w:eastAsia="Times New Roman" w:cs="Times New Roman"/>
          <w:sz w:val="20"/>
        </w:rPr>
        <w:t>Efficient and thermally stable broadband near-infrared emission from near zero thermal expansion AlP</w:t>
      </w:r>
      <w:r>
        <w:rPr>
          <w:rFonts w:eastAsia="Times New Roman" w:cs="Times New Roman"/>
          <w:sz w:val="20"/>
          <w:vertAlign w:val="subscript"/>
        </w:rPr>
        <w:t>3</w:t>
      </w:r>
      <w:r>
        <w:rPr>
          <w:rFonts w:eastAsia="Times New Roman" w:cs="Times New Roman"/>
          <w:sz w:val="20"/>
        </w:rPr>
        <w:t>O</w:t>
      </w:r>
      <w:r>
        <w:rPr>
          <w:rFonts w:eastAsia="Times New Roman" w:cs="Times New Roman"/>
          <w:sz w:val="20"/>
          <w:vertAlign w:val="subscript"/>
        </w:rPr>
        <w:t>9</w:t>
      </w:r>
      <w:r>
        <w:rPr>
          <w:rFonts w:eastAsia="Times New Roman" w:cs="Times New Roman"/>
          <w:sz w:val="20"/>
        </w:rPr>
        <w:t>:</w:t>
      </w:r>
      <w:r>
        <w:rPr>
          <w:rFonts w:cs="Times New Roman" w:eastAsiaTheme="minorEastAsia"/>
          <w:sz w:val="20"/>
        </w:rPr>
        <w:t xml:space="preserve"> </w:t>
      </w:r>
      <w:r>
        <w:rPr>
          <w:rFonts w:eastAsia="Times New Roman" w:cs="Times New Roman"/>
          <w:sz w:val="20"/>
        </w:rPr>
        <w:t>Cr</w:t>
      </w:r>
      <w:r>
        <w:rPr>
          <w:rFonts w:eastAsia="Times New Roman" w:cs="Times New Roman"/>
          <w:sz w:val="20"/>
          <w:vertAlign w:val="superscript"/>
        </w:rPr>
        <w:t>3+</w:t>
      </w:r>
      <w:r>
        <w:rPr>
          <w:rFonts w:eastAsia="Times New Roman" w:cs="Times New Roman"/>
          <w:sz w:val="20"/>
        </w:rPr>
        <w:t xml:space="preserve"> phosphors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 xml:space="preserve"> </w:t>
      </w:r>
      <w:r>
        <w:rPr>
          <w:rFonts w:eastAsia="Times New Roman" w:cs="Times New Roman"/>
          <w:i/>
          <w:iCs/>
          <w:sz w:val="20"/>
        </w:rPr>
        <w:t>Inorg. Chem. Front.</w:t>
      </w:r>
      <w:r>
        <w:rPr>
          <w:rFonts w:eastAsia="Times New Roman" w:cs="Times New Roman"/>
          <w:sz w:val="20"/>
        </w:rPr>
        <w:t xml:space="preserve"> </w:t>
      </w:r>
      <w:r>
        <w:rPr>
          <w:rFonts w:eastAsia="Times New Roman" w:cs="Times New Roman"/>
          <w:b/>
          <w:bCs/>
          <w:sz w:val="20"/>
        </w:rPr>
        <w:t>9</w:t>
      </w:r>
      <w:r>
        <w:rPr>
          <w:rFonts w:cs="Times New Roman" w:eastAsiaTheme="minorEastAsia"/>
          <w:sz w:val="20"/>
        </w:rPr>
        <w:t xml:space="preserve">, </w:t>
      </w:r>
      <w:r>
        <w:rPr>
          <w:rFonts w:eastAsia="Times New Roman" w:cs="Times New Roman"/>
          <w:sz w:val="20"/>
        </w:rPr>
        <w:t>692-1700 (2022).</w:t>
      </w:r>
      <w:bookmarkEnd w:id="11"/>
    </w:p>
    <w:p w14:paraId="57CAB5A1">
      <w:pPr>
        <w:spacing w:line="240" w:lineRule="auto"/>
        <w:ind w:left="440" w:hanging="440" w:firstLineChars="0"/>
        <w:rPr>
          <w:rFonts w:eastAsia="Times New Roman" w:cs="Times New Roman"/>
          <w:sz w:val="20"/>
        </w:rPr>
      </w:pPr>
      <w:bookmarkStart w:id="12" w:name="_ENREF_42"/>
      <w:r>
        <w:rPr>
          <w:rFonts w:eastAsia="Times New Roman" w:cs="Times New Roman"/>
          <w:sz w:val="20"/>
        </w:rPr>
        <w:t>2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ab/>
      </w:r>
      <w:r>
        <w:rPr>
          <w:rFonts w:eastAsia="Times New Roman" w:cs="Times New Roman"/>
          <w:sz w:val="20"/>
        </w:rPr>
        <w:t>S</w:t>
      </w:r>
      <w:r>
        <w:rPr>
          <w:rFonts w:cs="Times New Roman" w:eastAsiaTheme="minorEastAsia"/>
          <w:sz w:val="20"/>
        </w:rPr>
        <w:t xml:space="preserve">ong, </w:t>
      </w:r>
      <w:r>
        <w:rPr>
          <w:rFonts w:eastAsia="Times New Roman" w:cs="Times New Roman"/>
          <w:sz w:val="20"/>
        </w:rPr>
        <w:t>L.</w:t>
      </w:r>
      <w:r>
        <w:rPr>
          <w:rFonts w:cs="Times New Roman" w:eastAsiaTheme="minorEastAsia"/>
          <w:sz w:val="20"/>
        </w:rPr>
        <w:t xml:space="preserve"> P. et al.</w:t>
      </w:r>
      <w:r>
        <w:rPr>
          <w:rFonts w:eastAsia="Times New Roman" w:cs="Times New Roman"/>
          <w:sz w:val="20"/>
        </w:rPr>
        <w:t xml:space="preserve"> Ultra-broad </w:t>
      </w:r>
      <w:r>
        <w:rPr>
          <w:rFonts w:hint="eastAsia" w:cs="Times New Roman" w:eastAsiaTheme="minorEastAsia"/>
          <w:sz w:val="20"/>
        </w:rPr>
        <w:t>n</w:t>
      </w:r>
      <w:r>
        <w:rPr>
          <w:rFonts w:eastAsia="Times New Roman" w:cs="Times New Roman"/>
          <w:sz w:val="20"/>
        </w:rPr>
        <w:t>ear-</w:t>
      </w:r>
      <w:r>
        <w:rPr>
          <w:rFonts w:hint="eastAsia" w:cs="Times New Roman" w:eastAsiaTheme="minorEastAsia"/>
          <w:sz w:val="20"/>
        </w:rPr>
        <w:t>i</w:t>
      </w:r>
      <w:r>
        <w:rPr>
          <w:rFonts w:eastAsia="Times New Roman" w:cs="Times New Roman"/>
          <w:sz w:val="20"/>
        </w:rPr>
        <w:t xml:space="preserve">nfrared </w:t>
      </w:r>
      <w:r>
        <w:rPr>
          <w:rFonts w:hint="eastAsia" w:cs="Times New Roman" w:eastAsiaTheme="minorEastAsia"/>
          <w:sz w:val="20"/>
        </w:rPr>
        <w:t>e</w:t>
      </w:r>
      <w:r>
        <w:rPr>
          <w:rFonts w:eastAsia="Times New Roman" w:cs="Times New Roman"/>
          <w:sz w:val="20"/>
        </w:rPr>
        <w:t xml:space="preserve">mitting </w:t>
      </w:r>
      <w:r>
        <w:rPr>
          <w:rFonts w:hint="eastAsia" w:cs="Times New Roman" w:eastAsiaTheme="minorEastAsia"/>
          <w:sz w:val="20"/>
        </w:rPr>
        <w:t>p</w:t>
      </w:r>
      <w:r>
        <w:rPr>
          <w:rFonts w:eastAsia="Times New Roman" w:cs="Times New Roman"/>
          <w:sz w:val="20"/>
        </w:rPr>
        <w:t>hosphor LiInF</w:t>
      </w:r>
      <w:r>
        <w:rPr>
          <w:rFonts w:eastAsia="Times New Roman" w:cs="Times New Roman"/>
          <w:sz w:val="20"/>
          <w:vertAlign w:val="subscript"/>
        </w:rPr>
        <w:t>4</w:t>
      </w:r>
      <w:r>
        <w:rPr>
          <w:rFonts w:eastAsia="Times New Roman" w:cs="Times New Roman"/>
          <w:sz w:val="20"/>
        </w:rPr>
        <w:t>:</w:t>
      </w:r>
      <w:r>
        <w:rPr>
          <w:rFonts w:cs="Times New Roman" w:eastAsiaTheme="minorEastAsia"/>
          <w:sz w:val="20"/>
        </w:rPr>
        <w:t xml:space="preserve"> </w:t>
      </w:r>
      <w:r>
        <w:rPr>
          <w:rFonts w:eastAsia="Times New Roman" w:cs="Times New Roman"/>
          <w:sz w:val="20"/>
        </w:rPr>
        <w:t>Cr</w:t>
      </w:r>
      <w:r>
        <w:rPr>
          <w:rFonts w:eastAsia="Times New Roman" w:cs="Times New Roman"/>
          <w:sz w:val="20"/>
          <w:vertAlign w:val="superscript"/>
        </w:rPr>
        <w:t>3+</w:t>
      </w:r>
      <w:r>
        <w:rPr>
          <w:rFonts w:eastAsia="Times New Roman" w:cs="Times New Roman"/>
          <w:sz w:val="20"/>
        </w:rPr>
        <w:t xml:space="preserve"> with </w:t>
      </w:r>
      <w:r>
        <w:rPr>
          <w:rFonts w:hint="eastAsia" w:cs="Times New Roman" w:eastAsiaTheme="minorEastAsia"/>
          <w:sz w:val="20"/>
        </w:rPr>
        <w:t>e</w:t>
      </w:r>
      <w:r>
        <w:rPr>
          <w:rFonts w:eastAsia="Times New Roman" w:cs="Times New Roman"/>
          <w:sz w:val="20"/>
        </w:rPr>
        <w:t xml:space="preserve">xtremely </w:t>
      </w:r>
      <w:r>
        <w:rPr>
          <w:rFonts w:hint="eastAsia" w:cs="Times New Roman" w:eastAsiaTheme="minorEastAsia"/>
          <w:sz w:val="20"/>
        </w:rPr>
        <w:t>w</w:t>
      </w:r>
      <w:r>
        <w:rPr>
          <w:rFonts w:eastAsia="Times New Roman" w:cs="Times New Roman"/>
          <w:sz w:val="20"/>
        </w:rPr>
        <w:t xml:space="preserve">eak </w:t>
      </w:r>
      <w:r>
        <w:rPr>
          <w:rFonts w:hint="eastAsia" w:cs="Times New Roman" w:eastAsiaTheme="minorEastAsia"/>
          <w:sz w:val="20"/>
        </w:rPr>
        <w:t>c</w:t>
      </w:r>
      <w:r>
        <w:rPr>
          <w:rFonts w:eastAsia="Times New Roman" w:cs="Times New Roman"/>
          <w:sz w:val="20"/>
        </w:rPr>
        <w:t xml:space="preserve">rystal </w:t>
      </w:r>
      <w:r>
        <w:rPr>
          <w:rFonts w:hint="eastAsia" w:cs="Times New Roman" w:eastAsiaTheme="minorEastAsia"/>
          <w:sz w:val="20"/>
        </w:rPr>
        <w:t>f</w:t>
      </w:r>
      <w:r>
        <w:rPr>
          <w:rFonts w:eastAsia="Times New Roman" w:cs="Times New Roman"/>
          <w:sz w:val="20"/>
        </w:rPr>
        <w:t>ield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 xml:space="preserve"> </w:t>
      </w:r>
      <w:r>
        <w:rPr>
          <w:rFonts w:eastAsia="Times New Roman" w:cs="Times New Roman"/>
          <w:i/>
          <w:iCs/>
          <w:sz w:val="20"/>
        </w:rPr>
        <w:t>Inorg. Chem.</w:t>
      </w:r>
      <w:r>
        <w:rPr>
          <w:rFonts w:eastAsia="Times New Roman" w:cs="Times New Roman"/>
          <w:sz w:val="20"/>
        </w:rPr>
        <w:t xml:space="preserve"> </w:t>
      </w:r>
      <w:r>
        <w:rPr>
          <w:rFonts w:eastAsia="Times New Roman" w:cs="Times New Roman"/>
          <w:b/>
          <w:bCs/>
          <w:sz w:val="20"/>
        </w:rPr>
        <w:t>62</w:t>
      </w:r>
      <w:r>
        <w:rPr>
          <w:rFonts w:cs="Times New Roman" w:eastAsiaTheme="minorEastAsia"/>
          <w:sz w:val="20"/>
        </w:rPr>
        <w:t>,</w:t>
      </w:r>
      <w:r>
        <w:rPr>
          <w:rFonts w:eastAsia="Times New Roman" w:cs="Times New Roman"/>
          <w:sz w:val="20"/>
        </w:rPr>
        <w:t xml:space="preserve"> 11112-11120 (2023).</w:t>
      </w:r>
      <w:bookmarkEnd w:id="12"/>
    </w:p>
    <w:p w14:paraId="16A6CA8A">
      <w:pPr>
        <w:spacing w:line="240" w:lineRule="auto"/>
        <w:ind w:left="440" w:hanging="440" w:firstLineChars="0"/>
        <w:rPr>
          <w:rFonts w:cs="Times New Roman" w:eastAsiaTheme="minorEastAsia"/>
          <w:sz w:val="20"/>
        </w:rPr>
      </w:pPr>
      <w:bookmarkStart w:id="13" w:name="_ENREF_43"/>
      <w:r>
        <w:rPr>
          <w:rFonts w:eastAsia="Times New Roman" w:cs="Times New Roman"/>
          <w:sz w:val="20"/>
        </w:rPr>
        <w:t>3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ab/>
      </w:r>
      <w:r>
        <w:rPr>
          <w:rFonts w:eastAsia="Times New Roman" w:cs="Times New Roman"/>
          <w:sz w:val="20"/>
        </w:rPr>
        <w:t xml:space="preserve">Dalal M: </w:t>
      </w:r>
      <w:r>
        <w:rPr>
          <w:rFonts w:hint="eastAsia" w:cs="Times New Roman" w:eastAsiaTheme="minorEastAsia"/>
          <w:sz w:val="20"/>
        </w:rPr>
        <w:t>e</w:t>
      </w:r>
      <w:r>
        <w:rPr>
          <w:rFonts w:eastAsia="Times New Roman" w:cs="Times New Roman"/>
          <w:sz w:val="20"/>
        </w:rPr>
        <w:t xml:space="preserve">lectronic </w:t>
      </w:r>
      <w:r>
        <w:rPr>
          <w:rFonts w:hint="eastAsia" w:cs="Times New Roman" w:eastAsiaTheme="minorEastAsia"/>
          <w:sz w:val="20"/>
        </w:rPr>
        <w:t>s</w:t>
      </w:r>
      <w:r>
        <w:rPr>
          <w:rFonts w:eastAsia="Times New Roman" w:cs="Times New Roman"/>
          <w:sz w:val="20"/>
        </w:rPr>
        <w:t xml:space="preserve">pectra of </w:t>
      </w:r>
      <w:r>
        <w:rPr>
          <w:rFonts w:hint="eastAsia" w:cs="Times New Roman" w:eastAsiaTheme="minorEastAsia"/>
          <w:sz w:val="20"/>
        </w:rPr>
        <w:t>t</w:t>
      </w:r>
      <w:r>
        <w:rPr>
          <w:rFonts w:eastAsia="Times New Roman" w:cs="Times New Roman"/>
          <w:sz w:val="20"/>
        </w:rPr>
        <w:t xml:space="preserve">ransition </w:t>
      </w:r>
      <w:r>
        <w:rPr>
          <w:rFonts w:hint="eastAsia" w:cs="Times New Roman" w:eastAsiaTheme="minorEastAsia"/>
          <w:sz w:val="20"/>
        </w:rPr>
        <w:t>m</w:t>
      </w:r>
      <w:r>
        <w:rPr>
          <w:rFonts w:eastAsia="Times New Roman" w:cs="Times New Roman"/>
          <w:sz w:val="20"/>
        </w:rPr>
        <w:t xml:space="preserve">etal </w:t>
      </w:r>
      <w:r>
        <w:rPr>
          <w:rFonts w:hint="eastAsia" w:cs="Times New Roman" w:eastAsiaTheme="minorEastAsia"/>
          <w:sz w:val="20"/>
        </w:rPr>
        <w:t>c</w:t>
      </w:r>
      <w:r>
        <w:rPr>
          <w:rFonts w:eastAsia="Times New Roman" w:cs="Times New Roman"/>
          <w:sz w:val="20"/>
        </w:rPr>
        <w:t xml:space="preserve">omplexes, </w:t>
      </w:r>
      <w:r>
        <w:rPr>
          <w:rFonts w:hint="eastAsia" w:cs="Times New Roman" w:eastAsiaTheme="minorEastAsia"/>
          <w:sz w:val="20"/>
        </w:rPr>
        <w:t>a</w:t>
      </w:r>
      <w:r>
        <w:rPr>
          <w:rFonts w:eastAsia="Times New Roman" w:cs="Times New Roman"/>
          <w:sz w:val="20"/>
        </w:rPr>
        <w:t xml:space="preserve"> </w:t>
      </w:r>
      <w:r>
        <w:rPr>
          <w:rFonts w:hint="eastAsia" w:cs="Times New Roman" w:eastAsiaTheme="minorEastAsia"/>
          <w:sz w:val="20"/>
        </w:rPr>
        <w:t>t</w:t>
      </w:r>
      <w:r>
        <w:rPr>
          <w:rFonts w:eastAsia="Times New Roman" w:cs="Times New Roman"/>
          <w:sz w:val="20"/>
        </w:rPr>
        <w:t xml:space="preserve">extbook of </w:t>
      </w:r>
      <w:r>
        <w:rPr>
          <w:rFonts w:hint="eastAsia" w:cs="Times New Roman" w:eastAsiaTheme="minorEastAsia"/>
          <w:sz w:val="20"/>
        </w:rPr>
        <w:t>i</w:t>
      </w:r>
      <w:r>
        <w:rPr>
          <w:rFonts w:eastAsia="Times New Roman" w:cs="Times New Roman"/>
          <w:sz w:val="20"/>
        </w:rPr>
        <w:t xml:space="preserve">norganic </w:t>
      </w:r>
      <w:r>
        <w:rPr>
          <w:rFonts w:hint="eastAsia" w:cs="Times New Roman" w:eastAsiaTheme="minorEastAsia"/>
          <w:sz w:val="20"/>
        </w:rPr>
        <w:t>c</w:t>
      </w:r>
      <w:r>
        <w:rPr>
          <w:rFonts w:eastAsia="Times New Roman" w:cs="Times New Roman"/>
          <w:sz w:val="20"/>
        </w:rPr>
        <w:t>hemistry, India: Dalal Institute</w:t>
      </w:r>
      <w:r>
        <w:rPr>
          <w:rFonts w:cs="Times New Roman" w:eastAsiaTheme="minorEastAsia"/>
          <w:sz w:val="20"/>
        </w:rPr>
        <w:t>.</w:t>
      </w:r>
      <w:r>
        <w:rPr>
          <w:rFonts w:eastAsia="Times New Roman" w:cs="Times New Roman"/>
          <w:sz w:val="20"/>
        </w:rPr>
        <w:t xml:space="preserve"> </w:t>
      </w:r>
      <w:r>
        <w:rPr>
          <w:rFonts w:cs="Times New Roman" w:eastAsiaTheme="minorEastAsia"/>
          <w:b/>
          <w:bCs/>
          <w:sz w:val="20"/>
        </w:rPr>
        <w:t>1</w:t>
      </w:r>
      <w:r>
        <w:rPr>
          <w:rFonts w:cs="Times New Roman" w:eastAsiaTheme="minorEastAsia"/>
          <w:sz w:val="20"/>
        </w:rPr>
        <w:t xml:space="preserve">, </w:t>
      </w:r>
      <w:r>
        <w:rPr>
          <w:rFonts w:eastAsia="Times New Roman" w:cs="Times New Roman"/>
          <w:sz w:val="20"/>
        </w:rPr>
        <w:t>280-299</w:t>
      </w:r>
      <w:r>
        <w:rPr>
          <w:rFonts w:cs="Times New Roman" w:eastAsiaTheme="minorEastAsia"/>
          <w:sz w:val="20"/>
        </w:rPr>
        <w:t xml:space="preserve"> (</w:t>
      </w:r>
      <w:r>
        <w:rPr>
          <w:rFonts w:eastAsia="Times New Roman" w:cs="Times New Roman"/>
          <w:sz w:val="20"/>
        </w:rPr>
        <w:t>2017</w:t>
      </w:r>
      <w:r>
        <w:rPr>
          <w:rFonts w:cs="Times New Roman" w:eastAsiaTheme="minorEastAsia"/>
          <w:sz w:val="20"/>
        </w:rPr>
        <w:t>)</w:t>
      </w:r>
      <w:r>
        <w:rPr>
          <w:rFonts w:eastAsia="Times New Roman" w:cs="Times New Roman"/>
          <w:sz w:val="20"/>
        </w:rPr>
        <w:t>.</w:t>
      </w:r>
      <w:bookmarkEnd w:id="13"/>
    </w:p>
    <w:p w14:paraId="17B4DCF0">
      <w:pPr>
        <w:pStyle w:val="55"/>
        <w:ind w:left="440" w:hanging="440"/>
      </w:pPr>
      <w:bookmarkStart w:id="14" w:name="_ENREF_1"/>
      <w:r>
        <w:rPr>
          <w:rFonts w:hint="eastAsia" w:eastAsiaTheme="minorEastAsia"/>
        </w:rPr>
        <w:t>4.</w:t>
      </w:r>
      <w:r>
        <w:tab/>
      </w:r>
      <w:r>
        <w:t xml:space="preserve">Liu, </w:t>
      </w:r>
      <w:r>
        <w:rPr>
          <w:rFonts w:hint="eastAsia" w:eastAsiaTheme="minorEastAsia"/>
        </w:rPr>
        <w:t>T</w:t>
      </w:r>
      <w:r>
        <w:t>.</w:t>
      </w:r>
      <w:r>
        <w:rPr>
          <w:rFonts w:hint="eastAsia" w:eastAsiaTheme="minorEastAsia"/>
        </w:rPr>
        <w:t xml:space="preserve"> Y. et al.</w:t>
      </w:r>
      <w:r>
        <w:t xml:space="preserve"> Efficient near-infrared pyroxene phosphor LiInGe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6</w:t>
      </w:r>
      <w:r>
        <w:t>: Cr</w:t>
      </w:r>
      <w:r>
        <w:rPr>
          <w:vertAlign w:val="superscript"/>
        </w:rPr>
        <w:t>3+</w:t>
      </w:r>
      <w:r>
        <w:t xml:space="preserve"> for NIR spectroscopy application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J. Am. Ceram. Soc.</w:t>
      </w:r>
      <w:r>
        <w:t xml:space="preserve"> </w:t>
      </w:r>
      <w:r>
        <w:rPr>
          <w:b/>
          <w:bCs/>
        </w:rPr>
        <w:t>104</w:t>
      </w:r>
      <w:r>
        <w:rPr>
          <w:rFonts w:hint="eastAsia" w:eastAsiaTheme="minorEastAsia"/>
        </w:rPr>
        <w:t>,</w:t>
      </w:r>
      <w:r>
        <w:t xml:space="preserve"> 4577-4584 (2021).</w:t>
      </w:r>
      <w:bookmarkEnd w:id="14"/>
    </w:p>
    <w:p w14:paraId="108C9DA3">
      <w:pPr>
        <w:pStyle w:val="55"/>
        <w:ind w:left="440" w:hanging="440"/>
      </w:pPr>
      <w:bookmarkStart w:id="15" w:name="_ENREF_2"/>
      <w:r>
        <w:rPr>
          <w:rFonts w:hint="eastAsia" w:eastAsiaTheme="minorEastAsia"/>
        </w:rPr>
        <w:t>5.</w:t>
      </w:r>
      <w:r>
        <w:tab/>
      </w:r>
      <w:r>
        <w:t xml:space="preserve">Qin, </w:t>
      </w:r>
      <w:r>
        <w:rPr>
          <w:rFonts w:hint="eastAsia" w:eastAsiaTheme="minorEastAsia"/>
        </w:rPr>
        <w:t>Y. F.</w:t>
      </w:r>
      <w:r>
        <w:t xml:space="preserve"> </w:t>
      </w:r>
      <w:r>
        <w:rPr>
          <w:rFonts w:hint="eastAsia" w:eastAsiaTheme="minorEastAsia"/>
        </w:rPr>
        <w:t xml:space="preserve">et al. </w:t>
      </w:r>
      <w:r>
        <w:t>Efficient near-infrared luminescence in LiInO</w:t>
      </w:r>
      <w:r>
        <w:rPr>
          <w:vertAlign w:val="subscript"/>
        </w:rPr>
        <w:t>2</w:t>
      </w:r>
      <w:r>
        <w:t>: Cr</w:t>
      </w:r>
      <w:r>
        <w:rPr>
          <w:vertAlign w:val="superscript"/>
        </w:rPr>
        <w:t>3+</w:t>
      </w:r>
      <w:r>
        <w:t xml:space="preserve"> phosphor for light-emitting-diodes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Opt. Mater.</w:t>
      </w:r>
      <w:r>
        <w:t xml:space="preserve"> </w:t>
      </w:r>
      <w:r>
        <w:rPr>
          <w:b/>
          <w:bCs/>
        </w:rPr>
        <w:t>143</w:t>
      </w:r>
      <w:r>
        <w:rPr>
          <w:rFonts w:hint="eastAsia" w:eastAsiaTheme="minorEastAsia"/>
        </w:rPr>
        <w:t>,</w:t>
      </w:r>
      <w:r>
        <w:t xml:space="preserve"> 114284 (2023).</w:t>
      </w:r>
      <w:bookmarkEnd w:id="15"/>
    </w:p>
    <w:p w14:paraId="7D881D66">
      <w:pPr>
        <w:pStyle w:val="55"/>
        <w:ind w:left="440" w:hanging="440"/>
      </w:pPr>
      <w:bookmarkStart w:id="16" w:name="_ENREF_3"/>
      <w:r>
        <w:rPr>
          <w:rFonts w:hint="eastAsia" w:eastAsiaTheme="minorEastAsia"/>
        </w:rPr>
        <w:t>6.</w:t>
      </w:r>
      <w:r>
        <w:tab/>
      </w:r>
      <w:r>
        <w:t>Peng,</w:t>
      </w:r>
      <w:r>
        <w:rPr>
          <w:rFonts w:hint="eastAsia" w:eastAsiaTheme="minorEastAsia"/>
        </w:rPr>
        <w:t xml:space="preserve"> </w:t>
      </w:r>
      <w:r>
        <w:t xml:space="preserve">C.-Y. </w:t>
      </w:r>
      <w:r>
        <w:rPr>
          <w:rFonts w:hint="eastAsia" w:eastAsiaTheme="minorEastAsia"/>
        </w:rPr>
        <w:t xml:space="preserve">et al. </w:t>
      </w:r>
      <w:r>
        <w:t>Six- and five-coordinated Cr</w:t>
      </w:r>
      <w:r>
        <w:rPr>
          <w:vertAlign w:val="superscript"/>
        </w:rPr>
        <w:t>3+</w:t>
      </w:r>
      <w:r>
        <w:t xml:space="preserve"> in Ga</w:t>
      </w:r>
      <w:r>
        <w:rPr>
          <w:vertAlign w:val="subscript"/>
        </w:rPr>
        <w:t>2</w:t>
      </w:r>
      <w:r>
        <w:t>GeO</w:t>
      </w:r>
      <w:r>
        <w:rPr>
          <w:vertAlign w:val="subscript"/>
        </w:rPr>
        <w:t>5</w:t>
      </w:r>
      <w:r>
        <w:t xml:space="preserve"> invokes tunable broadband near-infrared emission toward night-vision applications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Rare Met.</w:t>
      </w:r>
      <w:r>
        <w:t xml:space="preserve"> </w:t>
      </w:r>
      <w:r>
        <w:rPr>
          <w:b/>
          <w:bCs/>
        </w:rPr>
        <w:t>42</w:t>
      </w:r>
      <w:r>
        <w:rPr>
          <w:rFonts w:hint="eastAsia" w:eastAsiaTheme="minorEastAsia"/>
        </w:rPr>
        <w:t>,</w:t>
      </w:r>
      <w:r>
        <w:t xml:space="preserve"> 3787-3796 (2023).</w:t>
      </w:r>
      <w:bookmarkEnd w:id="16"/>
    </w:p>
    <w:p w14:paraId="69DCD22E">
      <w:pPr>
        <w:pStyle w:val="55"/>
        <w:ind w:left="440" w:hanging="440"/>
      </w:pPr>
      <w:bookmarkStart w:id="17" w:name="_ENREF_4"/>
      <w:r>
        <w:rPr>
          <w:rFonts w:hint="eastAsia" w:eastAsiaTheme="minorEastAsia"/>
        </w:rPr>
        <w:t>7.</w:t>
      </w:r>
      <w:r>
        <w:tab/>
      </w:r>
      <w:r>
        <w:t>Zhou</w:t>
      </w:r>
      <w:r>
        <w:rPr>
          <w:rFonts w:hint="eastAsia" w:eastAsiaTheme="minorEastAsia"/>
        </w:rPr>
        <w:t xml:space="preserve">, </w:t>
      </w:r>
      <w:r>
        <w:t xml:space="preserve">W. </w:t>
      </w:r>
      <w:r>
        <w:rPr>
          <w:rFonts w:hint="eastAsia" w:eastAsiaTheme="minorEastAsia"/>
        </w:rPr>
        <w:t>Y.</w:t>
      </w:r>
      <w:r>
        <w:t xml:space="preserve"> </w:t>
      </w:r>
      <w:r>
        <w:rPr>
          <w:rFonts w:hint="eastAsia" w:eastAsiaTheme="minorEastAsia"/>
        </w:rPr>
        <w:t xml:space="preserve">et al. </w:t>
      </w:r>
      <w:r>
        <w:t xml:space="preserve">Luminescent properties and LED </w:t>
      </w:r>
      <w:r>
        <w:rPr>
          <w:rFonts w:hint="eastAsia" w:eastAsiaTheme="minorEastAsia"/>
        </w:rPr>
        <w:t>a</w:t>
      </w:r>
      <w:r>
        <w:t xml:space="preserve">pplication of </w:t>
      </w:r>
      <w:r>
        <w:rPr>
          <w:rFonts w:hint="eastAsia" w:eastAsiaTheme="minorEastAsia"/>
        </w:rPr>
        <w:t>b</w:t>
      </w:r>
      <w:r>
        <w:t xml:space="preserve">roadband </w:t>
      </w:r>
      <w:r>
        <w:rPr>
          <w:rFonts w:hint="eastAsia" w:eastAsiaTheme="minorEastAsia"/>
        </w:rPr>
        <w:t>n</w:t>
      </w:r>
      <w:r>
        <w:t>ear-</w:t>
      </w:r>
      <w:r>
        <w:rPr>
          <w:rFonts w:hint="eastAsia" w:eastAsiaTheme="minorEastAsia"/>
        </w:rPr>
        <w:t>i</w:t>
      </w:r>
      <w:r>
        <w:t xml:space="preserve">nfrared </w:t>
      </w:r>
      <w:r>
        <w:rPr>
          <w:rFonts w:hint="eastAsia" w:eastAsiaTheme="minorEastAsia"/>
        </w:rPr>
        <w:t>e</w:t>
      </w:r>
      <w:r>
        <w:t>mitting NaInGe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6</w:t>
      </w:r>
      <w:r>
        <w:t>: Cr</w:t>
      </w:r>
      <w:r>
        <w:rPr>
          <w:vertAlign w:val="superscript"/>
        </w:rPr>
        <w:t>3+</w:t>
      </w:r>
      <w:r>
        <w:t xml:space="preserve"> phosphors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Ceram. Int.</w:t>
      </w:r>
      <w:r>
        <w:t xml:space="preserve"> </w:t>
      </w:r>
      <w:r>
        <w:rPr>
          <w:b/>
          <w:bCs/>
        </w:rPr>
        <w:t>47</w:t>
      </w:r>
      <w:r>
        <w:rPr>
          <w:rFonts w:hint="eastAsia" w:eastAsiaTheme="minorEastAsia"/>
        </w:rPr>
        <w:t xml:space="preserve">, </w:t>
      </w:r>
      <w:r>
        <w:t>25343-25349 (2021</w:t>
      </w:r>
      <w:r>
        <w:rPr>
          <w:rFonts w:hint="eastAsia" w:eastAsiaTheme="minorEastAsia"/>
        </w:rPr>
        <w:t>)</w:t>
      </w:r>
      <w:r>
        <w:t>.</w:t>
      </w:r>
      <w:bookmarkEnd w:id="17"/>
    </w:p>
    <w:p w14:paraId="57781FED">
      <w:pPr>
        <w:pStyle w:val="55"/>
        <w:ind w:left="440" w:hanging="440"/>
      </w:pPr>
      <w:bookmarkStart w:id="18" w:name="_ENREF_5"/>
      <w:r>
        <w:rPr>
          <w:rFonts w:hint="eastAsia" w:eastAsiaTheme="minorEastAsia"/>
        </w:rPr>
        <w:t>8.</w:t>
      </w:r>
      <w:r>
        <w:tab/>
      </w:r>
      <w:r>
        <w:t xml:space="preserve">Qin, </w:t>
      </w:r>
      <w:r>
        <w:rPr>
          <w:rFonts w:hint="eastAsia" w:eastAsiaTheme="minorEastAsia"/>
        </w:rPr>
        <w:t>S. L.</w:t>
      </w:r>
      <w:r>
        <w:t xml:space="preserve"> </w:t>
      </w:r>
      <w:r>
        <w:rPr>
          <w:rFonts w:hint="eastAsia" w:eastAsiaTheme="minorEastAsia"/>
        </w:rPr>
        <w:t xml:space="preserve">et al. </w:t>
      </w:r>
      <w:r>
        <w:t>Dual site occupation toward the broadband near-infrared ZnNb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6</w:t>
      </w:r>
      <w:r>
        <w:t>: Cr</w:t>
      </w:r>
      <w:r>
        <w:rPr>
          <w:vertAlign w:val="superscript"/>
        </w:rPr>
        <w:t>3+</w:t>
      </w:r>
      <w:r>
        <w:t xml:space="preserve"> phosphor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J. Lumin.</w:t>
      </w:r>
      <w:r>
        <w:t xml:space="preserve"> </w:t>
      </w:r>
      <w:r>
        <w:rPr>
          <w:b/>
          <w:bCs/>
        </w:rPr>
        <w:t>289</w:t>
      </w:r>
      <w:r>
        <w:rPr>
          <w:rFonts w:hint="eastAsia" w:eastAsiaTheme="minorEastAsia"/>
        </w:rPr>
        <w:t xml:space="preserve">, </w:t>
      </w:r>
      <w:r>
        <w:t>121640 (2026).</w:t>
      </w:r>
      <w:bookmarkEnd w:id="18"/>
    </w:p>
    <w:p w14:paraId="366DB28C">
      <w:pPr>
        <w:pStyle w:val="55"/>
        <w:ind w:left="440" w:hanging="440"/>
      </w:pPr>
      <w:bookmarkStart w:id="19" w:name="_ENREF_6"/>
      <w:r>
        <w:rPr>
          <w:rFonts w:hint="eastAsia" w:eastAsiaTheme="minorEastAsia"/>
        </w:rPr>
        <w:t>9.</w:t>
      </w:r>
      <w:r>
        <w:tab/>
      </w:r>
      <w:r>
        <w:t>He,</w:t>
      </w:r>
      <w:r>
        <w:rPr>
          <w:rFonts w:hint="eastAsia" w:eastAsiaTheme="minorEastAsia"/>
        </w:rPr>
        <w:t xml:space="preserve"> S. X.</w:t>
      </w:r>
      <w:r>
        <w:t xml:space="preserve"> </w:t>
      </w:r>
      <w:r>
        <w:rPr>
          <w:rFonts w:hint="eastAsia" w:eastAsiaTheme="minorEastAsia"/>
        </w:rPr>
        <w:t>et al.</w:t>
      </w:r>
      <w:r>
        <w:t xml:space="preserve"> Near-</w:t>
      </w:r>
      <w:r>
        <w:rPr>
          <w:rFonts w:hint="eastAsia" w:eastAsiaTheme="minorEastAsia"/>
        </w:rPr>
        <w:t>i</w:t>
      </w:r>
      <w:r>
        <w:t xml:space="preserve">nfrared </w:t>
      </w:r>
      <w:r>
        <w:rPr>
          <w:rFonts w:hint="eastAsia" w:eastAsiaTheme="minorEastAsia"/>
        </w:rPr>
        <w:t>b</w:t>
      </w:r>
      <w:r>
        <w:t>roadband ZnTa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6</w:t>
      </w:r>
      <w:r>
        <w:t>: Cr</w:t>
      </w:r>
      <w:r>
        <w:rPr>
          <w:vertAlign w:val="superscript"/>
        </w:rPr>
        <w:t>3+</w:t>
      </w:r>
      <w:r>
        <w:t xml:space="preserve"> </w:t>
      </w:r>
      <w:r>
        <w:rPr>
          <w:rFonts w:hint="eastAsia" w:eastAsiaTheme="minorEastAsia"/>
        </w:rPr>
        <w:t>p</w:t>
      </w:r>
      <w:r>
        <w:t xml:space="preserve">hosphor for pc-LEDs and </w:t>
      </w:r>
      <w:r>
        <w:rPr>
          <w:rFonts w:hint="eastAsia" w:eastAsiaTheme="minorEastAsia"/>
        </w:rPr>
        <w:t>i</w:t>
      </w:r>
      <w:r>
        <w:t xml:space="preserve">ts </w:t>
      </w:r>
      <w:r>
        <w:rPr>
          <w:rFonts w:hint="eastAsia" w:eastAsiaTheme="minorEastAsia"/>
        </w:rPr>
        <w:t>a</w:t>
      </w:r>
      <w:r>
        <w:t xml:space="preserve">pplication to </w:t>
      </w:r>
      <w:r>
        <w:rPr>
          <w:rFonts w:hint="eastAsia" w:eastAsiaTheme="minorEastAsia"/>
        </w:rPr>
        <w:t>n</w:t>
      </w:r>
      <w:r>
        <w:t xml:space="preserve">ondestructive </w:t>
      </w:r>
      <w:r>
        <w:rPr>
          <w:rFonts w:hint="eastAsia" w:eastAsiaTheme="minorEastAsia"/>
        </w:rPr>
        <w:t>t</w:t>
      </w:r>
      <w:r>
        <w:t>esting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Inorg. Chem.</w:t>
      </w:r>
      <w:r>
        <w:t xml:space="preserve"> </w:t>
      </w:r>
      <w:r>
        <w:rPr>
          <w:b/>
          <w:bCs/>
        </w:rPr>
        <w:t>61</w:t>
      </w:r>
      <w:r>
        <w:rPr>
          <w:rFonts w:hint="eastAsia" w:eastAsiaTheme="minorEastAsia"/>
        </w:rPr>
        <w:t xml:space="preserve">, </w:t>
      </w:r>
      <w:r>
        <w:t>11284-11292 (2022).</w:t>
      </w:r>
      <w:bookmarkEnd w:id="19"/>
    </w:p>
    <w:p w14:paraId="29676A78">
      <w:pPr>
        <w:pStyle w:val="55"/>
        <w:ind w:left="440" w:hanging="440"/>
      </w:pPr>
      <w:bookmarkStart w:id="20" w:name="_ENREF_7"/>
      <w:r>
        <w:rPr>
          <w:rFonts w:hint="eastAsia" w:eastAsiaTheme="minorEastAsia"/>
        </w:rPr>
        <w:t>10.</w:t>
      </w:r>
      <w:r>
        <w:tab/>
      </w:r>
      <w:r>
        <w:t xml:space="preserve">Cai, </w:t>
      </w:r>
      <w:r>
        <w:rPr>
          <w:rFonts w:hint="eastAsia" w:eastAsiaTheme="minorEastAsia"/>
        </w:rPr>
        <w:t>H.</w:t>
      </w:r>
      <w:r>
        <w:t xml:space="preserve"> </w:t>
      </w:r>
      <w:r>
        <w:rPr>
          <w:rFonts w:hint="eastAsia" w:eastAsiaTheme="minorEastAsia"/>
        </w:rPr>
        <w:t xml:space="preserve">et al. </w:t>
      </w:r>
      <w:r>
        <w:t>Tuning luminescence from NIR-I to NIR-II in Cr</w:t>
      </w:r>
      <w:r>
        <w:rPr>
          <w:vertAlign w:val="superscript"/>
        </w:rPr>
        <w:t>3+</w:t>
      </w:r>
      <w:r>
        <w:t>-doped olivine phosphors for nondestructive analysis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J. Mater. Chem. C</w:t>
      </w:r>
      <w:r>
        <w:rPr>
          <w:rFonts w:hint="eastAsia" w:eastAsiaTheme="minorEastAsia"/>
          <w:i/>
          <w:iCs/>
        </w:rPr>
        <w:t>.</w:t>
      </w:r>
      <w:r>
        <w:t xml:space="preserve"> </w:t>
      </w:r>
      <w:r>
        <w:rPr>
          <w:b/>
          <w:bCs/>
        </w:rPr>
        <w:t>9</w:t>
      </w:r>
      <w:r>
        <w:rPr>
          <w:rFonts w:hint="eastAsia" w:eastAsiaTheme="minorEastAsia"/>
        </w:rPr>
        <w:t>,</w:t>
      </w:r>
      <w:r>
        <w:t xml:space="preserve"> 5469-5477 (2021).</w:t>
      </w:r>
      <w:bookmarkEnd w:id="20"/>
    </w:p>
    <w:p w14:paraId="7F6C4D9D">
      <w:pPr>
        <w:pStyle w:val="55"/>
        <w:ind w:left="440" w:hanging="440"/>
      </w:pPr>
      <w:bookmarkStart w:id="21" w:name="_ENREF_8"/>
      <w:r>
        <w:rPr>
          <w:rFonts w:hint="eastAsia" w:eastAsiaTheme="minorEastAsia"/>
        </w:rPr>
        <w:t>11.</w:t>
      </w:r>
      <w:r>
        <w:tab/>
      </w:r>
      <w:r>
        <w:t xml:space="preserve">Yang, </w:t>
      </w:r>
      <w:r>
        <w:rPr>
          <w:rFonts w:hint="eastAsia" w:eastAsiaTheme="minorEastAsia"/>
        </w:rPr>
        <w:t xml:space="preserve">Y. et al. </w:t>
      </w:r>
      <w:r>
        <w:t>Ultra-</w:t>
      </w:r>
      <w:r>
        <w:rPr>
          <w:rFonts w:hint="eastAsia" w:eastAsiaTheme="minorEastAsia"/>
        </w:rPr>
        <w:t>b</w:t>
      </w:r>
      <w:r>
        <w:t xml:space="preserve">roadband </w:t>
      </w:r>
      <w:r>
        <w:rPr>
          <w:rFonts w:hint="eastAsia" w:eastAsiaTheme="minorEastAsia"/>
        </w:rPr>
        <w:t>n</w:t>
      </w:r>
      <w:r>
        <w:t>ear-</w:t>
      </w:r>
      <w:r>
        <w:rPr>
          <w:rFonts w:hint="eastAsia" w:eastAsiaTheme="minorEastAsia"/>
        </w:rPr>
        <w:t>i</w:t>
      </w:r>
      <w:r>
        <w:t xml:space="preserve">nfrared </w:t>
      </w:r>
      <w:r>
        <w:rPr>
          <w:rFonts w:hint="eastAsia" w:eastAsiaTheme="minorEastAsia"/>
        </w:rPr>
        <w:t>p</w:t>
      </w:r>
      <w:r>
        <w:t xml:space="preserve">hosphors </w:t>
      </w:r>
      <w:r>
        <w:rPr>
          <w:rFonts w:hint="eastAsia" w:eastAsiaTheme="minorEastAsia"/>
        </w:rPr>
        <w:t>r</w:t>
      </w:r>
      <w:r>
        <w:t xml:space="preserve">ealized by the </w:t>
      </w:r>
      <w:r>
        <w:rPr>
          <w:rFonts w:hint="eastAsia" w:eastAsiaTheme="minorEastAsia"/>
        </w:rPr>
        <w:t>h</w:t>
      </w:r>
      <w:r>
        <w:t xml:space="preserve">eterovalent </w:t>
      </w:r>
      <w:r>
        <w:rPr>
          <w:rFonts w:hint="eastAsia" w:eastAsiaTheme="minorEastAsia"/>
        </w:rPr>
        <w:t>s</w:t>
      </w:r>
      <w:r>
        <w:t xml:space="preserve">ubstitution </w:t>
      </w:r>
      <w:r>
        <w:rPr>
          <w:rFonts w:hint="eastAsia" w:eastAsiaTheme="minorEastAsia"/>
        </w:rPr>
        <w:t>s</w:t>
      </w:r>
      <w:r>
        <w:t>trategy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Inorg. Chem.</w:t>
      </w:r>
      <w:r>
        <w:t xml:space="preserve"> </w:t>
      </w:r>
      <w:r>
        <w:rPr>
          <w:b/>
          <w:bCs/>
        </w:rPr>
        <w:t>62</w:t>
      </w:r>
      <w:r>
        <w:rPr>
          <w:rFonts w:hint="eastAsia" w:eastAsiaTheme="minorEastAsia"/>
        </w:rPr>
        <w:t>,</w:t>
      </w:r>
      <w:r>
        <w:t xml:space="preserve"> 3601-3608 (2023</w:t>
      </w:r>
      <w:r>
        <w:rPr>
          <w:rFonts w:hint="eastAsia" w:eastAsiaTheme="minorEastAsia"/>
        </w:rPr>
        <w:t>)</w:t>
      </w:r>
      <w:r>
        <w:t>.</w:t>
      </w:r>
      <w:bookmarkEnd w:id="21"/>
    </w:p>
    <w:p w14:paraId="78EA7FEF">
      <w:pPr>
        <w:pStyle w:val="55"/>
        <w:ind w:left="440" w:hanging="440"/>
      </w:pPr>
      <w:bookmarkStart w:id="22" w:name="_ENREF_9"/>
      <w:r>
        <w:rPr>
          <w:rFonts w:hint="eastAsia" w:eastAsiaTheme="minorEastAsia"/>
        </w:rPr>
        <w:t>12.</w:t>
      </w:r>
      <w:r>
        <w:tab/>
      </w:r>
      <w:r>
        <w:t xml:space="preserve">Liu, </w:t>
      </w:r>
      <w:r>
        <w:rPr>
          <w:rFonts w:hint="eastAsia" w:eastAsiaTheme="minorEastAsia"/>
        </w:rPr>
        <w:t>D. J.</w:t>
      </w:r>
      <w:r>
        <w:t xml:space="preserve"> </w:t>
      </w:r>
      <w:r>
        <w:rPr>
          <w:rFonts w:hint="eastAsia" w:eastAsiaTheme="minorEastAsia"/>
        </w:rPr>
        <w:t xml:space="preserve">et al. </w:t>
      </w:r>
      <w:r>
        <w:t xml:space="preserve">Simultaneous </w:t>
      </w:r>
      <w:r>
        <w:rPr>
          <w:rFonts w:hint="eastAsia" w:eastAsiaTheme="minorEastAsia"/>
        </w:rPr>
        <w:t>b</w:t>
      </w:r>
      <w:r>
        <w:t xml:space="preserve">roadening and </w:t>
      </w:r>
      <w:r>
        <w:rPr>
          <w:rFonts w:hint="eastAsia" w:eastAsiaTheme="minorEastAsia"/>
        </w:rPr>
        <w:t>e</w:t>
      </w:r>
      <w:r>
        <w:t>nhancement of Cr</w:t>
      </w:r>
      <w:r>
        <w:rPr>
          <w:vertAlign w:val="superscript"/>
        </w:rPr>
        <w:t>3+</w:t>
      </w:r>
      <w:r>
        <w:t xml:space="preserve"> </w:t>
      </w:r>
      <w:r>
        <w:rPr>
          <w:rFonts w:hint="eastAsia" w:eastAsiaTheme="minorEastAsia"/>
        </w:rPr>
        <w:t>p</w:t>
      </w:r>
      <w:r>
        <w:t>hotoluminescence in LiIn</w:t>
      </w:r>
      <w:r>
        <w:rPr>
          <w:vertAlign w:val="subscript"/>
        </w:rPr>
        <w:t>2</w:t>
      </w:r>
      <w:r>
        <w:t>SbO</w:t>
      </w:r>
      <w:r>
        <w:rPr>
          <w:vertAlign w:val="subscript"/>
        </w:rPr>
        <w:t>6</w:t>
      </w:r>
      <w:r>
        <w:t xml:space="preserve"> by </w:t>
      </w:r>
      <w:r>
        <w:rPr>
          <w:rFonts w:hint="eastAsia" w:eastAsiaTheme="minorEastAsia"/>
        </w:rPr>
        <w:t>c</w:t>
      </w:r>
      <w:r>
        <w:t xml:space="preserve">hemical </w:t>
      </w:r>
      <w:r>
        <w:rPr>
          <w:rFonts w:hint="eastAsia" w:eastAsiaTheme="minorEastAsia"/>
        </w:rPr>
        <w:t>u</w:t>
      </w:r>
      <w:r>
        <w:t xml:space="preserve">nit </w:t>
      </w:r>
      <w:r>
        <w:rPr>
          <w:rFonts w:hint="eastAsia" w:eastAsiaTheme="minorEastAsia"/>
        </w:rPr>
        <w:t>c</w:t>
      </w:r>
      <w:r>
        <w:t xml:space="preserve">osubstitution: </w:t>
      </w:r>
      <w:r>
        <w:rPr>
          <w:rFonts w:hint="eastAsia" w:eastAsiaTheme="minorEastAsia"/>
        </w:rPr>
        <w:t>n</w:t>
      </w:r>
      <w:r>
        <w:t>ight-</w:t>
      </w:r>
      <w:r>
        <w:rPr>
          <w:rFonts w:hint="eastAsia" w:eastAsiaTheme="minorEastAsia"/>
        </w:rPr>
        <w:t>v</w:t>
      </w:r>
      <w:r>
        <w:t xml:space="preserve">ision and </w:t>
      </w:r>
      <w:r>
        <w:rPr>
          <w:rFonts w:hint="eastAsia" w:eastAsiaTheme="minorEastAsia"/>
        </w:rPr>
        <w:t>n</w:t>
      </w:r>
      <w:r>
        <w:t>ear-</w:t>
      </w:r>
      <w:r>
        <w:rPr>
          <w:rFonts w:hint="eastAsia" w:eastAsiaTheme="minorEastAsia"/>
        </w:rPr>
        <w:t>i</w:t>
      </w:r>
      <w:r>
        <w:t xml:space="preserve">nfrared </w:t>
      </w:r>
      <w:r>
        <w:rPr>
          <w:rFonts w:hint="eastAsia" w:eastAsiaTheme="minorEastAsia"/>
        </w:rPr>
        <w:t>s</w:t>
      </w:r>
      <w:r>
        <w:t xml:space="preserve">pectroscopy </w:t>
      </w:r>
      <w:r>
        <w:rPr>
          <w:rFonts w:hint="eastAsia" w:eastAsiaTheme="minorEastAsia"/>
        </w:rPr>
        <w:t>d</w:t>
      </w:r>
      <w:r>
        <w:t xml:space="preserve">etection </w:t>
      </w:r>
      <w:r>
        <w:rPr>
          <w:rFonts w:hint="eastAsia" w:eastAsiaTheme="minorEastAsia"/>
        </w:rPr>
        <w:t>a</w:t>
      </w:r>
      <w:r>
        <w:t>pplications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Angew. Chem. Int. Ed.</w:t>
      </w:r>
      <w:r>
        <w:t xml:space="preserve"> </w:t>
      </w:r>
      <w:r>
        <w:rPr>
          <w:b/>
          <w:bCs/>
        </w:rPr>
        <w:t>60</w:t>
      </w:r>
      <w:r>
        <w:rPr>
          <w:rFonts w:hint="eastAsia" w:eastAsiaTheme="minorEastAsia"/>
        </w:rPr>
        <w:t>,</w:t>
      </w:r>
      <w:r>
        <w:t xml:space="preserve"> 14644-14649 (2021).</w:t>
      </w:r>
      <w:bookmarkEnd w:id="22"/>
    </w:p>
    <w:p w14:paraId="573AF66C">
      <w:pPr>
        <w:pStyle w:val="55"/>
        <w:ind w:left="440" w:hanging="440"/>
      </w:pPr>
      <w:bookmarkStart w:id="23" w:name="_ENREF_10"/>
      <w:r>
        <w:rPr>
          <w:rFonts w:hint="eastAsia" w:eastAsiaTheme="minorEastAsia"/>
        </w:rPr>
        <w:t>13.</w:t>
      </w:r>
      <w:r>
        <w:tab/>
      </w:r>
      <w:r>
        <w:t xml:space="preserve">Chang, </w:t>
      </w:r>
      <w:r>
        <w:rPr>
          <w:rFonts w:hint="eastAsia" w:eastAsiaTheme="minorEastAsia"/>
        </w:rPr>
        <w:t>H. et al.</w:t>
      </w:r>
      <w:r>
        <w:t xml:space="preserve"> Site-selective occupancy of Cr</w:t>
      </w:r>
      <w:r>
        <w:rPr>
          <w:vertAlign w:val="superscript"/>
        </w:rPr>
        <w:t>3+</w:t>
      </w:r>
      <w:r>
        <w:t xml:space="preserve"> enabling tunable emission from near infrared I to II in fluoride LiInF</w:t>
      </w:r>
      <w:r>
        <w:rPr>
          <w:vertAlign w:val="subscript"/>
        </w:rPr>
        <w:t>4</w:t>
      </w:r>
      <w:r>
        <w:t>: Cr</w:t>
      </w:r>
      <w:r>
        <w:rPr>
          <w:vertAlign w:val="superscript"/>
        </w:rPr>
        <w:t>3+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J. Mater. Chem. C</w:t>
      </w:r>
      <w:r>
        <w:rPr>
          <w:rFonts w:hint="eastAsia" w:eastAsiaTheme="minorEastAsia"/>
          <w:i/>
          <w:iCs/>
        </w:rPr>
        <w:t>.</w:t>
      </w:r>
      <w:r>
        <w:t xml:space="preserve"> </w:t>
      </w:r>
      <w:r>
        <w:rPr>
          <w:b/>
          <w:bCs/>
        </w:rPr>
        <w:t>12</w:t>
      </w:r>
      <w:r>
        <w:rPr>
          <w:rFonts w:hint="eastAsia" w:eastAsiaTheme="minorEastAsia"/>
        </w:rPr>
        <w:t>,</w:t>
      </w:r>
      <w:r>
        <w:t xml:space="preserve"> 3175-3184. (2024).</w:t>
      </w:r>
      <w:bookmarkEnd w:id="23"/>
    </w:p>
    <w:p w14:paraId="0C0C7E28">
      <w:pPr>
        <w:pStyle w:val="55"/>
        <w:ind w:left="440" w:hanging="440"/>
      </w:pPr>
      <w:bookmarkStart w:id="24" w:name="_ENREF_11"/>
      <w:r>
        <w:rPr>
          <w:rFonts w:hint="eastAsia" w:eastAsiaTheme="minorEastAsia"/>
        </w:rPr>
        <w:t>14.</w:t>
      </w:r>
      <w:r>
        <w:tab/>
      </w:r>
      <w:r>
        <w:t>Zhong</w:t>
      </w:r>
      <w:r>
        <w:rPr>
          <w:rFonts w:hint="eastAsia" w:eastAsiaTheme="minorEastAsia"/>
        </w:rPr>
        <w:t>, L. et al.</w:t>
      </w:r>
      <w:r>
        <w:t xml:space="preserve"> Valence and </w:t>
      </w:r>
      <w:r>
        <w:rPr>
          <w:rFonts w:hint="eastAsia" w:eastAsiaTheme="minorEastAsia"/>
        </w:rPr>
        <w:t>s</w:t>
      </w:r>
      <w:r>
        <w:t xml:space="preserve">ite </w:t>
      </w:r>
      <w:r>
        <w:rPr>
          <w:rFonts w:hint="eastAsia" w:eastAsiaTheme="minorEastAsia"/>
        </w:rPr>
        <w:t>e</w:t>
      </w:r>
      <w:r>
        <w:t xml:space="preserve">ngineering </w:t>
      </w:r>
      <w:r>
        <w:rPr>
          <w:rFonts w:hint="eastAsia" w:eastAsiaTheme="minorEastAsia"/>
        </w:rPr>
        <w:t>e</w:t>
      </w:r>
      <w:r>
        <w:t xml:space="preserve">nable </w:t>
      </w:r>
      <w:r>
        <w:rPr>
          <w:rFonts w:hint="eastAsia" w:eastAsiaTheme="minorEastAsia"/>
        </w:rPr>
        <w:t>e</w:t>
      </w:r>
      <w:r>
        <w:t xml:space="preserve">fficient </w:t>
      </w:r>
      <w:r>
        <w:rPr>
          <w:rFonts w:hint="eastAsia" w:eastAsiaTheme="minorEastAsia"/>
        </w:rPr>
        <w:t>b</w:t>
      </w:r>
      <w:r>
        <w:t xml:space="preserve">roadband </w:t>
      </w:r>
      <w:r>
        <w:rPr>
          <w:rFonts w:hint="eastAsia" w:eastAsiaTheme="minorEastAsia"/>
        </w:rPr>
        <w:t>n</w:t>
      </w:r>
      <w:r>
        <w:t>ear-</w:t>
      </w:r>
      <w:r>
        <w:rPr>
          <w:rFonts w:hint="eastAsia" w:eastAsiaTheme="minorEastAsia"/>
        </w:rPr>
        <w:t>i</w:t>
      </w:r>
      <w:r>
        <w:t xml:space="preserve">nfrared </w:t>
      </w:r>
      <w:r>
        <w:rPr>
          <w:rFonts w:hint="eastAsia" w:eastAsiaTheme="minorEastAsia"/>
        </w:rPr>
        <w:t>e</w:t>
      </w:r>
      <w:r>
        <w:t>mission at 960 nm in Cr</w:t>
      </w:r>
      <w:r>
        <w:rPr>
          <w:vertAlign w:val="superscript"/>
        </w:rPr>
        <w:t>3+</w:t>
      </w:r>
      <w:r>
        <w:t>-</w:t>
      </w:r>
      <w:r>
        <w:rPr>
          <w:rFonts w:hint="eastAsia" w:eastAsiaTheme="minorEastAsia"/>
        </w:rPr>
        <w:t>a</w:t>
      </w:r>
      <w:r>
        <w:t xml:space="preserve">ctivated </w:t>
      </w:r>
      <w:r>
        <w:rPr>
          <w:rFonts w:hint="eastAsia" w:eastAsiaTheme="minorEastAsia"/>
        </w:rPr>
        <w:t>f</w:t>
      </w:r>
      <w:r>
        <w:t>orsterite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Adv. Mater.</w:t>
      </w:r>
      <w:r>
        <w:t xml:space="preserve"> </w:t>
      </w:r>
      <w:r>
        <w:rPr>
          <w:b/>
          <w:bCs/>
        </w:rPr>
        <w:t>37</w:t>
      </w:r>
      <w:r>
        <w:rPr>
          <w:rFonts w:hint="eastAsia" w:eastAsiaTheme="minorEastAsia"/>
        </w:rPr>
        <w:t>,</w:t>
      </w:r>
      <w:r>
        <w:t xml:space="preserve"> 2508768 (2025).</w:t>
      </w:r>
      <w:bookmarkEnd w:id="24"/>
    </w:p>
    <w:p w14:paraId="56506DBE">
      <w:pPr>
        <w:pStyle w:val="55"/>
        <w:ind w:left="440" w:hanging="440"/>
        <w:rPr>
          <w:rFonts w:eastAsiaTheme="minorEastAsia"/>
        </w:rPr>
      </w:pPr>
      <w:bookmarkStart w:id="25" w:name="_ENREF_12"/>
      <w:r>
        <w:rPr>
          <w:rFonts w:hint="eastAsia" w:eastAsiaTheme="minorEastAsia"/>
        </w:rPr>
        <w:t>15.</w:t>
      </w:r>
      <w:r>
        <w:tab/>
      </w:r>
      <w:r>
        <w:t xml:space="preserve">Yan, </w:t>
      </w:r>
      <w:r>
        <w:rPr>
          <w:rFonts w:hint="eastAsia" w:eastAsiaTheme="minorEastAsia"/>
        </w:rPr>
        <w:t>Y</w:t>
      </w:r>
      <w:r>
        <w:t xml:space="preserve">. </w:t>
      </w:r>
      <w:r>
        <w:rPr>
          <w:rFonts w:hint="eastAsia" w:eastAsiaTheme="minorEastAsia"/>
        </w:rPr>
        <w:t xml:space="preserve">Q. et al. </w:t>
      </w:r>
      <w:r>
        <w:t xml:space="preserve">Unique </w:t>
      </w:r>
      <w:r>
        <w:rPr>
          <w:rFonts w:hint="eastAsia" w:eastAsiaTheme="minorEastAsia"/>
        </w:rPr>
        <w:t>s</w:t>
      </w:r>
      <w:r>
        <w:t xml:space="preserve">pectral </w:t>
      </w:r>
      <w:r>
        <w:rPr>
          <w:rFonts w:hint="eastAsia" w:eastAsiaTheme="minorEastAsia"/>
        </w:rPr>
        <w:t>b</w:t>
      </w:r>
      <w:r>
        <w:t xml:space="preserve">roadening </w:t>
      </w:r>
      <w:r>
        <w:rPr>
          <w:rFonts w:hint="eastAsia" w:eastAsiaTheme="minorEastAsia"/>
        </w:rPr>
        <w:t>i</w:t>
      </w:r>
      <w:r>
        <w:t xml:space="preserve">nduced by </w:t>
      </w:r>
      <w:r>
        <w:rPr>
          <w:rFonts w:hint="eastAsia" w:eastAsiaTheme="minorEastAsia"/>
        </w:rPr>
        <w:t>e</w:t>
      </w:r>
      <w:r>
        <w:t xml:space="preserve">xchange </w:t>
      </w:r>
      <w:r>
        <w:rPr>
          <w:rFonts w:hint="eastAsia" w:eastAsiaTheme="minorEastAsia"/>
        </w:rPr>
        <w:t>c</w:t>
      </w:r>
      <w:r>
        <w:t xml:space="preserve">oupling </w:t>
      </w:r>
      <w:r>
        <w:rPr>
          <w:rFonts w:hint="eastAsia" w:eastAsiaTheme="minorEastAsia"/>
        </w:rPr>
        <w:t>b</w:t>
      </w:r>
      <w:r>
        <w:t>etween Cr</w:t>
      </w:r>
      <w:r>
        <w:rPr>
          <w:vertAlign w:val="superscript"/>
        </w:rPr>
        <w:t>3+</w:t>
      </w:r>
      <w:r>
        <w:t xml:space="preserve"> </w:t>
      </w:r>
      <w:r>
        <w:rPr>
          <w:rFonts w:hint="eastAsia" w:eastAsiaTheme="minorEastAsia"/>
        </w:rPr>
        <w:t>i</w:t>
      </w:r>
      <w:r>
        <w:t>ons in LiAl</w:t>
      </w:r>
      <w:r>
        <w:rPr>
          <w:vertAlign w:val="subscript"/>
        </w:rPr>
        <w:t>5</w:t>
      </w:r>
      <w:r>
        <w:t>O</w:t>
      </w:r>
      <w:r>
        <w:rPr>
          <w:vertAlign w:val="subscript"/>
        </w:rPr>
        <w:t>8</w:t>
      </w:r>
      <w:r>
        <w:t>: Cr</w:t>
      </w:r>
      <w:r>
        <w:rPr>
          <w:vertAlign w:val="superscript"/>
        </w:rPr>
        <w:t>3+</w:t>
      </w:r>
      <w:r>
        <w:t xml:space="preserve"> </w:t>
      </w:r>
      <w:r>
        <w:rPr>
          <w:rFonts w:hint="eastAsia" w:eastAsiaTheme="minorEastAsia"/>
        </w:rPr>
        <w:t>p</w:t>
      </w:r>
      <w:r>
        <w:t xml:space="preserve">hosphors for </w:t>
      </w:r>
      <w:r>
        <w:rPr>
          <w:rFonts w:hint="eastAsia" w:eastAsiaTheme="minorEastAsia"/>
        </w:rPr>
        <w:t>v</w:t>
      </w:r>
      <w:r>
        <w:t xml:space="preserve">ersatile </w:t>
      </w:r>
      <w:r>
        <w:rPr>
          <w:rFonts w:hint="eastAsia" w:eastAsiaTheme="minorEastAsia"/>
        </w:rPr>
        <w:t>o</w:t>
      </w:r>
      <w:r>
        <w:t xml:space="preserve">ptical </w:t>
      </w:r>
      <w:r>
        <w:rPr>
          <w:rFonts w:hint="eastAsia" w:eastAsiaTheme="minorEastAsia"/>
        </w:rPr>
        <w:t>a</w:t>
      </w:r>
      <w:r>
        <w:t>pplications</w:t>
      </w:r>
      <w:r>
        <w:rPr>
          <w:rFonts w:hint="eastAsia" w:eastAsiaTheme="minorEastAsia"/>
        </w:rPr>
        <w:t>.</w:t>
      </w:r>
      <w:r>
        <w:t xml:space="preserve"> </w:t>
      </w:r>
      <w:r>
        <w:rPr>
          <w:i/>
          <w:iCs/>
        </w:rPr>
        <w:t>Laser Photonics Rev.</w:t>
      </w:r>
      <w:r>
        <w:t xml:space="preserve"> </w:t>
      </w:r>
      <w:r>
        <w:rPr>
          <w:b/>
          <w:bCs/>
        </w:rPr>
        <w:t>19</w:t>
      </w:r>
      <w:r>
        <w:rPr>
          <w:rFonts w:hint="eastAsia" w:eastAsiaTheme="minorEastAsia"/>
        </w:rPr>
        <w:t>,</w:t>
      </w:r>
      <w:r>
        <w:t xml:space="preserve"> 2401588 (2025).</w:t>
      </w:r>
      <w:bookmarkEnd w:id="25"/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18" w:right="1418" w:bottom="1134" w:left="1418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240"/>
      </w:pPr>
      <w:r>
        <w:separator/>
      </w:r>
    </w:p>
  </w:endnote>
  <w:endnote w:type="continuationSeparator" w:id="1">
    <w:p>
      <w:pPr>
        <w:spacing w:line="240" w:lineRule="auto"/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vOT2c8ce45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OT2c8ce45a+fb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OT2c8ce45a+20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8824591"/>
    </w:sdtPr>
    <w:sdtContent>
      <w:p w14:paraId="03874B61">
        <w:pPr>
          <w:pStyle w:val="13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636E13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  <w:ind w:firstLine="240"/>
      </w:pPr>
      <w:r>
        <w:separator/>
      </w:r>
    </w:p>
  </w:footnote>
  <w:footnote w:type="continuationSeparator" w:id="1">
    <w:p>
      <w:pPr>
        <w:spacing w:line="480" w:lineRule="auto"/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A1F08">
    <w:pPr>
      <w:ind w:left="2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D9F18">
    <w:pPr>
      <w:pStyle w:val="14"/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08275">
    <w:pPr>
      <w:ind w:left="240" w:firstLine="0" w:firstLineChars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40876"/>
    <w:rsid w:val="0000143E"/>
    <w:rsid w:val="00074783"/>
    <w:rsid w:val="00080F18"/>
    <w:rsid w:val="000D7EFC"/>
    <w:rsid w:val="000E2B34"/>
    <w:rsid w:val="00100598"/>
    <w:rsid w:val="0011129D"/>
    <w:rsid w:val="00177182"/>
    <w:rsid w:val="00195116"/>
    <w:rsid w:val="001D243C"/>
    <w:rsid w:val="00280E38"/>
    <w:rsid w:val="002F7176"/>
    <w:rsid w:val="00350546"/>
    <w:rsid w:val="00351EF9"/>
    <w:rsid w:val="00384708"/>
    <w:rsid w:val="003A689D"/>
    <w:rsid w:val="003A7768"/>
    <w:rsid w:val="00403803"/>
    <w:rsid w:val="004173F8"/>
    <w:rsid w:val="004208CE"/>
    <w:rsid w:val="00467729"/>
    <w:rsid w:val="004A25EC"/>
    <w:rsid w:val="004C7B5C"/>
    <w:rsid w:val="004E2409"/>
    <w:rsid w:val="004F3D87"/>
    <w:rsid w:val="005921BD"/>
    <w:rsid w:val="00602C18"/>
    <w:rsid w:val="00606986"/>
    <w:rsid w:val="0061425B"/>
    <w:rsid w:val="00697DB6"/>
    <w:rsid w:val="006A4CB6"/>
    <w:rsid w:val="006B5F52"/>
    <w:rsid w:val="00700917"/>
    <w:rsid w:val="00741BC5"/>
    <w:rsid w:val="007B3505"/>
    <w:rsid w:val="007E5AC9"/>
    <w:rsid w:val="008B50E9"/>
    <w:rsid w:val="008B5C41"/>
    <w:rsid w:val="008C1196"/>
    <w:rsid w:val="009B5F45"/>
    <w:rsid w:val="009D7B4E"/>
    <w:rsid w:val="00A463BB"/>
    <w:rsid w:val="00B40876"/>
    <w:rsid w:val="00B73C29"/>
    <w:rsid w:val="00BB2B9A"/>
    <w:rsid w:val="00BE651A"/>
    <w:rsid w:val="00BF324B"/>
    <w:rsid w:val="00C562F0"/>
    <w:rsid w:val="00C6460A"/>
    <w:rsid w:val="00C6680D"/>
    <w:rsid w:val="00CA5E1F"/>
    <w:rsid w:val="00CB225B"/>
    <w:rsid w:val="00CE02CA"/>
    <w:rsid w:val="00CE5333"/>
    <w:rsid w:val="00D125EA"/>
    <w:rsid w:val="00D15DF3"/>
    <w:rsid w:val="00D6240E"/>
    <w:rsid w:val="00D9485B"/>
    <w:rsid w:val="00D96CD5"/>
    <w:rsid w:val="00DA3230"/>
    <w:rsid w:val="00DF0C9F"/>
    <w:rsid w:val="00E02650"/>
    <w:rsid w:val="00E04A1E"/>
    <w:rsid w:val="00E26428"/>
    <w:rsid w:val="00E759C8"/>
    <w:rsid w:val="00E8746B"/>
    <w:rsid w:val="00E87EAE"/>
    <w:rsid w:val="00E901CE"/>
    <w:rsid w:val="00EE5DDC"/>
    <w:rsid w:val="00EE5FAC"/>
    <w:rsid w:val="00F05EFC"/>
    <w:rsid w:val="00F226D1"/>
    <w:rsid w:val="00F32F33"/>
    <w:rsid w:val="00F379DF"/>
    <w:rsid w:val="00F47BC6"/>
    <w:rsid w:val="00F542EB"/>
    <w:rsid w:val="00F94AB5"/>
    <w:rsid w:val="00FA4916"/>
    <w:rsid w:val="00FB4B04"/>
    <w:rsid w:val="274F697E"/>
    <w:rsid w:val="27EA6327"/>
    <w:rsid w:val="2A6438B7"/>
    <w:rsid w:val="3E3C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Placeholder Text"/>
    <w:lsdException w:qFormat="1" w:uiPriority="99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480" w:lineRule="auto"/>
      <w:ind w:firstLine="240" w:firstLineChars="100"/>
      <w:jc w:val="both"/>
    </w:pPr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autoRedefine/>
    <w:unhideWhenUsed/>
    <w:qFormat/>
    <w:uiPriority w:val="9"/>
    <w:pPr>
      <w:keepNext/>
      <w:keepLines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28"/>
    <w:autoRedefine/>
    <w:unhideWhenUsed/>
    <w:qFormat/>
    <w:uiPriority w:val="9"/>
    <w:pPr>
      <w:keepNext/>
      <w:keepLines/>
      <w:jc w:val="left"/>
      <w:outlineLvl w:val="2"/>
    </w:pPr>
    <w:rPr>
      <w:rFonts w:eastAsiaTheme="majorEastAsia"/>
      <w:b/>
      <w:bCs/>
      <w:i/>
      <w:sz w:val="28"/>
      <w:szCs w:val="32"/>
    </w:rPr>
  </w:style>
  <w:style w:type="paragraph" w:styleId="5">
    <w:name w:val="heading 4"/>
    <w:basedOn w:val="1"/>
    <w:next w:val="1"/>
    <w:link w:val="2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Cs w:val="24"/>
    </w:rPr>
  </w:style>
  <w:style w:type="paragraph" w:styleId="7">
    <w:name w:val="heading 6"/>
    <w:basedOn w:val="1"/>
    <w:next w:val="1"/>
    <w:link w:val="3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3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link w:val="44"/>
    <w:semiHidden/>
    <w:unhideWhenUsed/>
    <w:qFormat/>
    <w:uiPriority w:val="99"/>
    <w:pPr>
      <w:spacing w:after="120"/>
      <w:ind w:left="420" w:leftChars="200"/>
    </w:pPr>
  </w:style>
  <w:style w:type="paragraph" w:styleId="12">
    <w:name w:val="Balloon Text"/>
    <w:basedOn w:val="1"/>
    <w:link w:val="45"/>
    <w:autoRedefine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46"/>
    <w:autoRedefine/>
    <w:qFormat/>
    <w:uiPriority w:val="99"/>
    <w:pPr>
      <w:tabs>
        <w:tab w:val="center" w:pos="4153"/>
        <w:tab w:val="right" w:pos="8306"/>
      </w:tabs>
      <w:ind w:left="480" w:firstLine="180"/>
      <w:jc w:val="center"/>
    </w:pPr>
    <w:rPr>
      <w:sz w:val="18"/>
      <w:szCs w:val="18"/>
    </w:rPr>
  </w:style>
  <w:style w:type="paragraph" w:styleId="14">
    <w:name w:val="header"/>
    <w:basedOn w:val="1"/>
    <w:link w:val="47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autoRedefine/>
    <w:qFormat/>
    <w:uiPriority w:val="99"/>
    <w:pPr>
      <w:spacing w:before="100" w:beforeAutospacing="1" w:after="100" w:afterAutospacing="1" w:line="240" w:lineRule="auto"/>
      <w:jc w:val="left"/>
    </w:pPr>
    <w:rPr>
      <w:rFonts w:ascii="宋体" w:hAnsi="宋体"/>
      <w:kern w:val="0"/>
      <w:szCs w:val="24"/>
    </w:rPr>
  </w:style>
  <w:style w:type="paragraph" w:styleId="17">
    <w:name w:val="Title"/>
    <w:basedOn w:val="1"/>
    <w:next w:val="1"/>
    <w:link w:val="3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Body Text First Indent 2"/>
    <w:basedOn w:val="11"/>
    <w:link w:val="48"/>
    <w:unhideWhenUsed/>
    <w:qFormat/>
    <w:uiPriority w:val="99"/>
    <w:pPr>
      <w:widowControl w:val="0"/>
      <w:spacing w:line="240" w:lineRule="auto"/>
      <w:ind w:firstLine="420"/>
    </w:pPr>
    <w:rPr>
      <w:szCs w:val="24"/>
    </w:rPr>
  </w:style>
  <w:style w:type="table" w:styleId="20">
    <w:name w:val="Table Grid"/>
    <w:basedOn w:val="19"/>
    <w:autoRedefine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1">
    <w:name w:val="Light Shading"/>
    <w:basedOn w:val="19"/>
    <w:semiHidden/>
    <w:unhideWhenUsed/>
    <w:qFormat/>
    <w:uiPriority w:val="99"/>
    <w:rPr>
      <w:rFonts w:ascii="Times New Roman" w:hAnsi="Times New Roman" w:eastAsia="Times New Roman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hint="default" w:ascii="Times New Roman" w:hAnsi="Times New Roman" w:cs="Times New Roman"/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rPr>
        <w:rFonts w:hint="default" w:ascii="Times New Roman" w:hAnsi="Times New Roman" w:cs="Times New Roman"/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</w:style>
  <w:style w:type="character" w:styleId="23">
    <w:name w:val="FollowedHyperlink"/>
    <w:basedOn w:val="22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line number"/>
    <w:basedOn w:val="22"/>
    <w:semiHidden/>
    <w:unhideWhenUsed/>
    <w:qFormat/>
    <w:uiPriority w:val="99"/>
  </w:style>
  <w:style w:type="character" w:styleId="25">
    <w:name w:val="Hyperlink"/>
    <w:basedOn w:val="22"/>
    <w:autoRedefine/>
    <w:qFormat/>
    <w:uiPriority w:val="99"/>
    <w:rPr>
      <w:rFonts w:eastAsia="Times New Roman"/>
      <w:color w:val="00B0F0"/>
      <w:sz w:val="24"/>
      <w:u w:val="single"/>
    </w:rPr>
  </w:style>
  <w:style w:type="character" w:customStyle="1" w:styleId="26">
    <w:name w:val="标题 1 字符"/>
    <w:basedOn w:val="22"/>
    <w:link w:val="2"/>
    <w:autoRedefine/>
    <w:qFormat/>
    <w:uiPriority w:val="9"/>
    <w:rPr>
      <w:rFonts w:ascii="Times New Roman" w:hAnsi="Times New Roman" w:eastAsia="宋体" w:cs="宋体"/>
      <w:b/>
      <w:bCs/>
      <w:kern w:val="44"/>
      <w:sz w:val="44"/>
      <w:szCs w:val="44"/>
    </w:rPr>
  </w:style>
  <w:style w:type="character" w:customStyle="1" w:styleId="27">
    <w:name w:val="标题 2 字符"/>
    <w:basedOn w:val="22"/>
    <w:link w:val="3"/>
    <w:autoRedefine/>
    <w:qFormat/>
    <w:uiPriority w:val="9"/>
    <w:rPr>
      <w:rFonts w:ascii="Times New Roman" w:hAnsi="Times New Roman" w:eastAsia="宋体" w:cs="宋体"/>
      <w:b/>
      <w:bCs/>
      <w:sz w:val="32"/>
      <w:szCs w:val="32"/>
    </w:rPr>
  </w:style>
  <w:style w:type="character" w:customStyle="1" w:styleId="28">
    <w:name w:val="标题 3 字符"/>
    <w:basedOn w:val="22"/>
    <w:link w:val="4"/>
    <w:autoRedefine/>
    <w:qFormat/>
    <w:uiPriority w:val="9"/>
    <w:rPr>
      <w:rFonts w:ascii="Times New Roman" w:hAnsi="Times New Roman" w:cs="宋体" w:eastAsiaTheme="majorEastAsia"/>
      <w:b/>
      <w:bCs/>
      <w:i/>
      <w:sz w:val="28"/>
      <w:szCs w:val="32"/>
    </w:rPr>
  </w:style>
  <w:style w:type="character" w:customStyle="1" w:styleId="29">
    <w:name w:val="标题 4 字符"/>
    <w:basedOn w:val="22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30">
    <w:name w:val="标题 5 字符"/>
    <w:basedOn w:val="22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31">
    <w:name w:val="标题 6 字符"/>
    <w:basedOn w:val="22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2">
    <w:name w:val="标题 7 字符"/>
    <w:basedOn w:val="22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8 字符"/>
    <w:basedOn w:val="22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4">
    <w:name w:val="标题 9 字符"/>
    <w:basedOn w:val="22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5">
    <w:name w:val="标题 字符"/>
    <w:basedOn w:val="22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6">
    <w:name w:val="副标题 字符"/>
    <w:basedOn w:val="22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7">
    <w:name w:val="Quote"/>
    <w:basedOn w:val="1"/>
    <w:next w:val="1"/>
    <w:link w:val="3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22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0">
    <w:name w:val="明显强调1"/>
    <w:basedOn w:val="22"/>
    <w:qFormat/>
    <w:uiPriority w:val="21"/>
    <w:rPr>
      <w:i/>
      <w:iCs/>
      <w:color w:val="104862" w:themeColor="accent1" w:themeShade="BF"/>
    </w:rPr>
  </w:style>
  <w:style w:type="paragraph" w:styleId="41">
    <w:name w:val="Intense Quote"/>
    <w:basedOn w:val="1"/>
    <w:next w:val="1"/>
    <w:link w:val="4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42">
    <w:name w:val="明显引用 字符"/>
    <w:basedOn w:val="22"/>
    <w:link w:val="41"/>
    <w:qFormat/>
    <w:uiPriority w:val="30"/>
    <w:rPr>
      <w:i/>
      <w:iCs/>
      <w:color w:val="104862" w:themeColor="accent1" w:themeShade="BF"/>
    </w:rPr>
  </w:style>
  <w:style w:type="character" w:customStyle="1" w:styleId="43">
    <w:name w:val="明显参考1"/>
    <w:basedOn w:val="22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4">
    <w:name w:val="正文文本缩进 字符"/>
    <w:basedOn w:val="22"/>
    <w:link w:val="11"/>
    <w:semiHidden/>
    <w:qFormat/>
    <w:uiPriority w:val="99"/>
    <w:rPr>
      <w:rFonts w:ascii="Times New Roman" w:hAnsi="Times New Roman" w:eastAsia="宋体" w:cs="宋体"/>
      <w:sz w:val="24"/>
    </w:rPr>
  </w:style>
  <w:style w:type="character" w:customStyle="1" w:styleId="45">
    <w:name w:val="批注框文本 字符"/>
    <w:basedOn w:val="22"/>
    <w:link w:val="12"/>
    <w:autoRedefine/>
    <w:qFormat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46">
    <w:name w:val="页脚 字符"/>
    <w:basedOn w:val="22"/>
    <w:link w:val="13"/>
    <w:autoRedefine/>
    <w:qFormat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47">
    <w:name w:val="页眉 字符"/>
    <w:basedOn w:val="22"/>
    <w:link w:val="14"/>
    <w:autoRedefine/>
    <w:qFormat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48">
    <w:name w:val="正文文本首行缩进 2 字符"/>
    <w:basedOn w:val="44"/>
    <w:link w:val="18"/>
    <w:qFormat/>
    <w:uiPriority w:val="99"/>
    <w:rPr>
      <w:rFonts w:ascii="Times New Roman" w:hAnsi="Times New Roman" w:eastAsia="宋体" w:cs="宋体"/>
      <w:sz w:val="24"/>
      <w:szCs w:val="24"/>
    </w:rPr>
  </w:style>
  <w:style w:type="character" w:customStyle="1" w:styleId="49">
    <w:name w:val="fontstyle01"/>
    <w:basedOn w:val="22"/>
    <w:autoRedefine/>
    <w:qFormat/>
    <w:uiPriority w:val="0"/>
    <w:rPr>
      <w:rFonts w:hint="default" w:ascii="AdvOT2c8ce45a" w:hAnsi="AdvOT2c8ce45a"/>
      <w:color w:val="000000"/>
      <w:sz w:val="32"/>
      <w:szCs w:val="32"/>
    </w:rPr>
  </w:style>
  <w:style w:type="character" w:customStyle="1" w:styleId="50">
    <w:name w:val="fontstyle21"/>
    <w:basedOn w:val="22"/>
    <w:autoRedefine/>
    <w:qFormat/>
    <w:uiPriority w:val="0"/>
    <w:rPr>
      <w:rFonts w:hint="default" w:ascii="AdvOT2c8ce45a+fb" w:hAnsi="AdvOT2c8ce45a+fb"/>
      <w:color w:val="000000"/>
      <w:sz w:val="32"/>
      <w:szCs w:val="32"/>
    </w:rPr>
  </w:style>
  <w:style w:type="character" w:customStyle="1" w:styleId="51">
    <w:name w:val="fontstyle31"/>
    <w:basedOn w:val="22"/>
    <w:autoRedefine/>
    <w:qFormat/>
    <w:uiPriority w:val="0"/>
    <w:rPr>
      <w:rFonts w:hint="default" w:ascii="AdvOT2c8ce45a+20" w:hAnsi="AdvOT2c8ce45a+20"/>
      <w:color w:val="000000"/>
      <w:sz w:val="32"/>
      <w:szCs w:val="32"/>
    </w:rPr>
  </w:style>
  <w:style w:type="character" w:styleId="52">
    <w:name w:val="Placeholder Text"/>
    <w:basedOn w:val="22"/>
    <w:autoRedefine/>
    <w:qFormat/>
    <w:uiPriority w:val="99"/>
    <w:rPr>
      <w:color w:val="808080"/>
    </w:rPr>
  </w:style>
  <w:style w:type="paragraph" w:customStyle="1" w:styleId="53">
    <w:name w:val="EndNote Bibliography Title"/>
    <w:basedOn w:val="1"/>
    <w:link w:val="54"/>
    <w:autoRedefine/>
    <w:qFormat/>
    <w:uiPriority w:val="0"/>
    <w:pPr>
      <w:jc w:val="center"/>
    </w:pPr>
    <w:rPr>
      <w:rFonts w:cs="Times New Roman"/>
      <w:sz w:val="20"/>
    </w:rPr>
  </w:style>
  <w:style w:type="character" w:customStyle="1" w:styleId="54">
    <w:name w:val="EndNote Bibliography Title Char"/>
    <w:basedOn w:val="22"/>
    <w:link w:val="53"/>
    <w:autoRedefine/>
    <w:qFormat/>
    <w:uiPriority w:val="0"/>
    <w:rPr>
      <w:rFonts w:ascii="Times New Roman" w:hAnsi="Times New Roman" w:eastAsia="宋体" w:cs="Times New Roman"/>
      <w:sz w:val="20"/>
    </w:rPr>
  </w:style>
  <w:style w:type="paragraph" w:customStyle="1" w:styleId="55">
    <w:name w:val="EndNote Bibliography"/>
    <w:basedOn w:val="1"/>
    <w:link w:val="56"/>
    <w:autoRedefine/>
    <w:qFormat/>
    <w:uiPriority w:val="0"/>
    <w:pPr>
      <w:spacing w:line="240" w:lineRule="auto"/>
      <w:ind w:left="240" w:hanging="240" w:firstLineChars="0"/>
    </w:pPr>
    <w:rPr>
      <w:rFonts w:eastAsia="Times New Roman" w:cs="Times New Roman"/>
      <w:sz w:val="20"/>
    </w:rPr>
  </w:style>
  <w:style w:type="character" w:customStyle="1" w:styleId="56">
    <w:name w:val="EndNote Bibliography Char"/>
    <w:basedOn w:val="22"/>
    <w:link w:val="55"/>
    <w:autoRedefine/>
    <w:qFormat/>
    <w:uiPriority w:val="0"/>
    <w:rPr>
      <w:rFonts w:ascii="Times New Roman" w:hAnsi="Times New Roman" w:eastAsia="Times New Roman" w:cs="Times New Roman"/>
      <w:sz w:val="20"/>
    </w:rPr>
  </w:style>
  <w:style w:type="paragraph" w:customStyle="1" w:styleId="57">
    <w:name w:val="正文1"/>
    <w:basedOn w:val="1"/>
    <w:autoRedefine/>
    <w:qFormat/>
    <w:uiPriority w:val="0"/>
    <w:rPr>
      <w:rFonts w:hint="eastAsia" w:ascii="宋体" w:hAnsi="宋体" w:cs="Times New Roman"/>
      <w:sz w:val="21"/>
      <w:szCs w:val="21"/>
    </w:rPr>
  </w:style>
  <w:style w:type="character" w:customStyle="1" w:styleId="58">
    <w:name w:val="15"/>
    <w:basedOn w:val="22"/>
    <w:autoRedefine/>
    <w:qFormat/>
    <w:uiPriority w:val="0"/>
  </w:style>
  <w:style w:type="paragraph" w:customStyle="1" w:styleId="59">
    <w:name w:val="p0"/>
    <w:basedOn w:val="1"/>
    <w:autoRedefine/>
    <w:qFormat/>
    <w:uiPriority w:val="99"/>
    <w:rPr>
      <w:kern w:val="0"/>
      <w:szCs w:val="21"/>
    </w:rPr>
  </w:style>
  <w:style w:type="paragraph" w:customStyle="1" w:styleId="60">
    <w:name w:val="正文首行缩进 21"/>
    <w:basedOn w:val="11"/>
    <w:semiHidden/>
    <w:qFormat/>
    <w:uiPriority w:val="0"/>
    <w:pPr>
      <w:widowControl w:val="0"/>
      <w:spacing w:before="100" w:beforeAutospacing="1" w:line="240" w:lineRule="auto"/>
      <w:ind w:firstLine="420"/>
    </w:pPr>
    <w:rPr>
      <w:rFonts w:ascii="Calibri" w:hAnsi="Calibri" w:cs="Times New Roman"/>
      <w:sz w:val="21"/>
      <w:szCs w:val="21"/>
    </w:rPr>
  </w:style>
  <w:style w:type="table" w:customStyle="1" w:styleId="61">
    <w:name w:val="浅色底纹1"/>
    <w:basedOn w:val="19"/>
    <w:semiHidden/>
    <w:unhideWhenUsed/>
    <w:qFormat/>
    <w:uiPriority w:val="99"/>
    <w:rPr>
      <w:rFonts w:ascii="Times New Roman" w:hAnsi="Times New Roman" w:eastAsia="Times New Roman" w:cs="Times New Roman"/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hint="default" w:ascii="Times New Roman" w:hAnsi="Times New Roman"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rPr>
        <w:rFonts w:hint="default" w:ascii="Times New Roman" w:hAnsi="Times New Roman"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rFonts w:hint="default" w:ascii="Times New Roman" w:hAnsi="Times New Roman" w:cs="Times New Roman"/>
        <w:b/>
        <w:bCs/>
      </w:rPr>
    </w:tblStylePr>
    <w:tblStylePr w:type="lastCol">
      <w:rPr>
        <w:rFonts w:hint="default" w:ascii="Times New Roman" w:hAnsi="Times New Roman" w:cs="Times New Roman"/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</w:style>
  <w:style w:type="table" w:customStyle="1" w:styleId="62">
    <w:name w:val="浅色底纹2"/>
    <w:basedOn w:val="19"/>
    <w:autoRedefine/>
    <w:qFormat/>
    <w:uiPriority w:val="60"/>
    <w:rPr>
      <w:rFonts w:ascii="Times New Roman" w:hAnsi="Times New Roman" w:eastAsia="宋体" w:cs="Times New Roman"/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customStyle="1" w:styleId="63">
    <w:name w:val="浅色底纹3"/>
    <w:basedOn w:val="19"/>
    <w:autoRedefine/>
    <w:qFormat/>
    <w:uiPriority w:val="60"/>
    <w:rPr>
      <w:rFonts w:ascii="Times New Roman" w:hAnsi="Times New Roman" w:eastAsia="宋体" w:cs="Times New Roman"/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paragraph" w:customStyle="1" w:styleId="64">
    <w:name w:val="正文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65">
    <w:name w:val="修订1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character" w:customStyle="1" w:styleId="66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7">
    <w:name w:val="未处理的提及2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8">
    <w:name w:val="修订2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paragraph" w:customStyle="1" w:styleId="69">
    <w:name w:val="修订3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character" w:customStyle="1" w:styleId="70">
    <w:name w:val="未处理的提及3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1">
    <w:name w:val="修订4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character" w:customStyle="1" w:styleId="72">
    <w:name w:val="未处理的提及4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3">
    <w:name w:val="修订5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  <w:style w:type="paragraph" w:customStyle="1" w:styleId="74">
    <w:name w:val="Revision"/>
    <w:hidden/>
    <w:unhideWhenUsed/>
    <w:qFormat/>
    <w:uiPriority w:val="99"/>
    <w:rPr>
      <w:rFonts w:ascii="Times New Roman" w:hAnsi="Times New Roman" w:eastAsia="宋体" w:cs="宋体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tiff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em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1364</Words>
  <Characters>7095</Characters>
  <Lines>459</Lines>
  <Paragraphs>417</Paragraphs>
  <TotalTime>104</TotalTime>
  <ScaleCrop>false</ScaleCrop>
  <LinksUpToDate>false</LinksUpToDate>
  <CharactersWithSpaces>8283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2025-11-26T09:30:00Z</dcterms:created>
  <dc:creator>文杰 邓</dc:creator>
  <cp:lastModifiedBy>邓文杰</cp:lastModifiedBy>
  <dcterms:modified xsi:type="dcterms:W3CDTF">2025-11-29T05:25:03Z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eyJoZGlkIjoiNDE2MDA4ZjI5ZjIxMGUxMzhkNWZiZjliMDg1ODU2M2IiLCJ1c2VySWQiOiIxNzE4NTUxNzEyIn0=</vt:lpwstr>
  </property>
  <property fmtid="{D5CDD505-2E9C-101B-9397-08002B2CF9AE}" pid="3" name="KSOProductBuildVer">
    <vt:lpwstr>2052-12.1.0.24034</vt:lpwstr>
  </property>
  <property fmtid="{D5CDD505-2E9C-101B-9397-08002B2CF9AE}" pid="4" name="ICV">
    <vt:lpwstr>88D4A9829FF4467291DAC8538C2221E7_12</vt:lpwstr>
  </property>
</Properties>
</file>