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66A4E" w:rsidRPr="00D66A4E" w:rsidRDefault="00D66A4E" w:rsidP="00D66A4E">
      <w:pPr>
        <w:jc w:val="both"/>
        <w:rPr>
          <w:rFonts w:asciiTheme="majorBidi" w:hAnsiTheme="majorBidi" w:cstheme="majorBidi"/>
          <w:color w:val="000000" w:themeColor="text1"/>
          <w:sz w:val="22"/>
          <w:szCs w:val="22"/>
        </w:rPr>
      </w:pPr>
      <w:r w:rsidRPr="00D66A4E">
        <w:rPr>
          <w:rFonts w:asciiTheme="majorBidi" w:hAnsiTheme="majorBidi" w:cstheme="majorBidi"/>
          <w:b/>
          <w:bCs/>
          <w:sz w:val="22"/>
          <w:szCs w:val="22"/>
        </w:rPr>
        <w:t xml:space="preserve">Supplementary Table </w:t>
      </w:r>
      <w:r w:rsidRPr="00D66A4E">
        <w:rPr>
          <w:rFonts w:asciiTheme="majorBidi" w:hAnsiTheme="majorBidi" w:cstheme="majorBidi"/>
          <w:b/>
          <w:bCs/>
          <w:sz w:val="22"/>
          <w:szCs w:val="22"/>
        </w:rPr>
        <w:fldChar w:fldCharType="begin"/>
      </w:r>
      <w:r w:rsidRPr="00D66A4E">
        <w:rPr>
          <w:rFonts w:asciiTheme="majorBidi" w:hAnsiTheme="majorBidi" w:cstheme="majorBidi"/>
          <w:b/>
          <w:bCs/>
          <w:sz w:val="22"/>
          <w:szCs w:val="22"/>
        </w:rPr>
        <w:instrText xml:space="preserve"> SEQ Table \* ARABIC </w:instrText>
      </w:r>
      <w:r w:rsidRPr="00D66A4E">
        <w:rPr>
          <w:rFonts w:asciiTheme="majorBidi" w:hAnsiTheme="majorBidi" w:cstheme="majorBidi"/>
          <w:b/>
          <w:bCs/>
          <w:sz w:val="22"/>
          <w:szCs w:val="22"/>
        </w:rPr>
        <w:fldChar w:fldCharType="separate"/>
      </w:r>
      <w:r w:rsidRPr="00D66A4E">
        <w:rPr>
          <w:rFonts w:asciiTheme="majorBidi" w:hAnsiTheme="majorBidi" w:cstheme="majorBidi"/>
          <w:b/>
          <w:bCs/>
          <w:noProof/>
          <w:sz w:val="22"/>
          <w:szCs w:val="22"/>
        </w:rPr>
        <w:t>1</w:t>
      </w:r>
      <w:r w:rsidRPr="00D66A4E">
        <w:rPr>
          <w:rFonts w:asciiTheme="majorBidi" w:hAnsiTheme="majorBidi" w:cstheme="majorBidi"/>
          <w:b/>
          <w:bCs/>
          <w:sz w:val="22"/>
          <w:szCs w:val="22"/>
        </w:rPr>
        <w:fldChar w:fldCharType="end"/>
      </w:r>
      <w:r w:rsidRPr="00D66A4E">
        <w:rPr>
          <w:rFonts w:asciiTheme="majorBidi" w:hAnsiTheme="majorBidi" w:cstheme="majorBidi"/>
          <w:b/>
          <w:bCs/>
          <w:sz w:val="22"/>
          <w:szCs w:val="22"/>
        </w:rPr>
        <w:t>.</w:t>
      </w:r>
      <w:r w:rsidRPr="00D66A4E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Pr="00D66A4E">
        <w:rPr>
          <w:rFonts w:asciiTheme="majorBidi" w:hAnsiTheme="majorBidi" w:cstheme="majorBidi"/>
          <w:color w:val="000000" w:themeColor="text1"/>
          <w:sz w:val="22"/>
          <w:szCs w:val="22"/>
        </w:rPr>
        <w:t>P</w:t>
      </w:r>
      <w:r w:rsidRPr="00D66A4E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revalence of cascade of care for diabetes, dyslipidemia, and hypertension among hypertensive </w:t>
      </w:r>
      <w:r w:rsidRPr="00D66A4E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and prehypertensive </w:t>
      </w:r>
      <w:r w:rsidRPr="00D66A4E">
        <w:rPr>
          <w:rFonts w:asciiTheme="majorBidi" w:hAnsiTheme="majorBidi" w:cstheme="majorBidi"/>
          <w:color w:val="000000" w:themeColor="text1"/>
          <w:sz w:val="22"/>
          <w:szCs w:val="22"/>
        </w:rPr>
        <w:t>individuals, stratified by cardiovascular disease (CVD) status and 10-year Framingham risk score categories.</w:t>
      </w:r>
    </w:p>
    <w:tbl>
      <w:tblPr>
        <w:tblStyle w:val="TableGrid"/>
        <w:tblpPr w:leftFromText="180" w:rightFromText="180" w:vertAnchor="text" w:horzAnchor="margin" w:tblpY="165"/>
        <w:tblW w:w="12685" w:type="dxa"/>
        <w:tblLayout w:type="fixed"/>
        <w:tblLook w:val="04A0" w:firstRow="1" w:lastRow="0" w:firstColumn="1" w:lastColumn="0" w:noHBand="0" w:noVBand="1"/>
      </w:tblPr>
      <w:tblGrid>
        <w:gridCol w:w="805"/>
        <w:gridCol w:w="1710"/>
        <w:gridCol w:w="1890"/>
        <w:gridCol w:w="2160"/>
        <w:gridCol w:w="1890"/>
        <w:gridCol w:w="2070"/>
        <w:gridCol w:w="2160"/>
      </w:tblGrid>
      <w:tr w:rsidR="00DE0488" w:rsidRPr="003A566F" w:rsidTr="00DE0488">
        <w:trPr>
          <w:trHeight w:val="382"/>
        </w:trPr>
        <w:tc>
          <w:tcPr>
            <w:tcW w:w="2515" w:type="dxa"/>
            <w:gridSpan w:val="2"/>
            <w:shd w:val="clear" w:color="auto" w:fill="auto"/>
            <w:vAlign w:val="center"/>
          </w:tcPr>
          <w:p w:rsidR="00DE0488" w:rsidRPr="003A566F" w:rsidRDefault="00DE0488" w:rsidP="009D7C5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0170" w:type="dxa"/>
            <w:gridSpan w:val="5"/>
            <w:shd w:val="clear" w:color="auto" w:fill="D9D9D9" w:themeFill="background1" w:themeFillShade="D9"/>
            <w:vAlign w:val="center"/>
          </w:tcPr>
          <w:p w:rsidR="00DE0488" w:rsidRPr="003A566F" w:rsidRDefault="00DE0488" w:rsidP="00FC47FF">
            <w:pPr>
              <w:jc w:val="center"/>
              <w:rPr>
                <w:rFonts w:asciiTheme="majorBidi" w:hAnsiTheme="majorBidi" w:cstheme="majorBidi"/>
                <w:b/>
                <w:bCs/>
                <w:color w:val="1B1B1B"/>
                <w:sz w:val="20"/>
                <w:szCs w:val="20"/>
                <w:shd w:val="clear" w:color="auto" w:fill="FFFFFF"/>
              </w:rPr>
            </w:pPr>
            <w:r w:rsidRPr="00DE0488">
              <w:rPr>
                <w:rFonts w:asciiTheme="majorBidi" w:hAnsiTheme="majorBidi" w:cstheme="majorBidi"/>
                <w:b/>
                <w:bCs/>
                <w:color w:val="1B1B1B"/>
                <w:sz w:val="21"/>
                <w:szCs w:val="21"/>
                <w:shd w:val="clear" w:color="auto" w:fill="FFFFFF"/>
              </w:rPr>
              <w:t>Hypertensive</w:t>
            </w:r>
            <w:r w:rsidRPr="003A566F">
              <w:rPr>
                <w:rFonts w:asciiTheme="majorBidi" w:hAnsiTheme="majorBidi" w:cstheme="majorBidi"/>
                <w:b/>
                <w:bCs/>
                <w:color w:val="1B1B1B"/>
                <w:sz w:val="20"/>
                <w:szCs w:val="20"/>
                <w:shd w:val="clear" w:color="auto" w:fill="FFFFFF"/>
              </w:rPr>
              <w:t xml:space="preserve"> Group</w:t>
            </w:r>
          </w:p>
        </w:tc>
      </w:tr>
      <w:tr w:rsidR="00DE0488" w:rsidRPr="003A566F" w:rsidTr="00DE0488">
        <w:trPr>
          <w:trHeight w:val="382"/>
        </w:trPr>
        <w:tc>
          <w:tcPr>
            <w:tcW w:w="2515" w:type="dxa"/>
            <w:gridSpan w:val="2"/>
            <w:vMerge w:val="restart"/>
            <w:shd w:val="clear" w:color="auto" w:fill="auto"/>
            <w:vAlign w:val="center"/>
          </w:tcPr>
          <w:p w:rsidR="00DE0488" w:rsidRPr="003A566F" w:rsidRDefault="00DE0488" w:rsidP="00F97964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A566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Variable</w:t>
            </w:r>
          </w:p>
        </w:tc>
        <w:tc>
          <w:tcPr>
            <w:tcW w:w="4050" w:type="dxa"/>
            <w:gridSpan w:val="2"/>
            <w:vAlign w:val="center"/>
          </w:tcPr>
          <w:p w:rsidR="00DE0488" w:rsidRPr="003A566F" w:rsidRDefault="00DE0488" w:rsidP="00FC47FF">
            <w:pPr>
              <w:jc w:val="center"/>
              <w:rPr>
                <w:rFonts w:asciiTheme="majorBidi" w:hAnsiTheme="majorBidi" w:cstheme="majorBidi"/>
                <w:b/>
                <w:bCs/>
                <w:color w:val="1B1B1B"/>
                <w:sz w:val="20"/>
                <w:szCs w:val="20"/>
                <w:shd w:val="clear" w:color="auto" w:fill="FFFFFF"/>
              </w:rPr>
            </w:pPr>
            <w:r w:rsidRPr="003A566F">
              <w:rPr>
                <w:rFonts w:asciiTheme="majorBidi" w:hAnsiTheme="majorBidi" w:cstheme="majorBidi"/>
                <w:b/>
                <w:bCs/>
                <w:color w:val="1B1B1B"/>
                <w:sz w:val="20"/>
                <w:szCs w:val="20"/>
                <w:shd w:val="clear" w:color="auto" w:fill="FFFFFF"/>
              </w:rPr>
              <w:t>CVD Status</w:t>
            </w:r>
          </w:p>
        </w:tc>
        <w:tc>
          <w:tcPr>
            <w:tcW w:w="6120" w:type="dxa"/>
            <w:gridSpan w:val="3"/>
            <w:vAlign w:val="center"/>
          </w:tcPr>
          <w:p w:rsidR="00DE0488" w:rsidRPr="003A566F" w:rsidRDefault="00DE0488" w:rsidP="00FC47FF">
            <w:pPr>
              <w:jc w:val="center"/>
              <w:rPr>
                <w:rFonts w:asciiTheme="majorBidi" w:hAnsiTheme="majorBidi" w:cstheme="majorBidi"/>
                <w:b/>
                <w:bCs/>
                <w:color w:val="1B1B1B"/>
                <w:sz w:val="20"/>
                <w:szCs w:val="20"/>
                <w:shd w:val="clear" w:color="auto" w:fill="FFFFFF"/>
              </w:rPr>
            </w:pPr>
            <w:r w:rsidRPr="003A566F">
              <w:rPr>
                <w:rFonts w:asciiTheme="majorBidi" w:hAnsiTheme="majorBidi" w:cstheme="majorBidi"/>
                <w:b/>
                <w:bCs/>
                <w:color w:val="1B1B1B"/>
                <w:sz w:val="20"/>
                <w:szCs w:val="20"/>
                <w:shd w:val="clear" w:color="auto" w:fill="FFFFFF"/>
              </w:rPr>
              <w:t xml:space="preserve">Framingham Risk Score </w:t>
            </w:r>
          </w:p>
        </w:tc>
      </w:tr>
      <w:tr w:rsidR="00DE0488" w:rsidRPr="003A566F" w:rsidTr="00DE0488">
        <w:tc>
          <w:tcPr>
            <w:tcW w:w="2515" w:type="dxa"/>
            <w:gridSpan w:val="2"/>
            <w:vMerge/>
            <w:shd w:val="clear" w:color="auto" w:fill="auto"/>
            <w:vAlign w:val="center"/>
          </w:tcPr>
          <w:p w:rsidR="00DE0488" w:rsidRPr="003A566F" w:rsidRDefault="00DE0488" w:rsidP="00DE0488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:rsidR="00DE0488" w:rsidRPr="003A566F" w:rsidRDefault="00DE0488" w:rsidP="00DE0488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3A566F">
              <w:rPr>
                <w:rFonts w:asciiTheme="majorBidi" w:hAnsiTheme="majorBidi" w:cstheme="majorBidi"/>
                <w:b/>
                <w:bCs/>
                <w:color w:val="1B1B1B"/>
                <w:sz w:val="20"/>
                <w:szCs w:val="20"/>
                <w:shd w:val="clear" w:color="auto" w:fill="FFFFFF"/>
              </w:rPr>
              <w:t>CVD-Negative</w:t>
            </w:r>
          </w:p>
        </w:tc>
        <w:tc>
          <w:tcPr>
            <w:tcW w:w="2160" w:type="dxa"/>
            <w:vAlign w:val="center"/>
          </w:tcPr>
          <w:p w:rsidR="00DE0488" w:rsidRPr="003A566F" w:rsidRDefault="00DE0488" w:rsidP="00DE0488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3A566F">
              <w:rPr>
                <w:rFonts w:asciiTheme="majorBidi" w:hAnsiTheme="majorBidi" w:cstheme="majorBidi"/>
                <w:b/>
                <w:bCs/>
                <w:color w:val="1B1B1B"/>
                <w:sz w:val="20"/>
                <w:szCs w:val="20"/>
                <w:shd w:val="clear" w:color="auto" w:fill="FFFFFF"/>
              </w:rPr>
              <w:t>CVD-Positive</w:t>
            </w:r>
          </w:p>
        </w:tc>
        <w:tc>
          <w:tcPr>
            <w:tcW w:w="1890" w:type="dxa"/>
            <w:vAlign w:val="center"/>
          </w:tcPr>
          <w:p w:rsidR="00DE0488" w:rsidRPr="003A566F" w:rsidRDefault="00DE0488" w:rsidP="00DE0488">
            <w:pPr>
              <w:jc w:val="center"/>
              <w:rPr>
                <w:rFonts w:asciiTheme="majorBidi" w:hAnsiTheme="majorBidi" w:cstheme="majorBidi"/>
                <w:b/>
                <w:bCs/>
                <w:color w:val="1B1B1B"/>
                <w:sz w:val="20"/>
                <w:szCs w:val="20"/>
                <w:shd w:val="clear" w:color="auto" w:fill="FFFFFF"/>
              </w:rPr>
            </w:pPr>
            <w:r w:rsidRPr="003A566F">
              <w:rPr>
                <w:rFonts w:asciiTheme="majorBidi" w:hAnsiTheme="majorBidi" w:cstheme="majorBidi"/>
                <w:b/>
                <w:bCs/>
                <w:color w:val="1B1B1B"/>
                <w:sz w:val="20"/>
                <w:szCs w:val="20"/>
                <w:shd w:val="clear" w:color="auto" w:fill="FFFFFF"/>
              </w:rPr>
              <w:t>Low Risk</w:t>
            </w:r>
          </w:p>
        </w:tc>
        <w:tc>
          <w:tcPr>
            <w:tcW w:w="2070" w:type="dxa"/>
            <w:vAlign w:val="center"/>
          </w:tcPr>
          <w:p w:rsidR="00DE0488" w:rsidRPr="003A566F" w:rsidRDefault="00DE0488" w:rsidP="00DE0488">
            <w:pPr>
              <w:jc w:val="center"/>
              <w:rPr>
                <w:rFonts w:asciiTheme="majorBidi" w:hAnsiTheme="majorBidi" w:cstheme="majorBidi"/>
                <w:b/>
                <w:bCs/>
                <w:color w:val="1B1B1B"/>
                <w:sz w:val="20"/>
                <w:szCs w:val="20"/>
                <w:shd w:val="clear" w:color="auto" w:fill="FFFFFF"/>
              </w:rPr>
            </w:pPr>
            <w:r w:rsidRPr="003A566F">
              <w:rPr>
                <w:rFonts w:asciiTheme="majorBidi" w:hAnsiTheme="majorBidi" w:cstheme="majorBidi"/>
                <w:b/>
                <w:bCs/>
                <w:color w:val="1B1B1B"/>
                <w:sz w:val="20"/>
                <w:szCs w:val="20"/>
                <w:shd w:val="clear" w:color="auto" w:fill="FFFFFF"/>
              </w:rPr>
              <w:t>Moderate Risk</w:t>
            </w:r>
          </w:p>
        </w:tc>
        <w:tc>
          <w:tcPr>
            <w:tcW w:w="2160" w:type="dxa"/>
            <w:vAlign w:val="center"/>
          </w:tcPr>
          <w:p w:rsidR="00DE0488" w:rsidRPr="003A566F" w:rsidRDefault="00DE0488" w:rsidP="00DE0488">
            <w:pPr>
              <w:jc w:val="center"/>
              <w:rPr>
                <w:rFonts w:asciiTheme="majorBidi" w:hAnsiTheme="majorBidi" w:cstheme="majorBidi"/>
                <w:b/>
                <w:bCs/>
                <w:color w:val="1B1B1B"/>
                <w:sz w:val="20"/>
                <w:szCs w:val="20"/>
                <w:shd w:val="clear" w:color="auto" w:fill="FFFFFF"/>
              </w:rPr>
            </w:pPr>
            <w:r w:rsidRPr="003A566F">
              <w:rPr>
                <w:rFonts w:asciiTheme="majorBidi" w:hAnsiTheme="majorBidi" w:cstheme="majorBidi"/>
                <w:b/>
                <w:bCs/>
                <w:color w:val="1B1B1B"/>
                <w:sz w:val="20"/>
                <w:szCs w:val="20"/>
                <w:shd w:val="clear" w:color="auto" w:fill="FFFFFF"/>
              </w:rPr>
              <w:t>High Risk</w:t>
            </w:r>
          </w:p>
        </w:tc>
      </w:tr>
      <w:tr w:rsidR="00DE0488" w:rsidRPr="003A566F" w:rsidTr="00FC47FF">
        <w:trPr>
          <w:trHeight w:val="154"/>
        </w:trPr>
        <w:tc>
          <w:tcPr>
            <w:tcW w:w="805" w:type="dxa"/>
            <w:vMerge w:val="restart"/>
            <w:vAlign w:val="center"/>
          </w:tcPr>
          <w:p w:rsidR="00DE0488" w:rsidRPr="003A566F" w:rsidRDefault="00DE0488" w:rsidP="00DE0488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A566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DM cascade of care</w:t>
            </w:r>
          </w:p>
        </w:tc>
        <w:tc>
          <w:tcPr>
            <w:tcW w:w="1710" w:type="dxa"/>
            <w:vAlign w:val="center"/>
          </w:tcPr>
          <w:p w:rsidR="00DE0488" w:rsidRPr="003A566F" w:rsidRDefault="00DE0488" w:rsidP="00DE0488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A566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No Diabetes</w:t>
            </w:r>
          </w:p>
        </w:tc>
        <w:tc>
          <w:tcPr>
            <w:tcW w:w="1890" w:type="dxa"/>
            <w:vAlign w:val="bottom"/>
          </w:tcPr>
          <w:p w:rsidR="00DE0488" w:rsidRPr="003A566F" w:rsidRDefault="00DE0488" w:rsidP="00DE048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A566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69.95 (68.09, 71.8)</w:t>
            </w:r>
          </w:p>
        </w:tc>
        <w:tc>
          <w:tcPr>
            <w:tcW w:w="2160" w:type="dxa"/>
            <w:vAlign w:val="bottom"/>
          </w:tcPr>
          <w:p w:rsidR="00DE0488" w:rsidRPr="003A566F" w:rsidRDefault="00DE0488" w:rsidP="00DE048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A566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49.07 (44.71, 53.44)</w:t>
            </w:r>
          </w:p>
        </w:tc>
        <w:tc>
          <w:tcPr>
            <w:tcW w:w="1890" w:type="dxa"/>
            <w:vAlign w:val="bottom"/>
          </w:tcPr>
          <w:p w:rsidR="00DE0488" w:rsidRPr="003A566F" w:rsidRDefault="00DE0488" w:rsidP="00DE048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A566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90.78 (88.36, 93.2)</w:t>
            </w:r>
          </w:p>
        </w:tc>
        <w:tc>
          <w:tcPr>
            <w:tcW w:w="2070" w:type="dxa"/>
            <w:vAlign w:val="bottom"/>
          </w:tcPr>
          <w:p w:rsidR="00DE0488" w:rsidRPr="003A566F" w:rsidRDefault="00DE0488" w:rsidP="00DE048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A566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71.54 (68.5, 74.57)</w:t>
            </w:r>
          </w:p>
        </w:tc>
        <w:tc>
          <w:tcPr>
            <w:tcW w:w="2160" w:type="dxa"/>
            <w:vAlign w:val="bottom"/>
          </w:tcPr>
          <w:p w:rsidR="00DE0488" w:rsidRPr="003A566F" w:rsidRDefault="00DE0488" w:rsidP="00DE048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A566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45.86 (42.44, 49.28)</w:t>
            </w:r>
          </w:p>
        </w:tc>
      </w:tr>
      <w:tr w:rsidR="00DE0488" w:rsidRPr="003A566F" w:rsidTr="00FC47FF">
        <w:trPr>
          <w:trHeight w:val="207"/>
        </w:trPr>
        <w:tc>
          <w:tcPr>
            <w:tcW w:w="805" w:type="dxa"/>
            <w:vMerge/>
            <w:vAlign w:val="center"/>
          </w:tcPr>
          <w:p w:rsidR="00DE0488" w:rsidRPr="003A566F" w:rsidRDefault="00DE0488" w:rsidP="00DE0488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:rsidR="00DE0488" w:rsidRPr="003A566F" w:rsidRDefault="00DE0488" w:rsidP="00DE0488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A566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Untreated Diabetes</w:t>
            </w:r>
          </w:p>
        </w:tc>
        <w:tc>
          <w:tcPr>
            <w:tcW w:w="1890" w:type="dxa"/>
            <w:vAlign w:val="bottom"/>
          </w:tcPr>
          <w:p w:rsidR="00DE0488" w:rsidRPr="003A566F" w:rsidRDefault="00DE0488" w:rsidP="00DE048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A566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14.54 (13, 16.08)</w:t>
            </w:r>
          </w:p>
        </w:tc>
        <w:tc>
          <w:tcPr>
            <w:tcW w:w="2160" w:type="dxa"/>
            <w:vAlign w:val="bottom"/>
          </w:tcPr>
          <w:p w:rsidR="00DE0488" w:rsidRPr="003A566F" w:rsidRDefault="00DE0488" w:rsidP="00DE048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A566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19.5 (15.67, 23.32)</w:t>
            </w:r>
          </w:p>
        </w:tc>
        <w:tc>
          <w:tcPr>
            <w:tcW w:w="1890" w:type="dxa"/>
            <w:vAlign w:val="bottom"/>
          </w:tcPr>
          <w:p w:rsidR="00DE0488" w:rsidRPr="003A566F" w:rsidRDefault="00DE0488" w:rsidP="00DE048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A566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4.4 (2.73, 6.08)</w:t>
            </w:r>
          </w:p>
        </w:tc>
        <w:tc>
          <w:tcPr>
            <w:tcW w:w="2070" w:type="dxa"/>
            <w:vAlign w:val="bottom"/>
          </w:tcPr>
          <w:p w:rsidR="00DE0488" w:rsidRPr="003A566F" w:rsidRDefault="00DE0488" w:rsidP="00DE048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A566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11.68 (9.68, 13.68)</w:t>
            </w:r>
          </w:p>
        </w:tc>
        <w:tc>
          <w:tcPr>
            <w:tcW w:w="2160" w:type="dxa"/>
            <w:vAlign w:val="bottom"/>
          </w:tcPr>
          <w:p w:rsidR="00DE0488" w:rsidRPr="003A566F" w:rsidRDefault="00DE0488" w:rsidP="00DE048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A566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26.68 (23.64, 29.72)</w:t>
            </w:r>
          </w:p>
        </w:tc>
      </w:tr>
      <w:tr w:rsidR="00DE0488" w:rsidRPr="003A566F" w:rsidTr="00FC47FF">
        <w:trPr>
          <w:trHeight w:val="201"/>
        </w:trPr>
        <w:tc>
          <w:tcPr>
            <w:tcW w:w="805" w:type="dxa"/>
            <w:vMerge/>
            <w:vAlign w:val="center"/>
          </w:tcPr>
          <w:p w:rsidR="00DE0488" w:rsidRPr="003A566F" w:rsidRDefault="00DE0488" w:rsidP="00DE0488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:rsidR="00DE0488" w:rsidRPr="003A566F" w:rsidRDefault="00DE0488" w:rsidP="00DE0488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A566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Treated but Uncontrolled Diabetes</w:t>
            </w:r>
          </w:p>
        </w:tc>
        <w:tc>
          <w:tcPr>
            <w:tcW w:w="1890" w:type="dxa"/>
            <w:vAlign w:val="bottom"/>
          </w:tcPr>
          <w:p w:rsidR="00DE0488" w:rsidRPr="003A566F" w:rsidRDefault="00DE0488" w:rsidP="00DE048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A566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11.04 (9.83, 12.24)</w:t>
            </w:r>
          </w:p>
        </w:tc>
        <w:tc>
          <w:tcPr>
            <w:tcW w:w="2160" w:type="dxa"/>
            <w:vAlign w:val="bottom"/>
          </w:tcPr>
          <w:p w:rsidR="00DE0488" w:rsidRPr="003A566F" w:rsidRDefault="00DE0488" w:rsidP="00DE048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A566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21.81 (18.07, 25.55)</w:t>
            </w:r>
          </w:p>
        </w:tc>
        <w:tc>
          <w:tcPr>
            <w:tcW w:w="1890" w:type="dxa"/>
            <w:vAlign w:val="bottom"/>
          </w:tcPr>
          <w:p w:rsidR="00DE0488" w:rsidRPr="003A566F" w:rsidRDefault="00DE0488" w:rsidP="00DE048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A566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3.06 (1.33, 4.8)</w:t>
            </w:r>
          </w:p>
        </w:tc>
        <w:tc>
          <w:tcPr>
            <w:tcW w:w="2070" w:type="dxa"/>
            <w:vAlign w:val="bottom"/>
          </w:tcPr>
          <w:p w:rsidR="00DE0488" w:rsidRPr="003A566F" w:rsidRDefault="00DE0488" w:rsidP="00DE048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A566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11.06 (8.95, 13.16)</w:t>
            </w:r>
          </w:p>
        </w:tc>
        <w:tc>
          <w:tcPr>
            <w:tcW w:w="2160" w:type="dxa"/>
            <w:vAlign w:val="bottom"/>
          </w:tcPr>
          <w:p w:rsidR="00DE0488" w:rsidRPr="003A566F" w:rsidRDefault="00DE0488" w:rsidP="00DE048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A566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20.49 (17.85, 23.14)</w:t>
            </w:r>
          </w:p>
        </w:tc>
      </w:tr>
      <w:tr w:rsidR="00DE0488" w:rsidRPr="003A566F" w:rsidTr="00FC47FF">
        <w:trPr>
          <w:trHeight w:val="208"/>
        </w:trPr>
        <w:tc>
          <w:tcPr>
            <w:tcW w:w="805" w:type="dxa"/>
            <w:vMerge/>
            <w:vAlign w:val="center"/>
          </w:tcPr>
          <w:p w:rsidR="00DE0488" w:rsidRPr="003A566F" w:rsidRDefault="00DE0488" w:rsidP="00DE0488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:rsidR="00DE0488" w:rsidRPr="003A566F" w:rsidRDefault="00DE0488" w:rsidP="00DE0488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A566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Treated and Controlled Diabetes</w:t>
            </w:r>
          </w:p>
        </w:tc>
        <w:tc>
          <w:tcPr>
            <w:tcW w:w="1890" w:type="dxa"/>
            <w:vAlign w:val="bottom"/>
          </w:tcPr>
          <w:p w:rsidR="00DE0488" w:rsidRPr="003A566F" w:rsidRDefault="00DE0488" w:rsidP="00DE048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A566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4.48 (3.7, 5.26)</w:t>
            </w:r>
          </w:p>
        </w:tc>
        <w:tc>
          <w:tcPr>
            <w:tcW w:w="2160" w:type="dxa"/>
            <w:vAlign w:val="bottom"/>
          </w:tcPr>
          <w:p w:rsidR="00DE0488" w:rsidRPr="003A566F" w:rsidRDefault="00DE0488" w:rsidP="00DE048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A566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9.62 (6.93, 12.31)</w:t>
            </w:r>
          </w:p>
        </w:tc>
        <w:tc>
          <w:tcPr>
            <w:tcW w:w="1890" w:type="dxa"/>
            <w:vAlign w:val="bottom"/>
          </w:tcPr>
          <w:p w:rsidR="00DE0488" w:rsidRPr="003A566F" w:rsidRDefault="00DE0488" w:rsidP="00DE048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A566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1.76 (1.03, 2.48)</w:t>
            </w:r>
          </w:p>
        </w:tc>
        <w:tc>
          <w:tcPr>
            <w:tcW w:w="2070" w:type="dxa"/>
            <w:vAlign w:val="bottom"/>
          </w:tcPr>
          <w:p w:rsidR="00DE0488" w:rsidRPr="003A566F" w:rsidRDefault="00DE0488" w:rsidP="00DE048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A566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5.73 (4.03, 7.43)</w:t>
            </w:r>
          </w:p>
        </w:tc>
        <w:tc>
          <w:tcPr>
            <w:tcW w:w="2160" w:type="dxa"/>
            <w:vAlign w:val="bottom"/>
          </w:tcPr>
          <w:p w:rsidR="00DE0488" w:rsidRPr="003A566F" w:rsidRDefault="00DE0488" w:rsidP="00DE048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A566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6.97 (5.29, 8.64)</w:t>
            </w:r>
          </w:p>
        </w:tc>
      </w:tr>
      <w:tr w:rsidR="00DE0488" w:rsidRPr="003A566F" w:rsidTr="00FC47FF">
        <w:trPr>
          <w:trHeight w:val="147"/>
        </w:trPr>
        <w:tc>
          <w:tcPr>
            <w:tcW w:w="805" w:type="dxa"/>
            <w:vMerge w:val="restart"/>
            <w:vAlign w:val="center"/>
          </w:tcPr>
          <w:p w:rsidR="00DE0488" w:rsidRPr="003A566F" w:rsidRDefault="00DE0488" w:rsidP="00DE0488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A566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Dyslipidemia</w:t>
            </w:r>
          </w:p>
          <w:p w:rsidR="00DE0488" w:rsidRPr="003A566F" w:rsidRDefault="00DE0488" w:rsidP="00DE0488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A566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Cascade of care</w:t>
            </w:r>
          </w:p>
        </w:tc>
        <w:tc>
          <w:tcPr>
            <w:tcW w:w="1710" w:type="dxa"/>
            <w:vAlign w:val="center"/>
          </w:tcPr>
          <w:p w:rsidR="00DE0488" w:rsidRPr="003A566F" w:rsidRDefault="00DE0488" w:rsidP="00DE0488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A566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No Dyslipidemia</w:t>
            </w:r>
          </w:p>
        </w:tc>
        <w:tc>
          <w:tcPr>
            <w:tcW w:w="1890" w:type="dxa"/>
            <w:vAlign w:val="bottom"/>
          </w:tcPr>
          <w:p w:rsidR="00DE0488" w:rsidRPr="003A566F" w:rsidRDefault="00DE0488" w:rsidP="00DE048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A566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13.89 (12.56, 15.21)</w:t>
            </w:r>
          </w:p>
        </w:tc>
        <w:tc>
          <w:tcPr>
            <w:tcW w:w="2160" w:type="dxa"/>
            <w:vAlign w:val="bottom"/>
          </w:tcPr>
          <w:p w:rsidR="00DE0488" w:rsidRPr="003A566F" w:rsidRDefault="00DE0488" w:rsidP="00DE048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A566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11.26 (8.51, 14.01)</w:t>
            </w:r>
          </w:p>
        </w:tc>
        <w:tc>
          <w:tcPr>
            <w:tcW w:w="1890" w:type="dxa"/>
            <w:vAlign w:val="bottom"/>
          </w:tcPr>
          <w:p w:rsidR="00DE0488" w:rsidRPr="003A566F" w:rsidRDefault="00DE0488" w:rsidP="00DE048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A566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16.79 (14.17, 19.41)</w:t>
            </w:r>
          </w:p>
        </w:tc>
        <w:tc>
          <w:tcPr>
            <w:tcW w:w="2070" w:type="dxa"/>
            <w:vAlign w:val="bottom"/>
          </w:tcPr>
          <w:p w:rsidR="00DE0488" w:rsidRPr="003A566F" w:rsidRDefault="00DE0488" w:rsidP="00DE048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A566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11.47 (9.21, 13.72)</w:t>
            </w:r>
          </w:p>
        </w:tc>
        <w:tc>
          <w:tcPr>
            <w:tcW w:w="2160" w:type="dxa"/>
            <w:vAlign w:val="bottom"/>
          </w:tcPr>
          <w:p w:rsidR="00DE0488" w:rsidRPr="003A566F" w:rsidRDefault="00DE0488" w:rsidP="00DE048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A566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11.1 (9.09, 13.12)</w:t>
            </w:r>
          </w:p>
        </w:tc>
      </w:tr>
      <w:tr w:rsidR="00DE0488" w:rsidRPr="003A566F" w:rsidTr="00FC47FF">
        <w:trPr>
          <w:trHeight w:val="194"/>
        </w:trPr>
        <w:tc>
          <w:tcPr>
            <w:tcW w:w="805" w:type="dxa"/>
            <w:vMerge/>
            <w:vAlign w:val="center"/>
          </w:tcPr>
          <w:p w:rsidR="00DE0488" w:rsidRPr="003A566F" w:rsidRDefault="00DE0488" w:rsidP="00DE0488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:rsidR="00DE0488" w:rsidRPr="003A566F" w:rsidRDefault="00DE0488" w:rsidP="00DE0488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A566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Untreated Dyslipidemia</w:t>
            </w:r>
          </w:p>
        </w:tc>
        <w:tc>
          <w:tcPr>
            <w:tcW w:w="1890" w:type="dxa"/>
            <w:vAlign w:val="bottom"/>
          </w:tcPr>
          <w:p w:rsidR="00DE0488" w:rsidRPr="003A566F" w:rsidRDefault="00DE0488" w:rsidP="00DE048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A566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67.9 (66.16, 69.63)</w:t>
            </w:r>
          </w:p>
        </w:tc>
        <w:tc>
          <w:tcPr>
            <w:tcW w:w="2160" w:type="dxa"/>
            <w:vAlign w:val="bottom"/>
          </w:tcPr>
          <w:p w:rsidR="00DE0488" w:rsidRPr="003A566F" w:rsidRDefault="00DE0488" w:rsidP="00DE048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A566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46.67 (42.33, 51)</w:t>
            </w:r>
          </w:p>
        </w:tc>
        <w:tc>
          <w:tcPr>
            <w:tcW w:w="1890" w:type="dxa"/>
            <w:vAlign w:val="bottom"/>
          </w:tcPr>
          <w:p w:rsidR="00DE0488" w:rsidRPr="003A566F" w:rsidRDefault="00DE0488" w:rsidP="00DE048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A566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72.15 (69.19, 75.12)</w:t>
            </w:r>
          </w:p>
        </w:tc>
        <w:tc>
          <w:tcPr>
            <w:tcW w:w="2070" w:type="dxa"/>
            <w:vAlign w:val="bottom"/>
          </w:tcPr>
          <w:p w:rsidR="00DE0488" w:rsidRPr="003A566F" w:rsidRDefault="00DE0488" w:rsidP="00DE048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A566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66.56 (63.37, 69.76)</w:t>
            </w:r>
          </w:p>
        </w:tc>
        <w:tc>
          <w:tcPr>
            <w:tcW w:w="2160" w:type="dxa"/>
            <w:vAlign w:val="bottom"/>
          </w:tcPr>
          <w:p w:rsidR="00DE0488" w:rsidRPr="003A566F" w:rsidRDefault="00DE0488" w:rsidP="00DE048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A566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65.33 (62.2, 68.46)</w:t>
            </w:r>
          </w:p>
        </w:tc>
      </w:tr>
      <w:tr w:rsidR="00DE0488" w:rsidRPr="003A566F" w:rsidTr="00FC47FF">
        <w:trPr>
          <w:trHeight w:val="235"/>
        </w:trPr>
        <w:tc>
          <w:tcPr>
            <w:tcW w:w="805" w:type="dxa"/>
            <w:vMerge/>
            <w:vAlign w:val="center"/>
          </w:tcPr>
          <w:p w:rsidR="00DE0488" w:rsidRPr="003A566F" w:rsidRDefault="00DE0488" w:rsidP="00DE0488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:rsidR="00DE0488" w:rsidRPr="003A566F" w:rsidRDefault="00DE0488" w:rsidP="00DE0488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A566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Treated but Uncontrolled Dyslipidemia</w:t>
            </w:r>
          </w:p>
        </w:tc>
        <w:tc>
          <w:tcPr>
            <w:tcW w:w="1890" w:type="dxa"/>
            <w:vAlign w:val="bottom"/>
          </w:tcPr>
          <w:p w:rsidR="00DE0488" w:rsidRPr="003A566F" w:rsidRDefault="00DE0488" w:rsidP="00DE048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A566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15.22 (13.99, 16.44)</w:t>
            </w:r>
          </w:p>
        </w:tc>
        <w:tc>
          <w:tcPr>
            <w:tcW w:w="2160" w:type="dxa"/>
            <w:vAlign w:val="bottom"/>
          </w:tcPr>
          <w:p w:rsidR="00DE0488" w:rsidRPr="003A566F" w:rsidRDefault="00DE0488" w:rsidP="00DE048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A566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36.54 (32.28, 40.8)</w:t>
            </w:r>
          </w:p>
        </w:tc>
        <w:tc>
          <w:tcPr>
            <w:tcW w:w="1890" w:type="dxa"/>
            <w:vAlign w:val="bottom"/>
          </w:tcPr>
          <w:p w:rsidR="00DE0488" w:rsidRPr="003A566F" w:rsidRDefault="00DE0488" w:rsidP="00DE048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A566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8.67 (7.14, 10.19)</w:t>
            </w:r>
          </w:p>
        </w:tc>
        <w:tc>
          <w:tcPr>
            <w:tcW w:w="2070" w:type="dxa"/>
            <w:vAlign w:val="bottom"/>
          </w:tcPr>
          <w:p w:rsidR="00DE0488" w:rsidRPr="003A566F" w:rsidRDefault="00DE0488" w:rsidP="00DE048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A566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18.71 (16.15, 21.27)</w:t>
            </w:r>
          </w:p>
        </w:tc>
        <w:tc>
          <w:tcPr>
            <w:tcW w:w="2160" w:type="dxa"/>
            <w:vAlign w:val="bottom"/>
          </w:tcPr>
          <w:p w:rsidR="00DE0488" w:rsidRPr="003A566F" w:rsidRDefault="00DE0488" w:rsidP="00DE048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A566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20.82 (18.23, 23.4)</w:t>
            </w:r>
          </w:p>
        </w:tc>
      </w:tr>
      <w:tr w:rsidR="00DE0488" w:rsidRPr="003A566F" w:rsidTr="00FC47FF">
        <w:trPr>
          <w:trHeight w:val="301"/>
        </w:trPr>
        <w:tc>
          <w:tcPr>
            <w:tcW w:w="805" w:type="dxa"/>
            <w:vMerge/>
            <w:vAlign w:val="center"/>
          </w:tcPr>
          <w:p w:rsidR="00DE0488" w:rsidRPr="003A566F" w:rsidRDefault="00DE0488" w:rsidP="00DE0488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:rsidR="00DE0488" w:rsidRPr="003A566F" w:rsidRDefault="00DE0488" w:rsidP="00DE0488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A566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Treated and Controlled Dyslipidemia</w:t>
            </w:r>
          </w:p>
        </w:tc>
        <w:tc>
          <w:tcPr>
            <w:tcW w:w="1890" w:type="dxa"/>
            <w:vAlign w:val="bottom"/>
          </w:tcPr>
          <w:p w:rsidR="00DE0488" w:rsidRPr="003A566F" w:rsidRDefault="00DE0488" w:rsidP="00DE048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A566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 (2.39, 3.61)</w:t>
            </w:r>
          </w:p>
        </w:tc>
        <w:tc>
          <w:tcPr>
            <w:tcW w:w="2160" w:type="dxa"/>
            <w:vAlign w:val="bottom"/>
          </w:tcPr>
          <w:p w:rsidR="00DE0488" w:rsidRPr="003A566F" w:rsidRDefault="00DE0488" w:rsidP="00DE048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A566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5.53 (4.01, 7.05)</w:t>
            </w:r>
          </w:p>
        </w:tc>
        <w:tc>
          <w:tcPr>
            <w:tcW w:w="1890" w:type="dxa"/>
            <w:vAlign w:val="bottom"/>
          </w:tcPr>
          <w:p w:rsidR="00DE0488" w:rsidRPr="003A566F" w:rsidRDefault="00DE0488" w:rsidP="00DE048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A566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2.39 (1.62, 3.17)</w:t>
            </w:r>
          </w:p>
        </w:tc>
        <w:tc>
          <w:tcPr>
            <w:tcW w:w="2070" w:type="dxa"/>
            <w:vAlign w:val="bottom"/>
          </w:tcPr>
          <w:p w:rsidR="00DE0488" w:rsidRPr="003A566F" w:rsidRDefault="00DE0488" w:rsidP="00DE048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A566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3.26 (2.19, 4.34)</w:t>
            </w:r>
          </w:p>
        </w:tc>
        <w:tc>
          <w:tcPr>
            <w:tcW w:w="2160" w:type="dxa"/>
            <w:vAlign w:val="bottom"/>
          </w:tcPr>
          <w:p w:rsidR="00DE0488" w:rsidRPr="003A566F" w:rsidRDefault="00DE0488" w:rsidP="00DE048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A566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2.75 (1.62, 3.87)</w:t>
            </w:r>
          </w:p>
        </w:tc>
      </w:tr>
      <w:tr w:rsidR="00DE0488" w:rsidRPr="003A566F" w:rsidTr="00FC47FF">
        <w:trPr>
          <w:trHeight w:val="167"/>
        </w:trPr>
        <w:tc>
          <w:tcPr>
            <w:tcW w:w="805" w:type="dxa"/>
            <w:vMerge w:val="restart"/>
            <w:vAlign w:val="center"/>
          </w:tcPr>
          <w:p w:rsidR="00DE0488" w:rsidRPr="003A566F" w:rsidRDefault="00DE0488" w:rsidP="00DE0488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A566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HTN</w:t>
            </w:r>
          </w:p>
          <w:p w:rsidR="00DE0488" w:rsidRPr="003A566F" w:rsidRDefault="00DE0488" w:rsidP="00DE0488">
            <w:pPr>
              <w:jc w:val="center"/>
              <w:rPr>
                <w:rFonts w:asciiTheme="majorBidi" w:hAnsiTheme="majorBidi" w:cstheme="majorBidi"/>
                <w:color w:val="1B1B1B"/>
                <w:sz w:val="20"/>
                <w:szCs w:val="20"/>
                <w:shd w:val="clear" w:color="auto" w:fill="FFFFFF"/>
              </w:rPr>
            </w:pPr>
            <w:r w:rsidRPr="003A566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Cascade of care</w:t>
            </w:r>
          </w:p>
        </w:tc>
        <w:tc>
          <w:tcPr>
            <w:tcW w:w="1710" w:type="dxa"/>
            <w:vAlign w:val="center"/>
          </w:tcPr>
          <w:p w:rsidR="00DE0488" w:rsidRPr="003A566F" w:rsidRDefault="00DE0488" w:rsidP="00DE0488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A566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untreated</w:t>
            </w:r>
          </w:p>
        </w:tc>
        <w:tc>
          <w:tcPr>
            <w:tcW w:w="1890" w:type="dxa"/>
            <w:vAlign w:val="bottom"/>
          </w:tcPr>
          <w:p w:rsidR="00DE0488" w:rsidRPr="003A566F" w:rsidRDefault="00DE0488" w:rsidP="00DE048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A566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51.67 (50.39, 52.94)</w:t>
            </w:r>
          </w:p>
        </w:tc>
        <w:tc>
          <w:tcPr>
            <w:tcW w:w="2160" w:type="dxa"/>
            <w:vAlign w:val="bottom"/>
          </w:tcPr>
          <w:p w:rsidR="00DE0488" w:rsidRPr="003A566F" w:rsidRDefault="00DE0488" w:rsidP="00DE048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A566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21.26 (18.81, 23.71)</w:t>
            </w:r>
          </w:p>
        </w:tc>
        <w:tc>
          <w:tcPr>
            <w:tcW w:w="1890" w:type="dxa"/>
            <w:vAlign w:val="bottom"/>
          </w:tcPr>
          <w:p w:rsidR="00DE0488" w:rsidRPr="003A566F" w:rsidRDefault="00DE0488" w:rsidP="00DE048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A566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68.43 (65.32, 71.55)</w:t>
            </w:r>
          </w:p>
        </w:tc>
        <w:tc>
          <w:tcPr>
            <w:tcW w:w="2070" w:type="dxa"/>
            <w:vAlign w:val="bottom"/>
          </w:tcPr>
          <w:p w:rsidR="00DE0488" w:rsidRPr="003A566F" w:rsidRDefault="00DE0488" w:rsidP="00DE048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A566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48.46 (45.01, 51.91)</w:t>
            </w:r>
          </w:p>
        </w:tc>
        <w:tc>
          <w:tcPr>
            <w:tcW w:w="2160" w:type="dxa"/>
            <w:vAlign w:val="bottom"/>
          </w:tcPr>
          <w:p w:rsidR="00DE0488" w:rsidRPr="003A566F" w:rsidRDefault="00DE0488" w:rsidP="00DE048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A566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39.32 (35.85, 42.8)</w:t>
            </w:r>
          </w:p>
        </w:tc>
      </w:tr>
      <w:tr w:rsidR="00DE0488" w:rsidRPr="003A566F" w:rsidTr="00FC47FF">
        <w:trPr>
          <w:trHeight w:val="174"/>
        </w:trPr>
        <w:tc>
          <w:tcPr>
            <w:tcW w:w="805" w:type="dxa"/>
            <w:vMerge/>
          </w:tcPr>
          <w:p w:rsidR="00DE0488" w:rsidRPr="003A566F" w:rsidRDefault="00DE0488" w:rsidP="00DE0488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vAlign w:val="bottom"/>
          </w:tcPr>
          <w:p w:rsidR="00DE0488" w:rsidRPr="003A566F" w:rsidRDefault="00DE0488" w:rsidP="00DE0488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A566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treated uncontrolled</w:t>
            </w:r>
          </w:p>
        </w:tc>
        <w:tc>
          <w:tcPr>
            <w:tcW w:w="1890" w:type="dxa"/>
            <w:vAlign w:val="bottom"/>
          </w:tcPr>
          <w:p w:rsidR="00DE0488" w:rsidRPr="003A566F" w:rsidRDefault="00DE0488" w:rsidP="00DE048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A566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28.34 (27.19, 29.49)</w:t>
            </w:r>
          </w:p>
        </w:tc>
        <w:tc>
          <w:tcPr>
            <w:tcW w:w="2160" w:type="dxa"/>
            <w:vAlign w:val="bottom"/>
          </w:tcPr>
          <w:p w:rsidR="00DE0488" w:rsidRPr="003A566F" w:rsidRDefault="00DE0488" w:rsidP="00DE048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A566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44.42 (41.48, 47.36)</w:t>
            </w:r>
          </w:p>
        </w:tc>
        <w:tc>
          <w:tcPr>
            <w:tcW w:w="1890" w:type="dxa"/>
            <w:vAlign w:val="bottom"/>
          </w:tcPr>
          <w:p w:rsidR="00DE0488" w:rsidRPr="003A566F" w:rsidRDefault="00DE0488" w:rsidP="00DE048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A566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9.91 (8.14, 11.68)</w:t>
            </w:r>
          </w:p>
        </w:tc>
        <w:tc>
          <w:tcPr>
            <w:tcW w:w="2070" w:type="dxa"/>
            <w:vAlign w:val="bottom"/>
          </w:tcPr>
          <w:p w:rsidR="00DE0488" w:rsidRPr="003A566F" w:rsidRDefault="00DE0488" w:rsidP="00DE048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A566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28.73 (25.62, 31.84)</w:t>
            </w:r>
          </w:p>
        </w:tc>
        <w:tc>
          <w:tcPr>
            <w:tcW w:w="2160" w:type="dxa"/>
            <w:vAlign w:val="bottom"/>
          </w:tcPr>
          <w:p w:rsidR="00DE0488" w:rsidRPr="003A566F" w:rsidRDefault="00DE0488" w:rsidP="00DE048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A566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45.95 (42.6, 49.3)</w:t>
            </w:r>
          </w:p>
        </w:tc>
      </w:tr>
      <w:tr w:rsidR="00DE0488" w:rsidRPr="003A566F" w:rsidTr="00FC47FF">
        <w:trPr>
          <w:trHeight w:val="194"/>
        </w:trPr>
        <w:tc>
          <w:tcPr>
            <w:tcW w:w="805" w:type="dxa"/>
            <w:vMerge/>
          </w:tcPr>
          <w:p w:rsidR="00DE0488" w:rsidRPr="003A566F" w:rsidRDefault="00DE0488" w:rsidP="00DE0488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vAlign w:val="bottom"/>
          </w:tcPr>
          <w:p w:rsidR="00DE0488" w:rsidRPr="003A566F" w:rsidRDefault="00DE0488" w:rsidP="00DE0488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A566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Treated controlled</w:t>
            </w:r>
          </w:p>
        </w:tc>
        <w:tc>
          <w:tcPr>
            <w:tcW w:w="1890" w:type="dxa"/>
            <w:vAlign w:val="bottom"/>
          </w:tcPr>
          <w:p w:rsidR="00DE0488" w:rsidRPr="003A566F" w:rsidRDefault="00DE0488" w:rsidP="00DE048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A566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20 (18.97, 21.03)</w:t>
            </w:r>
          </w:p>
        </w:tc>
        <w:tc>
          <w:tcPr>
            <w:tcW w:w="2160" w:type="dxa"/>
            <w:vAlign w:val="bottom"/>
          </w:tcPr>
          <w:p w:rsidR="00DE0488" w:rsidRPr="003A566F" w:rsidRDefault="00DE0488" w:rsidP="00DE048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A566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34.32 (31.51, 37.13)</w:t>
            </w:r>
          </w:p>
        </w:tc>
        <w:tc>
          <w:tcPr>
            <w:tcW w:w="1890" w:type="dxa"/>
            <w:vAlign w:val="bottom"/>
          </w:tcPr>
          <w:p w:rsidR="00DE0488" w:rsidRPr="003A566F" w:rsidRDefault="00DE0488" w:rsidP="00DE048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A566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21.66 (18.87, 24.45)</w:t>
            </w:r>
          </w:p>
        </w:tc>
        <w:tc>
          <w:tcPr>
            <w:tcW w:w="2070" w:type="dxa"/>
            <w:vAlign w:val="bottom"/>
          </w:tcPr>
          <w:p w:rsidR="00DE0488" w:rsidRPr="003A566F" w:rsidRDefault="00DE0488" w:rsidP="00DE048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A566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22.81 (19.94, 25.68)</w:t>
            </w:r>
          </w:p>
        </w:tc>
        <w:tc>
          <w:tcPr>
            <w:tcW w:w="2160" w:type="dxa"/>
            <w:vAlign w:val="bottom"/>
          </w:tcPr>
          <w:p w:rsidR="00DE0488" w:rsidRPr="003A566F" w:rsidRDefault="00DE0488" w:rsidP="00DE048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A566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14.73 (12.32, 17.14)</w:t>
            </w:r>
          </w:p>
        </w:tc>
      </w:tr>
      <w:tr w:rsidR="00DE0488" w:rsidRPr="003A566F" w:rsidTr="00DE0488">
        <w:trPr>
          <w:trHeight w:val="194"/>
        </w:trPr>
        <w:tc>
          <w:tcPr>
            <w:tcW w:w="12685" w:type="dxa"/>
            <w:gridSpan w:val="7"/>
            <w:shd w:val="clear" w:color="auto" w:fill="D9D9D9" w:themeFill="background1" w:themeFillShade="D9"/>
          </w:tcPr>
          <w:p w:rsidR="00DE0488" w:rsidRPr="004F289F" w:rsidRDefault="00DE0488" w:rsidP="00DE0488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DE0488">
              <w:rPr>
                <w:rFonts w:asciiTheme="majorBidi" w:hAnsiTheme="majorBidi" w:cstheme="majorBidi"/>
                <w:b/>
                <w:bCs/>
                <w:color w:val="000000"/>
                <w:sz w:val="21"/>
                <w:szCs w:val="21"/>
              </w:rPr>
              <w:t>Prehypertensive Group</w:t>
            </w:r>
          </w:p>
        </w:tc>
      </w:tr>
      <w:tr w:rsidR="00DE0488" w:rsidRPr="003A566F" w:rsidTr="001A56F5">
        <w:trPr>
          <w:trHeight w:val="194"/>
        </w:trPr>
        <w:tc>
          <w:tcPr>
            <w:tcW w:w="805" w:type="dxa"/>
            <w:vAlign w:val="center"/>
          </w:tcPr>
          <w:p w:rsidR="00DE0488" w:rsidRPr="0038719A" w:rsidRDefault="00DE0488" w:rsidP="00DE0488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8719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DM cascade</w:t>
            </w:r>
          </w:p>
        </w:tc>
        <w:tc>
          <w:tcPr>
            <w:tcW w:w="1710" w:type="dxa"/>
            <w:vAlign w:val="center"/>
          </w:tcPr>
          <w:p w:rsidR="00DE0488" w:rsidRPr="0038719A" w:rsidRDefault="00DE0488" w:rsidP="00DE0488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8719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No Diabetes</w:t>
            </w:r>
          </w:p>
        </w:tc>
        <w:tc>
          <w:tcPr>
            <w:tcW w:w="1890" w:type="dxa"/>
            <w:vAlign w:val="bottom"/>
          </w:tcPr>
          <w:p w:rsidR="00DE0488" w:rsidRPr="0038719A" w:rsidRDefault="00DE0488" w:rsidP="00DE048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8719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87.89 (86.68, 89.09)</w:t>
            </w:r>
          </w:p>
        </w:tc>
        <w:tc>
          <w:tcPr>
            <w:tcW w:w="2160" w:type="dxa"/>
            <w:vAlign w:val="bottom"/>
          </w:tcPr>
          <w:p w:rsidR="00DE0488" w:rsidRPr="0038719A" w:rsidRDefault="00DE0488" w:rsidP="00DE048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8719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63.17 (55.3, 71.04)</w:t>
            </w:r>
          </w:p>
        </w:tc>
        <w:tc>
          <w:tcPr>
            <w:tcW w:w="1890" w:type="dxa"/>
            <w:vAlign w:val="bottom"/>
          </w:tcPr>
          <w:p w:rsidR="00DE0488" w:rsidRPr="0038719A" w:rsidRDefault="00DE0488" w:rsidP="00DE048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8719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93.76 (92.75, 94.77)</w:t>
            </w:r>
          </w:p>
        </w:tc>
        <w:tc>
          <w:tcPr>
            <w:tcW w:w="2070" w:type="dxa"/>
            <w:vAlign w:val="bottom"/>
          </w:tcPr>
          <w:p w:rsidR="00DE0488" w:rsidRPr="0038719A" w:rsidRDefault="00DE0488" w:rsidP="00DE048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8719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69.73 (65.47, 73.99)</w:t>
            </w:r>
          </w:p>
        </w:tc>
        <w:tc>
          <w:tcPr>
            <w:tcW w:w="2160" w:type="dxa"/>
            <w:vAlign w:val="bottom"/>
          </w:tcPr>
          <w:p w:rsidR="00DE0488" w:rsidRPr="0038719A" w:rsidRDefault="00DE0488" w:rsidP="00DE048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8719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58.53 (50.55, 66.51)</w:t>
            </w:r>
          </w:p>
        </w:tc>
      </w:tr>
      <w:tr w:rsidR="00DE0488" w:rsidRPr="003A566F" w:rsidTr="001A56F5">
        <w:trPr>
          <w:trHeight w:val="194"/>
        </w:trPr>
        <w:tc>
          <w:tcPr>
            <w:tcW w:w="805" w:type="dxa"/>
            <w:vAlign w:val="center"/>
          </w:tcPr>
          <w:p w:rsidR="00DE0488" w:rsidRPr="0038719A" w:rsidRDefault="00DE0488" w:rsidP="00DE0488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:rsidR="00DE0488" w:rsidRPr="0038719A" w:rsidRDefault="00DE0488" w:rsidP="00DE0488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8719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Untreated Diabetes</w:t>
            </w:r>
          </w:p>
        </w:tc>
        <w:tc>
          <w:tcPr>
            <w:tcW w:w="1890" w:type="dxa"/>
            <w:vAlign w:val="bottom"/>
          </w:tcPr>
          <w:p w:rsidR="00DE0488" w:rsidRPr="0038719A" w:rsidRDefault="00DE0488" w:rsidP="00DE048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8719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7.41 (6.47, 8.35)</w:t>
            </w:r>
          </w:p>
        </w:tc>
        <w:tc>
          <w:tcPr>
            <w:tcW w:w="2160" w:type="dxa"/>
            <w:vAlign w:val="bottom"/>
          </w:tcPr>
          <w:p w:rsidR="00DE0488" w:rsidRPr="0038719A" w:rsidRDefault="00DE0488" w:rsidP="00DE048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8719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21.72 (13.84, 29.6)</w:t>
            </w:r>
          </w:p>
        </w:tc>
        <w:tc>
          <w:tcPr>
            <w:tcW w:w="1890" w:type="dxa"/>
            <w:vAlign w:val="bottom"/>
          </w:tcPr>
          <w:p w:rsidR="00DE0488" w:rsidRPr="0038719A" w:rsidRDefault="00DE0488" w:rsidP="00DE048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8719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3.72 (2.93, 4.5)</w:t>
            </w:r>
          </w:p>
        </w:tc>
        <w:tc>
          <w:tcPr>
            <w:tcW w:w="2070" w:type="dxa"/>
            <w:vAlign w:val="bottom"/>
          </w:tcPr>
          <w:p w:rsidR="00DE0488" w:rsidRPr="0038719A" w:rsidRDefault="00DE0488" w:rsidP="00DE048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8719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17.66 (14.12, 21.2)</w:t>
            </w:r>
          </w:p>
        </w:tc>
        <w:tc>
          <w:tcPr>
            <w:tcW w:w="2160" w:type="dxa"/>
            <w:vAlign w:val="bottom"/>
          </w:tcPr>
          <w:p w:rsidR="00DE0488" w:rsidRPr="0038719A" w:rsidRDefault="00DE0488" w:rsidP="00DE048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8719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26.61 (19.7, 33.53)</w:t>
            </w:r>
          </w:p>
        </w:tc>
      </w:tr>
      <w:tr w:rsidR="00DE0488" w:rsidRPr="003A566F" w:rsidTr="001A56F5">
        <w:trPr>
          <w:trHeight w:val="194"/>
        </w:trPr>
        <w:tc>
          <w:tcPr>
            <w:tcW w:w="805" w:type="dxa"/>
            <w:vAlign w:val="center"/>
          </w:tcPr>
          <w:p w:rsidR="00DE0488" w:rsidRPr="0038719A" w:rsidRDefault="00DE0488" w:rsidP="00DE0488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:rsidR="00DE0488" w:rsidRPr="0038719A" w:rsidRDefault="00DE0488" w:rsidP="00DE0488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8719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Treated but Uncontrolled Diabetes</w:t>
            </w:r>
          </w:p>
        </w:tc>
        <w:tc>
          <w:tcPr>
            <w:tcW w:w="1890" w:type="dxa"/>
            <w:vAlign w:val="bottom"/>
          </w:tcPr>
          <w:p w:rsidR="00DE0488" w:rsidRPr="0038719A" w:rsidRDefault="00DE0488" w:rsidP="00DE048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8719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3.47 (2.73, 4.21)</w:t>
            </w:r>
          </w:p>
        </w:tc>
        <w:tc>
          <w:tcPr>
            <w:tcW w:w="2160" w:type="dxa"/>
            <w:vAlign w:val="bottom"/>
          </w:tcPr>
          <w:p w:rsidR="00DE0488" w:rsidRPr="0038719A" w:rsidRDefault="00DE0488" w:rsidP="00DE048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8719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12.13 (7.75, 16.52)</w:t>
            </w:r>
          </w:p>
        </w:tc>
        <w:tc>
          <w:tcPr>
            <w:tcW w:w="1890" w:type="dxa"/>
            <w:vAlign w:val="bottom"/>
          </w:tcPr>
          <w:p w:rsidR="00DE0488" w:rsidRPr="0038719A" w:rsidRDefault="00DE0488" w:rsidP="00DE048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8719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1.87 (1.28, 2.46)</w:t>
            </w:r>
          </w:p>
        </w:tc>
        <w:tc>
          <w:tcPr>
            <w:tcW w:w="2070" w:type="dxa"/>
            <w:vAlign w:val="bottom"/>
          </w:tcPr>
          <w:p w:rsidR="00DE0488" w:rsidRPr="0038719A" w:rsidRDefault="00DE0488" w:rsidP="00DE048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8719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9.07 (6.2, 11.95)</w:t>
            </w:r>
          </w:p>
        </w:tc>
        <w:tc>
          <w:tcPr>
            <w:tcW w:w="2160" w:type="dxa"/>
            <w:vAlign w:val="bottom"/>
          </w:tcPr>
          <w:p w:rsidR="00DE0488" w:rsidRPr="0038719A" w:rsidRDefault="00DE0488" w:rsidP="00DE048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8719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11.95 (5.74, 18.16)</w:t>
            </w:r>
          </w:p>
        </w:tc>
      </w:tr>
      <w:tr w:rsidR="00DE0488" w:rsidRPr="003A566F" w:rsidTr="001A56F5">
        <w:trPr>
          <w:trHeight w:val="194"/>
        </w:trPr>
        <w:tc>
          <w:tcPr>
            <w:tcW w:w="805" w:type="dxa"/>
            <w:vAlign w:val="center"/>
          </w:tcPr>
          <w:p w:rsidR="00DE0488" w:rsidRPr="0038719A" w:rsidRDefault="00DE0488" w:rsidP="00DE0488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:rsidR="00DE0488" w:rsidRPr="0038719A" w:rsidRDefault="00DE0488" w:rsidP="00DE0488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8719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Treated and Controlled Diabetes</w:t>
            </w:r>
          </w:p>
        </w:tc>
        <w:tc>
          <w:tcPr>
            <w:tcW w:w="1890" w:type="dxa"/>
            <w:vAlign w:val="bottom"/>
          </w:tcPr>
          <w:p w:rsidR="00DE0488" w:rsidRPr="0038719A" w:rsidRDefault="00DE0488" w:rsidP="00DE048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8719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1.23 (0.89, 1.58)</w:t>
            </w:r>
          </w:p>
        </w:tc>
        <w:tc>
          <w:tcPr>
            <w:tcW w:w="2160" w:type="dxa"/>
            <w:vAlign w:val="bottom"/>
          </w:tcPr>
          <w:p w:rsidR="00DE0488" w:rsidRPr="0038719A" w:rsidRDefault="00DE0488" w:rsidP="00DE048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8719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2.98 (1.13, 4.83)</w:t>
            </w:r>
          </w:p>
        </w:tc>
        <w:tc>
          <w:tcPr>
            <w:tcW w:w="1890" w:type="dxa"/>
            <w:vAlign w:val="bottom"/>
          </w:tcPr>
          <w:p w:rsidR="00DE0488" w:rsidRPr="0038719A" w:rsidRDefault="00DE0488" w:rsidP="00DE048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8719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0.66 (0.37, 0.95)</w:t>
            </w:r>
          </w:p>
        </w:tc>
        <w:tc>
          <w:tcPr>
            <w:tcW w:w="2070" w:type="dxa"/>
            <w:vAlign w:val="bottom"/>
          </w:tcPr>
          <w:p w:rsidR="00DE0488" w:rsidRPr="0038719A" w:rsidRDefault="00DE0488" w:rsidP="00DE048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8719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3.54 (1.96, 5.11)</w:t>
            </w:r>
          </w:p>
        </w:tc>
        <w:tc>
          <w:tcPr>
            <w:tcW w:w="2160" w:type="dxa"/>
            <w:vAlign w:val="bottom"/>
          </w:tcPr>
          <w:p w:rsidR="00DE0488" w:rsidRPr="0038719A" w:rsidRDefault="00DE0488" w:rsidP="00DE048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8719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2.91 (1.06, 4.76)</w:t>
            </w:r>
          </w:p>
        </w:tc>
      </w:tr>
      <w:tr w:rsidR="00DE0488" w:rsidRPr="003A566F" w:rsidTr="001A56F5">
        <w:trPr>
          <w:trHeight w:val="194"/>
        </w:trPr>
        <w:tc>
          <w:tcPr>
            <w:tcW w:w="805" w:type="dxa"/>
            <w:vAlign w:val="center"/>
          </w:tcPr>
          <w:p w:rsidR="00DE0488" w:rsidRPr="0038719A" w:rsidRDefault="00DE0488" w:rsidP="00DE0488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8719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Dyslipidemia</w:t>
            </w:r>
          </w:p>
          <w:p w:rsidR="00DE0488" w:rsidRPr="0038719A" w:rsidRDefault="00DE0488" w:rsidP="00DE0488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8719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cascade</w:t>
            </w:r>
          </w:p>
        </w:tc>
        <w:tc>
          <w:tcPr>
            <w:tcW w:w="1710" w:type="dxa"/>
            <w:vAlign w:val="center"/>
          </w:tcPr>
          <w:p w:rsidR="00DE0488" w:rsidRPr="0038719A" w:rsidRDefault="00DE0488" w:rsidP="00DE0488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8719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No Dyslipidemia</w:t>
            </w:r>
          </w:p>
        </w:tc>
        <w:tc>
          <w:tcPr>
            <w:tcW w:w="1890" w:type="dxa"/>
            <w:vAlign w:val="bottom"/>
          </w:tcPr>
          <w:p w:rsidR="00DE0488" w:rsidRPr="0038719A" w:rsidRDefault="00DE0488" w:rsidP="00DE048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8719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21.05 (19.5, 22.61)</w:t>
            </w:r>
          </w:p>
        </w:tc>
        <w:tc>
          <w:tcPr>
            <w:tcW w:w="2160" w:type="dxa"/>
            <w:vAlign w:val="bottom"/>
          </w:tcPr>
          <w:p w:rsidR="00DE0488" w:rsidRPr="0038719A" w:rsidRDefault="00DE0488" w:rsidP="00DE048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8719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16.39 (11.41, 21.36)</w:t>
            </w:r>
          </w:p>
        </w:tc>
        <w:tc>
          <w:tcPr>
            <w:tcW w:w="1890" w:type="dxa"/>
            <w:vAlign w:val="bottom"/>
          </w:tcPr>
          <w:p w:rsidR="00DE0488" w:rsidRPr="0038719A" w:rsidRDefault="00DE0488" w:rsidP="00DE048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8719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20.78 (18.9, 22.66)</w:t>
            </w:r>
          </w:p>
        </w:tc>
        <w:tc>
          <w:tcPr>
            <w:tcW w:w="2070" w:type="dxa"/>
            <w:vAlign w:val="bottom"/>
          </w:tcPr>
          <w:p w:rsidR="00DE0488" w:rsidRPr="0038719A" w:rsidRDefault="00DE0488" w:rsidP="00DE048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8719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20.88 (16.99, 24.77)</w:t>
            </w:r>
          </w:p>
        </w:tc>
        <w:tc>
          <w:tcPr>
            <w:tcW w:w="2160" w:type="dxa"/>
            <w:vAlign w:val="bottom"/>
          </w:tcPr>
          <w:p w:rsidR="00DE0488" w:rsidRPr="0038719A" w:rsidRDefault="00DE0488" w:rsidP="00DE048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8719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12.89 (8.63, 17.15)</w:t>
            </w:r>
          </w:p>
        </w:tc>
      </w:tr>
      <w:tr w:rsidR="00DE0488" w:rsidRPr="003A566F" w:rsidTr="001A56F5">
        <w:trPr>
          <w:trHeight w:val="194"/>
        </w:trPr>
        <w:tc>
          <w:tcPr>
            <w:tcW w:w="805" w:type="dxa"/>
            <w:vAlign w:val="center"/>
          </w:tcPr>
          <w:p w:rsidR="00DE0488" w:rsidRPr="0038719A" w:rsidRDefault="00DE0488" w:rsidP="00DE0488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:rsidR="00DE0488" w:rsidRPr="0038719A" w:rsidRDefault="00DE0488" w:rsidP="00DE0488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8719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Untreated Dyslipidemia</w:t>
            </w:r>
          </w:p>
        </w:tc>
        <w:tc>
          <w:tcPr>
            <w:tcW w:w="1890" w:type="dxa"/>
            <w:vAlign w:val="bottom"/>
          </w:tcPr>
          <w:p w:rsidR="00DE0488" w:rsidRPr="0038719A" w:rsidRDefault="00DE0488" w:rsidP="00DE048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8719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73.09 (71.42, 74.75)</w:t>
            </w:r>
          </w:p>
        </w:tc>
        <w:tc>
          <w:tcPr>
            <w:tcW w:w="2160" w:type="dxa"/>
            <w:vAlign w:val="bottom"/>
          </w:tcPr>
          <w:p w:rsidR="00DE0488" w:rsidRPr="0038719A" w:rsidRDefault="00DE0488" w:rsidP="00DE048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8719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62.92 (55.66, 70.17)</w:t>
            </w:r>
          </w:p>
        </w:tc>
        <w:tc>
          <w:tcPr>
            <w:tcW w:w="1890" w:type="dxa"/>
            <w:vAlign w:val="bottom"/>
          </w:tcPr>
          <w:p w:rsidR="00DE0488" w:rsidRPr="0038719A" w:rsidRDefault="00DE0488" w:rsidP="00DE048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8719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73.98 (71.96, 76)</w:t>
            </w:r>
          </w:p>
        </w:tc>
        <w:tc>
          <w:tcPr>
            <w:tcW w:w="2070" w:type="dxa"/>
            <w:vAlign w:val="bottom"/>
          </w:tcPr>
          <w:p w:rsidR="00DE0488" w:rsidRPr="0038719A" w:rsidRDefault="00DE0488" w:rsidP="00DE048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8719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68.13 (63.82, 72.44)</w:t>
            </w:r>
          </w:p>
        </w:tc>
        <w:tc>
          <w:tcPr>
            <w:tcW w:w="2160" w:type="dxa"/>
            <w:vAlign w:val="bottom"/>
          </w:tcPr>
          <w:p w:rsidR="00DE0488" w:rsidRPr="0038719A" w:rsidRDefault="00DE0488" w:rsidP="00DE048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8719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78.59 (73.22, 83.95)</w:t>
            </w:r>
          </w:p>
        </w:tc>
      </w:tr>
      <w:tr w:rsidR="00DE0488" w:rsidRPr="003A566F" w:rsidTr="001A56F5">
        <w:trPr>
          <w:trHeight w:val="194"/>
        </w:trPr>
        <w:tc>
          <w:tcPr>
            <w:tcW w:w="805" w:type="dxa"/>
            <w:vAlign w:val="center"/>
          </w:tcPr>
          <w:p w:rsidR="00DE0488" w:rsidRPr="0038719A" w:rsidRDefault="00DE0488" w:rsidP="00DE0488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:rsidR="00DE0488" w:rsidRPr="0038719A" w:rsidRDefault="00DE0488" w:rsidP="00DE0488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8719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Treated but Uncontrolled Dyslipidemia</w:t>
            </w:r>
          </w:p>
        </w:tc>
        <w:tc>
          <w:tcPr>
            <w:tcW w:w="1890" w:type="dxa"/>
            <w:vAlign w:val="bottom"/>
          </w:tcPr>
          <w:p w:rsidR="00DE0488" w:rsidRPr="0038719A" w:rsidRDefault="00DE0488" w:rsidP="00DE048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8719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4.82 (4.12, 5.52)</w:t>
            </w:r>
          </w:p>
        </w:tc>
        <w:tc>
          <w:tcPr>
            <w:tcW w:w="2160" w:type="dxa"/>
            <w:vAlign w:val="bottom"/>
          </w:tcPr>
          <w:p w:rsidR="00DE0488" w:rsidRPr="0038719A" w:rsidRDefault="00DE0488" w:rsidP="00DE048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8719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15.46 (10.43, 20.49)</w:t>
            </w:r>
          </w:p>
        </w:tc>
        <w:tc>
          <w:tcPr>
            <w:tcW w:w="1890" w:type="dxa"/>
            <w:vAlign w:val="bottom"/>
          </w:tcPr>
          <w:p w:rsidR="00DE0488" w:rsidRPr="0038719A" w:rsidRDefault="00DE0488" w:rsidP="00DE048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8719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4.15 (3.34, 4.95)</w:t>
            </w:r>
          </w:p>
        </w:tc>
        <w:tc>
          <w:tcPr>
            <w:tcW w:w="2070" w:type="dxa"/>
            <w:vAlign w:val="bottom"/>
          </w:tcPr>
          <w:p w:rsidR="00DE0488" w:rsidRPr="0038719A" w:rsidRDefault="00DE0488" w:rsidP="00DE048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8719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9.53 (6.89, 12.17)</w:t>
            </w:r>
          </w:p>
        </w:tc>
        <w:tc>
          <w:tcPr>
            <w:tcW w:w="2160" w:type="dxa"/>
            <w:vAlign w:val="bottom"/>
          </w:tcPr>
          <w:p w:rsidR="00DE0488" w:rsidRPr="0038719A" w:rsidRDefault="00DE0488" w:rsidP="00DE048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8719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7.41 (4.48, 10.33)</w:t>
            </w:r>
          </w:p>
        </w:tc>
      </w:tr>
      <w:tr w:rsidR="00DE0488" w:rsidRPr="003A566F" w:rsidTr="001A56F5">
        <w:trPr>
          <w:trHeight w:val="194"/>
        </w:trPr>
        <w:tc>
          <w:tcPr>
            <w:tcW w:w="805" w:type="dxa"/>
            <w:vAlign w:val="center"/>
          </w:tcPr>
          <w:p w:rsidR="00DE0488" w:rsidRPr="0038719A" w:rsidRDefault="00DE0488" w:rsidP="00DE0488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:rsidR="00DE0488" w:rsidRPr="0038719A" w:rsidRDefault="00DE0488" w:rsidP="00DE0488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8719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Treated and Controlled Dyslipidemia</w:t>
            </w:r>
          </w:p>
        </w:tc>
        <w:tc>
          <w:tcPr>
            <w:tcW w:w="1890" w:type="dxa"/>
            <w:vAlign w:val="bottom"/>
          </w:tcPr>
          <w:p w:rsidR="00DE0488" w:rsidRPr="0038719A" w:rsidRDefault="00DE0488" w:rsidP="00DE048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8719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1.04 (0.58, 1.5)</w:t>
            </w:r>
          </w:p>
        </w:tc>
        <w:tc>
          <w:tcPr>
            <w:tcW w:w="2160" w:type="dxa"/>
            <w:vAlign w:val="bottom"/>
          </w:tcPr>
          <w:p w:rsidR="00DE0488" w:rsidRPr="0038719A" w:rsidRDefault="00DE0488" w:rsidP="00DE048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8719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5.24 (0.52, 9.96)</w:t>
            </w:r>
          </w:p>
        </w:tc>
        <w:tc>
          <w:tcPr>
            <w:tcW w:w="1890" w:type="dxa"/>
            <w:vAlign w:val="bottom"/>
          </w:tcPr>
          <w:p w:rsidR="00DE0488" w:rsidRPr="0038719A" w:rsidRDefault="00DE0488" w:rsidP="00DE048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8719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1.09 (0.45, 1.73)</w:t>
            </w:r>
          </w:p>
        </w:tc>
        <w:tc>
          <w:tcPr>
            <w:tcW w:w="2070" w:type="dxa"/>
            <w:vAlign w:val="bottom"/>
          </w:tcPr>
          <w:p w:rsidR="00DE0488" w:rsidRPr="0038719A" w:rsidRDefault="00DE0488" w:rsidP="00DE048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8719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1.46 (0.47, 2.44)</w:t>
            </w:r>
          </w:p>
        </w:tc>
        <w:tc>
          <w:tcPr>
            <w:tcW w:w="2160" w:type="dxa"/>
            <w:vAlign w:val="bottom"/>
          </w:tcPr>
          <w:p w:rsidR="00DE0488" w:rsidRPr="0038719A" w:rsidRDefault="00DE0488" w:rsidP="00DE048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38719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1.11 (0, 2.68)</w:t>
            </w:r>
          </w:p>
        </w:tc>
      </w:tr>
    </w:tbl>
    <w:p w:rsidR="00D66A4E" w:rsidRDefault="00D66A4E" w:rsidP="00D66A4E">
      <w:pPr>
        <w:rPr>
          <w:rFonts w:asciiTheme="majorBidi" w:hAnsiTheme="majorBidi" w:cstheme="majorBidi"/>
          <w:color w:val="1B1B1B"/>
          <w:sz w:val="20"/>
          <w:szCs w:val="20"/>
          <w:shd w:val="clear" w:color="auto" w:fill="FFFFFF"/>
        </w:rPr>
      </w:pPr>
      <w:r>
        <w:rPr>
          <w:rFonts w:asciiTheme="majorBidi" w:hAnsiTheme="majorBidi" w:cstheme="majorBidi"/>
          <w:color w:val="1B1B1B"/>
          <w:sz w:val="20"/>
          <w:szCs w:val="20"/>
          <w:shd w:val="clear" w:color="auto" w:fill="FFFFFF"/>
        </w:rPr>
        <w:t xml:space="preserve">CVD, </w:t>
      </w:r>
      <w:r w:rsidRPr="008E66BB">
        <w:rPr>
          <w:rFonts w:asciiTheme="majorBidi" w:hAnsiTheme="majorBidi" w:cstheme="majorBidi"/>
          <w:color w:val="1B1B1B"/>
          <w:sz w:val="20"/>
          <w:szCs w:val="20"/>
          <w:shd w:val="clear" w:color="auto" w:fill="FFFFFF"/>
        </w:rPr>
        <w:t xml:space="preserve">cardiovascular disease; DM, diabetes mellitus; HTN, hypertension. † Variables are presented as weighted means with 95% confidence intervals. </w:t>
      </w:r>
    </w:p>
    <w:p w:rsidR="00D66A4E" w:rsidRPr="008E66BB" w:rsidRDefault="00D66A4E" w:rsidP="00D66A4E">
      <w:pPr>
        <w:rPr>
          <w:rFonts w:asciiTheme="majorBidi" w:hAnsiTheme="majorBidi" w:cstheme="majorBidi"/>
          <w:color w:val="1B1B1B"/>
          <w:sz w:val="20"/>
          <w:szCs w:val="20"/>
          <w:shd w:val="clear" w:color="auto" w:fill="FFFFFF"/>
        </w:rPr>
      </w:pPr>
      <w:r>
        <w:rPr>
          <w:rFonts w:asciiTheme="majorBidi" w:hAnsiTheme="majorBidi" w:cstheme="majorBidi"/>
          <w:color w:val="1B1B1B"/>
          <w:sz w:val="20"/>
          <w:szCs w:val="20"/>
          <w:shd w:val="clear" w:color="auto" w:fill="FFFFFF"/>
        </w:rPr>
        <w:t>V</w:t>
      </w:r>
      <w:r w:rsidRPr="008E66BB">
        <w:rPr>
          <w:rFonts w:asciiTheme="majorBidi" w:hAnsiTheme="majorBidi" w:cstheme="majorBidi"/>
          <w:color w:val="1B1B1B"/>
          <w:sz w:val="20"/>
          <w:szCs w:val="20"/>
          <w:shd w:val="clear" w:color="auto" w:fill="FFFFFF"/>
        </w:rPr>
        <w:t>alues represent weighted percentages with 95% CIs.</w:t>
      </w:r>
    </w:p>
    <w:p w:rsidR="00D66A4E" w:rsidRPr="008E66BB" w:rsidRDefault="00D66A4E" w:rsidP="00D66A4E">
      <w:pPr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8E66BB">
        <w:rPr>
          <w:rFonts w:asciiTheme="majorBidi" w:hAnsiTheme="majorBidi" w:cstheme="majorBidi"/>
          <w:color w:val="000000" w:themeColor="text1"/>
          <w:sz w:val="20"/>
          <w:szCs w:val="20"/>
        </w:rPr>
        <w:t>Framingham Risk Score (FRS) categories were defined as follows: low risk for cardiovascular disease if the 10-year risk was less than 10%, moderate risk if between 10% and 20%, and high risk if greater than 20%.</w:t>
      </w:r>
    </w:p>
    <w:p w:rsidR="00D66A4E" w:rsidRDefault="00D66A4E" w:rsidP="00D66A4E"/>
    <w:p w:rsidR="005837E6" w:rsidRDefault="005837E6"/>
    <w:sectPr w:rsidR="005837E6" w:rsidSect="004F289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89F"/>
    <w:rsid w:val="0007176C"/>
    <w:rsid w:val="00080957"/>
    <w:rsid w:val="000A2BC9"/>
    <w:rsid w:val="000A3747"/>
    <w:rsid w:val="000D530D"/>
    <w:rsid w:val="00186C7C"/>
    <w:rsid w:val="00190A16"/>
    <w:rsid w:val="00281DAF"/>
    <w:rsid w:val="002F2107"/>
    <w:rsid w:val="00322E7E"/>
    <w:rsid w:val="004F289F"/>
    <w:rsid w:val="005621FC"/>
    <w:rsid w:val="005837E6"/>
    <w:rsid w:val="005A2000"/>
    <w:rsid w:val="00610DE6"/>
    <w:rsid w:val="006406F3"/>
    <w:rsid w:val="006637AE"/>
    <w:rsid w:val="006C4861"/>
    <w:rsid w:val="00717596"/>
    <w:rsid w:val="007676BF"/>
    <w:rsid w:val="007934EF"/>
    <w:rsid w:val="007A0DA5"/>
    <w:rsid w:val="008455CD"/>
    <w:rsid w:val="008A649A"/>
    <w:rsid w:val="008B2EBE"/>
    <w:rsid w:val="008E0660"/>
    <w:rsid w:val="00904C24"/>
    <w:rsid w:val="009A6B0A"/>
    <w:rsid w:val="00A84705"/>
    <w:rsid w:val="00B2189E"/>
    <w:rsid w:val="00B32F66"/>
    <w:rsid w:val="00B65843"/>
    <w:rsid w:val="00BE0E5C"/>
    <w:rsid w:val="00C90BAA"/>
    <w:rsid w:val="00CA4666"/>
    <w:rsid w:val="00D06517"/>
    <w:rsid w:val="00D32412"/>
    <w:rsid w:val="00D66A4E"/>
    <w:rsid w:val="00DD0334"/>
    <w:rsid w:val="00DE0488"/>
    <w:rsid w:val="00DE66C6"/>
    <w:rsid w:val="00E23617"/>
    <w:rsid w:val="00E30D6E"/>
    <w:rsid w:val="00EB187B"/>
    <w:rsid w:val="00EE11E5"/>
    <w:rsid w:val="00EF2243"/>
    <w:rsid w:val="00EF6B1E"/>
    <w:rsid w:val="00F31CF1"/>
    <w:rsid w:val="00F52973"/>
    <w:rsid w:val="00FE7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06D060"/>
  <w15:chartTrackingRefBased/>
  <w15:docId w15:val="{557847ED-746E-E34C-8F42-C220A7890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89F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4F289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289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289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289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289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289F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289F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289F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289F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289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28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289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289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289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28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28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28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28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F289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28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289F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F28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289F"/>
    <w:pPr>
      <w:spacing w:before="160" w:after="160" w:line="278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F28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289F"/>
    <w:pPr>
      <w:spacing w:after="160" w:line="278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289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289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289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289F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4F28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D66A4E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490</Words>
  <Characters>2796</Characters>
  <Application>Microsoft Office Word</Application>
  <DocSecurity>0</DocSecurity>
  <Lines>23</Lines>
  <Paragraphs>6</Paragraphs>
  <ScaleCrop>false</ScaleCrop>
  <Company/>
  <LinksUpToDate>false</LinksUpToDate>
  <CharactersWithSpaces>3280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Mina Mirzadeh</dc:creator>
  <cp:keywords/>
  <dc:description/>
  <cp:lastModifiedBy>Mina Mirzadeh</cp:lastModifiedBy>
  <cp:revision>3</cp:revision>
  <dcterms:created xsi:type="dcterms:W3CDTF">2025-07-28T11:59:00Z</dcterms:created>
  <dcterms:modified xsi:type="dcterms:W3CDTF">2025-07-28T13:57:00Z</dcterms:modified>
</cp:coreProperties>
</file>