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8D83" w14:textId="5B65F046" w:rsidR="00F40323" w:rsidRPr="00A9780F" w:rsidRDefault="00D1164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780F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checklist</w:t>
      </w:r>
    </w:p>
    <w:p w14:paraId="0303E98E" w14:textId="3A40EC8E" w:rsidR="00E64D04" w:rsidRPr="000C45DA" w:rsidRDefault="00E637CA" w:rsidP="00E64D04">
      <w:pPr>
        <w:spacing w:line="280" w:lineRule="exact"/>
        <w:ind w:left="11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G</w:t>
      </w:r>
      <w:r w:rsidR="002112B4" w:rsidRPr="000C45DA">
        <w:rPr>
          <w:rFonts w:ascii="Times New Roman" w:hAnsi="Times New Roman" w:cs="Times New Roman"/>
          <w:sz w:val="22"/>
          <w:szCs w:val="22"/>
          <w:lang w:val="en-US"/>
        </w:rPr>
        <w:t>uidelines for Reporting Analyses of Big Data Re</w:t>
      </w:r>
      <w:r w:rsidR="00DC4615" w:rsidRPr="000C45DA">
        <w:rPr>
          <w:rFonts w:ascii="Times New Roman" w:hAnsi="Times New Roman" w:cs="Times New Roman"/>
          <w:sz w:val="22"/>
          <w:szCs w:val="22"/>
          <w:lang w:val="en-US"/>
        </w:rPr>
        <w:t>positories Open to the Public</w:t>
      </w:r>
      <w:r w:rsidR="002112B4" w:rsidRPr="000C45D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C45DA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E64D04" w:rsidRPr="000C45DA">
        <w:rPr>
          <w:rFonts w:ascii="Times New Roman" w:hAnsi="Times New Roman" w:cs="Times New Roman"/>
          <w:sz w:val="22"/>
          <w:szCs w:val="22"/>
          <w:lang w:val="en-US"/>
        </w:rPr>
        <w:t>GRABDROP</w:t>
      </w:r>
      <w:r w:rsidRPr="000C45DA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823A18F" w14:textId="0757EBFE" w:rsidR="00E64D04" w:rsidRPr="000C45DA" w:rsidRDefault="00E64D04" w:rsidP="00E64D04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Please list all papers published by each co-author in previous three years that were based on secondary analysis of a big data repository.</w:t>
      </w:r>
    </w:p>
    <w:p w14:paraId="19F9D4E7" w14:textId="77777777" w:rsidR="00E64D04" w:rsidRPr="000C45DA" w:rsidRDefault="00E64D04" w:rsidP="00E64D04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H.G.: None</w:t>
      </w:r>
    </w:p>
    <w:p w14:paraId="03A62929" w14:textId="77777777" w:rsidR="00D31290" w:rsidRPr="000C45DA" w:rsidRDefault="00E64D04" w:rsidP="006E14A3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</w:rPr>
        <w:t>C.V.S.:</w:t>
      </w:r>
    </w:p>
    <w:p w14:paraId="72A7BB04" w14:textId="77777777" w:rsidR="00BE775E" w:rsidRPr="000C45DA" w:rsidRDefault="006E14A3" w:rsidP="00BE775E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Chen,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Deep Learning Reveals Liver MRI Features Associated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PNPLA3 I148M in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45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e70164 (2025).</w:t>
      </w:r>
    </w:p>
    <w:p w14:paraId="29298DFA" w14:textId="77777777" w:rsidR="00EF41FB" w:rsidRPr="000C45DA" w:rsidRDefault="00BE775E" w:rsidP="00EF41FB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Krishnan, A., Schneider, C. V., Mukherjee, D.,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Woreta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T. A. &amp; Alqahtani, S. A. Adverse Liver and Renal Outcomes After Initiating SGLT-2i and GLP-1RA Therapy Among Patients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Diabetes and MASLD.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Journal of Diabetes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17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e70069 (2025).</w:t>
      </w:r>
    </w:p>
    <w:p w14:paraId="71CF655E" w14:textId="77777777" w:rsidR="005C08FA" w:rsidRPr="000C45DA" w:rsidRDefault="00EF41FB" w:rsidP="005C08F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Volkert, I.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Selective genetic inactivation of Caspase 8 in hepatocytes ameliorates progression of MASH following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Jnk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deficiency.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10.1097/HEP.0000000000001286 doi:</w:t>
      </w:r>
      <w:r>
        <w:fldChar w:fldCharType="begin"/>
      </w:r>
      <w:r>
        <w:instrText>HYPERLINK "https://doi.org/10.1097/HEP.0000000000001286"</w:instrText>
      </w:r>
      <w:r>
        <w:fldChar w:fldCharType="separate"/>
      </w:r>
      <w:r w:rsidRPr="000C45DA"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14:ligatures w14:val="none"/>
        </w:rPr>
        <w:t>10.1097/HEP.0000000000001286</w:t>
      </w:r>
      <w:r>
        <w:fldChar w:fldCharType="end"/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44DE599" w14:textId="77777777" w:rsidR="00421B7E" w:rsidRPr="000C45DA" w:rsidRDefault="005C08FA" w:rsidP="00421B7E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K. M.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Lipidomic Profile Discriminates Between MASLD and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MetALD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Alimentary Pharmacology &amp; Therapeutics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61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1357–1371 (2025).</w:t>
      </w:r>
    </w:p>
    <w:p w14:paraId="2852C730" w14:textId="77777777" w:rsidR="00421B7E" w:rsidRPr="000C45DA" w:rsidRDefault="00421B7E" w:rsidP="00421B7E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Krishnan, A., Schneider, C. V. &amp; Walsh, D. Proton pump inhibitors and all-cause mortality risk among cancer patients.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World Journal of Clinical Oncology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16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(2025).</w:t>
      </w:r>
    </w:p>
    <w:p w14:paraId="6A340651" w14:textId="77777777" w:rsidR="000A70D5" w:rsidRPr="000C45DA" w:rsidRDefault="00421B7E" w:rsidP="000A70D5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Huang, H. Y. R.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Deep metabolic phenotyping of humans with protein-altering variants in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TM6SF2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using a genome-first approach.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JHEP Reports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101243 (2025).</w:t>
      </w:r>
    </w:p>
    <w:p w14:paraId="51B0E7B0" w14:textId="77777777" w:rsidR="007D6B1C" w:rsidRPr="000C45DA" w:rsidRDefault="000A70D5" w:rsidP="007D6B1C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Krishnan, A.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Association between incretin-based drugs and risk of cholangiocarcinoma among patients with type 2 diabetes: A large population-based matched cohort study.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Journal of Clinical &amp; Translational Endocrinology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38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100370 (2024).</w:t>
      </w:r>
    </w:p>
    <w:p w14:paraId="052E005A" w14:textId="77777777" w:rsidR="00270514" w:rsidRPr="000C45DA" w:rsidRDefault="007D6B1C" w:rsidP="00270514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Rendel, M. D.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common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p.Ile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291Val variant of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ERLIN1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enhances TM6SF2 function and is associated with protection against MASLD.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Med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963-980.e5 (2024).</w:t>
      </w:r>
    </w:p>
    <w:p w14:paraId="5AF3956F" w14:textId="77777777" w:rsidR="00566DA9" w:rsidRPr="000C45DA" w:rsidRDefault="00270514" w:rsidP="00566DA9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Schophaus,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Machine learning uncovers manganese as a key nutrient associated with reduced risk of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2807–2821 (2024).</w:t>
      </w:r>
    </w:p>
    <w:p w14:paraId="1938370C" w14:textId="77777777" w:rsidR="002F77FB" w:rsidRPr="000C45DA" w:rsidRDefault="00566DA9" w:rsidP="002F77FB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Fromme, M.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Alcohol consumption and liver phenotype of individuals with alpha-1 antitrypsin deficiency.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2660–2671 (2024).</w:t>
      </w:r>
    </w:p>
    <w:p w14:paraId="57259CAA" w14:textId="77777777" w:rsidR="00BE2CB0" w:rsidRPr="000C45DA" w:rsidRDefault="002F77FB" w:rsidP="00BE2CB0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Hehl, L.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 genome-first approach to variants in MLXIPL and their association with hepatic steatosis and plasma lipids.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 Communications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e0427 (2024).</w:t>
      </w:r>
    </w:p>
    <w:p w14:paraId="07D153D3" w14:textId="66293D68" w:rsidR="00BE2CB0" w:rsidRPr="000C45DA" w:rsidRDefault="00BE2CB0" w:rsidP="00BE2CB0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Koop, P.-H.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Comorbidities, mortality and metabolic profile in individuals with primary biliary cholangitis—A Phenome-Wide-Association-Study.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2038–2053 (2024).</w:t>
      </w:r>
    </w:p>
    <w:p w14:paraId="438771AC" w14:textId="77777777" w:rsidR="00E469B1" w:rsidRPr="000C45DA" w:rsidRDefault="00743A98" w:rsidP="00E469B1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C. V.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Prevalence of at-risk MASH,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MetALD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and alcohol-associated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 in the general population.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Alimentary Pharmacology &amp; Therapeutics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59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1271–1281 (2024).</w:t>
      </w:r>
    </w:p>
    <w:p w14:paraId="6D516D54" w14:textId="77777777" w:rsidR="00196DC5" w:rsidRPr="000C45DA" w:rsidRDefault="00E469B1" w:rsidP="00196DC5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Fromme, M.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Alpha-1 Antitrypsin Augmentation and the Liver Phenotype of Adults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Alpha-1 Antitrypsin Deficiency (Genotype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Pi</w:t>
      </w:r>
      <w:r w:rsidRPr="000C45DA">
        <w:rPr>
          <w:rFonts w:ascii="Cambria Math" w:eastAsia="Times New Roman" w:hAnsi="Cambria Math" w:cs="Cambria Math"/>
          <w:kern w:val="0"/>
          <w:sz w:val="22"/>
          <w:szCs w:val="22"/>
          <w:lang w:val="en-US"/>
          <w14:ligatures w14:val="none"/>
        </w:rPr>
        <w:t>∗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ZZ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).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Clinical Gastroenterology and Hepatology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22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283-294.e5 (2024).</w:t>
      </w:r>
    </w:p>
    <w:p w14:paraId="1017423A" w14:textId="77777777" w:rsidR="00196DC5" w:rsidRPr="000C45DA" w:rsidRDefault="00196DC5" w:rsidP="00196DC5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Song, I.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Clinical correlates of CT imaging-derived phenotypes among lean and overweight patients with hepatic steatosis.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Sci Rep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53 (2024).</w:t>
      </w:r>
    </w:p>
    <w:p w14:paraId="52743D1D" w14:textId="77777777" w:rsidR="00701E4A" w:rsidRPr="000C45DA" w:rsidRDefault="00196DC5" w:rsidP="00701E4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Krishnan, A.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Cardiovascular and mortality outcomes with GLP-1 receptor agonists vs other glucose-lowering drugs in individuals with NAFLD and type 2 diabetes: a large population-based matched cohort study.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Diabetologia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67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483–493 (2024).</w:t>
      </w:r>
    </w:p>
    <w:p w14:paraId="4BE3C257" w14:textId="77777777" w:rsidR="00701E4A" w:rsidRPr="000C45DA" w:rsidRDefault="00701E4A" w:rsidP="00701E4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Saberi, B.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Racial Disparities in Candidates for Hepatocellular Carcinoma Liver Transplant After 6-Month Wait Policy Change. </w:t>
      </w:r>
      <w:r w:rsidRPr="00155C6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JAMA Netw Open</w:t>
      </w:r>
      <w:r w:rsidRPr="00155C6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155C6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6</w:t>
      </w:r>
      <w:r w:rsidRPr="00155C6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e2341096 (2023).</w:t>
      </w:r>
    </w:p>
    <w:p w14:paraId="65990D33" w14:textId="77777777" w:rsidR="00F94D56" w:rsidRPr="000C45DA" w:rsidRDefault="00701E4A" w:rsidP="00F94D56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lastRenderedPageBreak/>
        <w:t xml:space="preserve">Vell, M.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Aspirin is associated with a reduced incidence of liver disease in men.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 Communications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e0268 (2023).</w:t>
      </w:r>
    </w:p>
    <w:p w14:paraId="186BCD90" w14:textId="77777777" w:rsidR="00823F65" w:rsidRPr="000C45DA" w:rsidRDefault="00F94D56" w:rsidP="00823F65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Wizenty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J.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Association of Helicobacter pylori Positivity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Risk of Disease and Mortality.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Clinical and Translational Gastroenterology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e00610 (2023).</w:t>
      </w:r>
    </w:p>
    <w:p w14:paraId="33CDAEA9" w14:textId="7EFF04E5" w:rsidR="00823F65" w:rsidRPr="000C45DA" w:rsidRDefault="00823F65" w:rsidP="00823F65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Volkert, I.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Impact of PNPLA3 I148M on alpha-1 antitrypsin deficiency-dependent liver disease progression.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79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898 (2024).</w:t>
      </w:r>
    </w:p>
    <w:p w14:paraId="59DA7595" w14:textId="77777777" w:rsidR="00F7141A" w:rsidRPr="000C45DA" w:rsidRDefault="00F7141A" w:rsidP="00F7141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C. V.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Large-scale identification of undiagnosed hepatic steatosis using natural language processing. </w:t>
      </w:r>
      <w:proofErr w:type="spellStart"/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eClinicalMedicine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62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102149 (2023).</w:t>
      </w:r>
    </w:p>
    <w:p w14:paraId="27F7969D" w14:textId="45DA1167" w:rsidR="00F7141A" w:rsidRPr="000C45DA" w:rsidRDefault="00F7141A" w:rsidP="00F7141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Vell, M.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Omega-3 intake is associated with liver disease protection.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Front. Public Health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(2023).</w:t>
      </w:r>
    </w:p>
    <w:p w14:paraId="1202A49D" w14:textId="77777777" w:rsidR="00033F2F" w:rsidRPr="000C45DA" w:rsidRDefault="00033F2F" w:rsidP="00033F2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Vell, M.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Association of Statin Use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Risk of Liver Disease, Hepatocellular Carcinoma, and Liver-Related Mortality.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JAMA Netw Open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e2320222 (2023).</w:t>
      </w:r>
    </w:p>
    <w:p w14:paraId="5AA40AEF" w14:textId="5098D3D0" w:rsidR="00033F2F" w:rsidRPr="000C45DA" w:rsidRDefault="00033F2F" w:rsidP="00033F2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C. V.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 coding variant in the microsomal triglyceride transfer protein reduces both hepatic steatosis and plasma lipids.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Alimentary Pharmacology &amp; Therapeutics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58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238–249 (2023).</w:t>
      </w:r>
    </w:p>
    <w:p w14:paraId="06849845" w14:textId="539F771A" w:rsidR="00E64D04" w:rsidRPr="000C45DA" w:rsidRDefault="00E60768" w:rsidP="00E60768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Seeling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K.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Comorbidities, biomarkers and cause specific mortality in patients with irritable bowel syndrome: A phenome-wide association study. </w:t>
      </w:r>
      <w:r w:rsidRPr="00155C6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United European Gastroenterology Journal</w:t>
      </w:r>
      <w:r w:rsidRPr="00155C6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155C6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11</w:t>
      </w:r>
      <w:r w:rsidRPr="00155C6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458–470 (2023).</w:t>
      </w:r>
    </w:p>
    <w:p w14:paraId="27D23B93" w14:textId="7DB2812E" w:rsidR="00E64D04" w:rsidRPr="000C45DA" w:rsidRDefault="00E64D04" w:rsidP="00E64D04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T.S.</w:t>
      </w:r>
      <w:r w:rsidR="00D31290" w:rsidRPr="000C45DA">
        <w:rPr>
          <w:rFonts w:ascii="Times New Roman" w:hAnsi="Times New Roman" w:cs="Times New Roman" w:hint="eastAsia"/>
          <w:sz w:val="22"/>
          <w:szCs w:val="22"/>
          <w:lang w:val="en-US"/>
        </w:rPr>
        <w:t>:</w:t>
      </w:r>
    </w:p>
    <w:p w14:paraId="4FFEA042" w14:textId="77777777" w:rsidR="0035589F" w:rsidRPr="000C45DA" w:rsidRDefault="00D31290" w:rsidP="0035589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Chen,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Deep Learning Reveals Liver MRI Features Associated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PNPLA3 I148M in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45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e70164 (2025).</w:t>
      </w:r>
    </w:p>
    <w:p w14:paraId="153F0192" w14:textId="77777777" w:rsidR="0035589F" w:rsidRPr="000C45DA" w:rsidRDefault="0035589F" w:rsidP="0035589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Loeffler, C. M. L.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Prediction of homologous recombination deficiency from routine histology with attention-based multiple instance learning in nine different tumor types.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BMC Biology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22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225 (2024).</w:t>
      </w:r>
    </w:p>
    <w:p w14:paraId="399AC472" w14:textId="1AE093BC" w:rsidR="00D31290" w:rsidRPr="000C45DA" w:rsidRDefault="0035589F" w:rsidP="0035589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Loeffler, C. M. L.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Direct prediction of Homologous Recombination Deficiency from routine histology in ten different tumor types with attention-based Multiple Instance Learning: a development and validation study.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2023.03.08.23286975 Preprint at </w:t>
      </w:r>
      <w:r>
        <w:fldChar w:fldCharType="begin"/>
      </w:r>
      <w:r>
        <w:instrText>HYPERLINK "https://doi.org/10.1101/2023.03.08.23286975"</w:instrText>
      </w:r>
      <w:r>
        <w:fldChar w:fldCharType="separate"/>
      </w:r>
      <w:r w:rsidRPr="000C45DA"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14:ligatures w14:val="none"/>
        </w:rPr>
        <w:t>https://doi.org/10.1101/2023.03.08.23286975</w:t>
      </w:r>
      <w:r>
        <w:fldChar w:fldCharType="end"/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(2023).</w:t>
      </w:r>
    </w:p>
    <w:p w14:paraId="47444C32" w14:textId="27F75739" w:rsidR="00E64D04" w:rsidRPr="000C45DA" w:rsidRDefault="00E64D04" w:rsidP="00E64D04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C.Z.:</w:t>
      </w:r>
      <w:r w:rsidR="00FF322F" w:rsidRPr="000C45DA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None</w:t>
      </w:r>
    </w:p>
    <w:p w14:paraId="3BD7FF57" w14:textId="77777777" w:rsidR="00F2242B" w:rsidRPr="000C45DA" w:rsidRDefault="00E64D04" w:rsidP="00F2242B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F.C.:</w:t>
      </w:r>
    </w:p>
    <w:p w14:paraId="2A7F7E74" w14:textId="77777777" w:rsidR="00F2242B" w:rsidRPr="000C45DA" w:rsidRDefault="00F2242B" w:rsidP="00F2242B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Zhang,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Atypical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brain function hierarchy in autism spectrum disorder: insights from a novel analytical approach based on neuronal oscillation pattern.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Eur Child Adolesc Psychiatry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(2025) doi:</w:t>
      </w:r>
      <w:r>
        <w:fldChar w:fldCharType="begin"/>
      </w:r>
      <w:r>
        <w:instrText>HYPERLINK "https://doi.org/10.1007/s00787-025-02716-7"</w:instrText>
      </w:r>
      <w:r>
        <w:fldChar w:fldCharType="separate"/>
      </w:r>
      <w:r w:rsidRPr="000C45DA"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14:ligatures w14:val="none"/>
        </w:rPr>
        <w:t>10.1007/s00787-025-02716-7</w:t>
      </w:r>
      <w:r>
        <w:fldChar w:fldCharType="end"/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E60B627" w14:textId="77777777" w:rsidR="00963FD2" w:rsidRPr="000C45DA" w:rsidRDefault="00F2242B" w:rsidP="00963FD2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Zhang,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Age-related unstable transient states and imbalanced activation proportion of brain networks in people with autism spectrum disorder: A resting-state fMRI study using coactivation pattern analyses.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Network Neuroscience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1173–1191 (2024).</w:t>
      </w:r>
    </w:p>
    <w:p w14:paraId="67FF915B" w14:textId="031272A8" w:rsidR="00F2242B" w:rsidRPr="000C45DA" w:rsidRDefault="00963FD2" w:rsidP="00963FD2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Zhang,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Atypical transient network states of autism spectrum disorder: resting-state fMRI study using co-activation pattern.</w:t>
      </w:r>
    </w:p>
    <w:p w14:paraId="55DB2B98" w14:textId="77777777" w:rsidR="004B5A40" w:rsidRPr="000C45DA" w:rsidRDefault="00E64D04" w:rsidP="004B5A40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K.M.:</w:t>
      </w:r>
    </w:p>
    <w:p w14:paraId="678CFC25" w14:textId="5A8021D4" w:rsidR="004B5A40" w:rsidRPr="000C45DA" w:rsidRDefault="004B5A40" w:rsidP="001934F9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Maxion, A.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Spectral changes in electroencephalography linked to neuroactive medications: A computational pipeline for data mining and analysis.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Computer Methods and Programs in Biomedicine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255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108319 (2024).</w:t>
      </w:r>
    </w:p>
    <w:p w14:paraId="723451DC" w14:textId="4412AE65" w:rsidR="00E64D04" w:rsidRPr="000C45DA" w:rsidRDefault="00E64D04" w:rsidP="00E64D04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K.M.S.</w:t>
      </w:r>
      <w:r w:rsidR="00D31290" w:rsidRPr="000C45DA">
        <w:rPr>
          <w:rFonts w:ascii="Times New Roman" w:hAnsi="Times New Roman" w:cs="Times New Roman" w:hint="eastAsia"/>
          <w:sz w:val="22"/>
          <w:szCs w:val="22"/>
          <w:lang w:val="en-US"/>
        </w:rPr>
        <w:t>:</w:t>
      </w:r>
    </w:p>
    <w:p w14:paraId="2829D730" w14:textId="77777777" w:rsidR="00D31290" w:rsidRPr="000C45DA" w:rsidRDefault="00D31290" w:rsidP="00D31290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Chen,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Deep Learning Reveals Liver MRI Features Associated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PNPLA3 I148M in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45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e70164 (2025).</w:t>
      </w:r>
    </w:p>
    <w:p w14:paraId="2439FEC3" w14:textId="77777777" w:rsidR="00EF41FB" w:rsidRPr="000C45DA" w:rsidRDefault="00EF41FB" w:rsidP="00EF41FB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Volkert, I.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Selective genetic inactivation of Caspase 8 in hepatocytes ameliorates progression of MASH following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Jnk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deficiency.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10.1097/HEP.0000000000001286 doi:</w:t>
      </w:r>
      <w:r>
        <w:fldChar w:fldCharType="begin"/>
      </w:r>
      <w:r>
        <w:instrText>HYPERLINK "https://doi.org/10.1097/HEP.0000000000001286"</w:instrText>
      </w:r>
      <w:r>
        <w:fldChar w:fldCharType="separate"/>
      </w:r>
      <w:r w:rsidRPr="000C45DA"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14:ligatures w14:val="none"/>
        </w:rPr>
        <w:t>10.1097/HEP.0000000000001286</w:t>
      </w:r>
      <w:r>
        <w:fldChar w:fldCharType="end"/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BA86FF2" w14:textId="77777777" w:rsidR="005C08FA" w:rsidRPr="000C45DA" w:rsidRDefault="005C08FA" w:rsidP="005C08F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K. M.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Lipidomic Profile Discriminates Between MASLD and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MetALD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Alimentary Pharmacology &amp; Therapeutics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1357–1371 (2025).</w:t>
      </w:r>
    </w:p>
    <w:p w14:paraId="287DA3E4" w14:textId="77777777" w:rsidR="00421B7E" w:rsidRPr="000C45DA" w:rsidRDefault="00421B7E" w:rsidP="00421B7E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Huang, H. Y. R.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Deep metabolic phenotyping of humans with protein-altering variants in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TM6SF2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using a genome-first approach.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JHEP Reports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101243 (2025).</w:t>
      </w:r>
    </w:p>
    <w:p w14:paraId="661C4C40" w14:textId="77777777" w:rsidR="007D6B1C" w:rsidRPr="000C45DA" w:rsidRDefault="007D6B1C" w:rsidP="007D6B1C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Rendel, M. D.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common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p.Ile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291Val variant of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ERLIN1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enhances TM6SF2 function and is associated with protection against MASLD.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Med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963-980.e5 (2024).</w:t>
      </w:r>
    </w:p>
    <w:p w14:paraId="5B0ED999" w14:textId="77777777" w:rsidR="00270514" w:rsidRPr="000C45DA" w:rsidRDefault="00270514" w:rsidP="00270514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Schophaus,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Machine learning uncovers manganese as a key nutrient associated with reduced risk of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2807–2821 (2024).</w:t>
      </w:r>
    </w:p>
    <w:p w14:paraId="3E698651" w14:textId="77777777" w:rsidR="00566DA9" w:rsidRPr="000C45DA" w:rsidRDefault="00566DA9" w:rsidP="00566DA9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Fromme, M.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Alcohol consumption and liver phenotype of individuals with alpha-1 antitrypsin deficiency.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2660–2671 (2024).</w:t>
      </w:r>
    </w:p>
    <w:p w14:paraId="6CB8B908" w14:textId="77777777" w:rsidR="002F77FB" w:rsidRPr="000C45DA" w:rsidRDefault="002F77FB" w:rsidP="002F77FB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Hehl, L.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 genome-first approach to variants in MLXIPL and their association with hepatic steatosis and plasma lipids.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 Communications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e0427 (2024).</w:t>
      </w:r>
    </w:p>
    <w:p w14:paraId="4F8BC913" w14:textId="77777777" w:rsidR="00743A98" w:rsidRPr="000C45DA" w:rsidRDefault="00BE2CB0" w:rsidP="00743A98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Koop, P.-H.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Comorbidities, mortality and metabolic profile in individuals with primary biliary cholangitis—A Phenome-Wide-Association-Study.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Liver International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2038–2053 (2024).</w:t>
      </w:r>
    </w:p>
    <w:p w14:paraId="6D8DAB33" w14:textId="7A31475E" w:rsidR="00743A98" w:rsidRPr="000C45DA" w:rsidRDefault="00743A98" w:rsidP="00743A98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C. V.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Prevalence of at-risk MASH,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MetALD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and alcohol-associated </w:t>
      </w: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steatotic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liver disease in the general population.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Alimentary Pharmacology &amp; Therapeutics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59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1271–1281 (2024).</w:t>
      </w:r>
    </w:p>
    <w:p w14:paraId="3EC0C32B" w14:textId="6BA1109B" w:rsidR="00F94D56" w:rsidRPr="000C45DA" w:rsidRDefault="00F94D56" w:rsidP="00F94D56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Vell, M.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Aspirin is associated with a reduced incidence of liver disease in men.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 Communications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e0268 (2023).</w:t>
      </w:r>
    </w:p>
    <w:p w14:paraId="73BFBA69" w14:textId="77777777" w:rsidR="00F94D56" w:rsidRPr="000C45DA" w:rsidRDefault="00F94D56" w:rsidP="00F94D56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Wizenty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J.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Association of Helicobacter pylori Positivity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Risk of Disease and Mortality.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Clinical and Translational Gastroenterology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e00610 (2023).</w:t>
      </w:r>
    </w:p>
    <w:p w14:paraId="27139019" w14:textId="77777777" w:rsidR="00F7141A" w:rsidRPr="000C45DA" w:rsidRDefault="00823F65" w:rsidP="00F7141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Volkert, I.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Impact of PNPLA3 I148M on alpha-1 antitrypsin deficiency-dependent liver disease progression.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79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898 (2024).</w:t>
      </w:r>
    </w:p>
    <w:p w14:paraId="0D4F3E3E" w14:textId="73232A1D" w:rsidR="00F7141A" w:rsidRPr="000C45DA" w:rsidRDefault="00F7141A" w:rsidP="00F7141A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C. V.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Large-scale identification of undiagnosed hepatic steatosis using natural language processing. </w:t>
      </w:r>
      <w:proofErr w:type="spellStart"/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eClinicalMedicine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62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102149 (2023).</w:t>
      </w:r>
    </w:p>
    <w:p w14:paraId="7D4667AF" w14:textId="77777777" w:rsidR="00033F2F" w:rsidRPr="000C45DA" w:rsidRDefault="00F7141A" w:rsidP="00033F2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Vell, M.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Omega-3 intake is associated with liver disease protection.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Front. Public Health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(2023).</w:t>
      </w:r>
    </w:p>
    <w:p w14:paraId="089FC196" w14:textId="65FEDBE2" w:rsidR="00033F2F" w:rsidRPr="000C45DA" w:rsidRDefault="00033F2F" w:rsidP="00033F2F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Vell, M.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Association of Statin Use </w:t>
      </w:r>
      <w:proofErr w:type="gram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</w:t>
      </w:r>
      <w:proofErr w:type="gram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Risk of Liver Disease, Hepatocellular Carcinoma, and Liver-Related Mortality.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JAMA Netw Open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e2320222 (2023).</w:t>
      </w:r>
    </w:p>
    <w:p w14:paraId="179550E6" w14:textId="77777777" w:rsidR="00E60768" w:rsidRPr="000C45DA" w:rsidRDefault="00033F2F" w:rsidP="00E60768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Schneider, C. V.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 coding variant in the microsomal triglyceride transfer protein reduces both hepatic steatosis and plasma lipids.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Alimentary Pharmacology &amp; Therapeutics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58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238–249 (2023).</w:t>
      </w:r>
    </w:p>
    <w:p w14:paraId="597BA2BD" w14:textId="77777777" w:rsidR="00E9761D" w:rsidRPr="000C45DA" w:rsidRDefault="00E60768" w:rsidP="00E9761D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Seeling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K.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Comorbidities, biomarkers and cause specific mortality in patients with irritable bowel syndrome: A phenome-wide association study. </w:t>
      </w:r>
      <w:r w:rsidRPr="00155C6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United European Gastroenterology Journal</w:t>
      </w:r>
      <w:r w:rsidRPr="00155C6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155C6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11</w:t>
      </w:r>
      <w:r w:rsidRPr="00155C6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458–470 (2023).</w:t>
      </w:r>
    </w:p>
    <w:p w14:paraId="2AAC1EE4" w14:textId="7DF929E8" w:rsidR="00D31290" w:rsidRPr="000C45DA" w:rsidRDefault="00E9761D" w:rsidP="00E9761D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Duan, 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SLC1A5-dependent glutamine uptake in hepatocytes promotes liver regeneration.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Hepatology Communications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e0742 (2025).</w:t>
      </w:r>
    </w:p>
    <w:p w14:paraId="5C355563" w14:textId="77777777" w:rsidR="00E64D04" w:rsidRPr="000C45DA" w:rsidRDefault="00E64D04" w:rsidP="00E64D04">
      <w:pPr>
        <w:pStyle w:val="a9"/>
        <w:numPr>
          <w:ilvl w:val="0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D.M.A.M.:</w:t>
      </w:r>
    </w:p>
    <w:p w14:paraId="162DC25D" w14:textId="3D491B7D" w:rsidR="001934F9" w:rsidRPr="000C45DA" w:rsidRDefault="001934F9" w:rsidP="001934F9">
      <w:pPr>
        <w:pStyle w:val="a9"/>
        <w:numPr>
          <w:ilvl w:val="1"/>
          <w:numId w:val="2"/>
        </w:numPr>
        <w:spacing w:after="0" w:line="240" w:lineRule="auto"/>
        <w:ind w:right="9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Seeling</w:t>
      </w:r>
      <w:proofErr w:type="spellEnd"/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K. S.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  <w:t>et al.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Comorbidities, biomarkers and cause specific mortality in patients with irritable bowel syndrome: A phenome-wide association study. </w:t>
      </w:r>
      <w:r w:rsidRPr="000C45D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United European Gastroenterology Journal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45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11</w:t>
      </w:r>
      <w:r w:rsidRPr="000C45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458–470 (2023).</w:t>
      </w:r>
    </w:p>
    <w:p w14:paraId="0519A989" w14:textId="77777777" w:rsidR="00E64D04" w:rsidRPr="000C45DA" w:rsidRDefault="00E64D04" w:rsidP="00E64D04">
      <w:pPr>
        <w:spacing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</w:p>
    <w:p w14:paraId="448995D5" w14:textId="77777777" w:rsidR="00E64D04" w:rsidRPr="000C45DA" w:rsidRDefault="00E64D04" w:rsidP="00E64D04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Please explain the key elements of your study design and the use of the available datasets that make your study an original scientific contribution.</w:t>
      </w:r>
    </w:p>
    <w:p w14:paraId="7D4B28C4" w14:textId="51264A80" w:rsidR="002476A5" w:rsidRPr="0028377C" w:rsidRDefault="003400BC" w:rsidP="003400BC">
      <w:pPr>
        <w:spacing w:after="0"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 w:hint="eastAsia"/>
          <w:sz w:val="22"/>
          <w:szCs w:val="22"/>
          <w:lang w:val="en-US"/>
        </w:rPr>
        <w:t xml:space="preserve">-Previous </w:t>
      </w:r>
      <w:r w:rsidR="000C45DA">
        <w:rPr>
          <w:rFonts w:ascii="Times New Roman" w:hAnsi="Times New Roman" w:cs="Times New Roman" w:hint="eastAsia"/>
          <w:sz w:val="22"/>
          <w:szCs w:val="22"/>
          <w:lang w:val="en-US"/>
        </w:rPr>
        <w:t>neuroimaging st</w:t>
      </w:r>
      <w:r w:rsidR="000B72AE">
        <w:rPr>
          <w:rFonts w:ascii="Times New Roman" w:hAnsi="Times New Roman" w:cs="Times New Roman" w:hint="eastAsia"/>
          <w:sz w:val="22"/>
          <w:szCs w:val="22"/>
          <w:lang w:val="en-US"/>
        </w:rPr>
        <w:t>udies of IBS have reported inconsistent and likely overestimated morphometric alterations, likely due to small sample</w:t>
      </w:r>
      <w:r w:rsidR="00D4255E">
        <w:rPr>
          <w:rFonts w:ascii="Times New Roman" w:hAnsi="Times New Roman" w:cs="Times New Roman" w:hint="eastAsia"/>
          <w:sz w:val="22"/>
          <w:szCs w:val="22"/>
          <w:lang w:val="en-US"/>
        </w:rPr>
        <w:t xml:space="preserve">s and heterogeneous diagnostic criteria. To address these issues and replicate earlier findings with robust statistical power, we </w:t>
      </w:r>
      <w:proofErr w:type="gramStart"/>
      <w:r w:rsidR="005B6C2B">
        <w:rPr>
          <w:rFonts w:ascii="Times New Roman" w:hAnsi="Times New Roman" w:cs="Times New Roman" w:hint="eastAsia"/>
          <w:sz w:val="22"/>
          <w:szCs w:val="22"/>
          <w:lang w:val="en-US"/>
        </w:rPr>
        <w:t>applied</w:t>
      </w:r>
      <w:proofErr w:type="gramEnd"/>
      <w:r w:rsidR="00D4255E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the UK Biobank (UKB), a large-scale b</w:t>
      </w:r>
      <w:r w:rsidR="005B6C2B">
        <w:rPr>
          <w:rFonts w:ascii="Times New Roman" w:hAnsi="Times New Roman" w:cs="Times New Roman" w:hint="eastAsia"/>
          <w:sz w:val="22"/>
          <w:szCs w:val="22"/>
          <w:lang w:val="en-US"/>
        </w:rPr>
        <w:t>iomedical dataset.</w:t>
      </w:r>
      <w:r w:rsidR="00845EE8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It not only provides a </w:t>
      </w:r>
      <w:r w:rsidR="00B036C1">
        <w:rPr>
          <w:rFonts w:ascii="Times New Roman" w:hAnsi="Times New Roman" w:cs="Times New Roman" w:hint="eastAsia"/>
          <w:sz w:val="22"/>
          <w:szCs w:val="22"/>
          <w:lang w:val="en-US"/>
        </w:rPr>
        <w:t xml:space="preserve">uniquely large IBS cohort with extensive demographic and clinical information, but also a </w:t>
      </w:r>
      <w:r w:rsidR="001D306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large healthy cohort </w:t>
      </w:r>
      <w:r w:rsidR="005B1144">
        <w:rPr>
          <w:rFonts w:ascii="Times New Roman" w:hAnsi="Times New Roman" w:cs="Times New Roman" w:hint="eastAsia"/>
          <w:sz w:val="22"/>
          <w:szCs w:val="22"/>
          <w:lang w:val="en-US"/>
        </w:rPr>
        <w:t xml:space="preserve">drawn from the same population. </w:t>
      </w:r>
      <w:r w:rsidR="005B1144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5B1144">
        <w:rPr>
          <w:rFonts w:ascii="Times New Roman" w:hAnsi="Times New Roman" w:cs="Times New Roman" w:hint="eastAsia"/>
          <w:sz w:val="22"/>
          <w:szCs w:val="22"/>
          <w:lang w:val="en-US"/>
        </w:rPr>
        <w:t xml:space="preserve">his enabled us to build normative models based on </w:t>
      </w:r>
      <w:proofErr w:type="gramStart"/>
      <w:r w:rsidR="0028377C">
        <w:rPr>
          <w:rFonts w:ascii="Times New Roman" w:hAnsi="Times New Roman" w:cs="Times New Roman"/>
          <w:sz w:val="22"/>
          <w:szCs w:val="22"/>
          <w:lang w:val="en-US"/>
        </w:rPr>
        <w:t>healthy</w:t>
      </w:r>
      <w:proofErr w:type="gramEnd"/>
      <w:r w:rsidR="0028377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and then quantify individual-level deviations in </w:t>
      </w:r>
      <w:r w:rsidR="00F52FF1">
        <w:rPr>
          <w:rFonts w:ascii="Times New Roman" w:hAnsi="Times New Roman" w:cs="Times New Roman" w:hint="eastAsia"/>
          <w:sz w:val="22"/>
          <w:szCs w:val="22"/>
          <w:lang w:val="en-US"/>
        </w:rPr>
        <w:t>brain morphometry among IBS cases. By combining large</w:t>
      </w:r>
      <w:r w:rsidR="007715AB">
        <w:rPr>
          <w:rFonts w:ascii="Times New Roman" w:hAnsi="Times New Roman" w:cs="Times New Roman" w:hint="eastAsia"/>
          <w:sz w:val="22"/>
          <w:szCs w:val="22"/>
          <w:lang w:val="en-US"/>
        </w:rPr>
        <w:t xml:space="preserve">-scale data with </w:t>
      </w:r>
      <w:r w:rsidR="008C57CB">
        <w:rPr>
          <w:rFonts w:ascii="Times New Roman" w:hAnsi="Times New Roman" w:cs="Times New Roman" w:hint="eastAsia"/>
          <w:sz w:val="22"/>
          <w:szCs w:val="22"/>
          <w:lang w:val="en-US"/>
        </w:rPr>
        <w:t xml:space="preserve">normative modeling, our study </w:t>
      </w:r>
      <w:r w:rsidR="00D11AEB">
        <w:rPr>
          <w:rFonts w:ascii="Times New Roman" w:hAnsi="Times New Roman" w:cs="Times New Roman" w:hint="eastAsia"/>
          <w:sz w:val="22"/>
          <w:szCs w:val="22"/>
          <w:lang w:val="en-US"/>
        </w:rPr>
        <w:t xml:space="preserve">reports a robust </w:t>
      </w:r>
      <w:r w:rsidR="000E7832">
        <w:rPr>
          <w:rFonts w:ascii="Times New Roman" w:hAnsi="Times New Roman" w:cs="Times New Roman" w:hint="eastAsia"/>
          <w:sz w:val="22"/>
          <w:szCs w:val="22"/>
          <w:lang w:val="en-US"/>
        </w:rPr>
        <w:t xml:space="preserve">framework for </w:t>
      </w:r>
      <w:r w:rsidR="002F3F3E">
        <w:rPr>
          <w:rFonts w:ascii="Times New Roman" w:hAnsi="Times New Roman" w:cs="Times New Roman" w:hint="eastAsia"/>
          <w:sz w:val="22"/>
          <w:szCs w:val="22"/>
          <w:lang w:val="en-US"/>
        </w:rPr>
        <w:t>disentangling associations</w:t>
      </w:r>
      <w:r w:rsidR="009D44F3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between IBS and brain morphometr</w:t>
      </w:r>
      <w:r w:rsidR="00E03B75">
        <w:rPr>
          <w:rFonts w:ascii="Times New Roman" w:hAnsi="Times New Roman" w:cs="Times New Roman" w:hint="eastAsia"/>
          <w:sz w:val="22"/>
          <w:szCs w:val="22"/>
          <w:lang w:val="en-US"/>
        </w:rPr>
        <w:t>ic</w:t>
      </w:r>
      <w:r w:rsidR="009D44F3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varia</w:t>
      </w:r>
      <w:r w:rsidR="00E03B75">
        <w:rPr>
          <w:rFonts w:ascii="Times New Roman" w:hAnsi="Times New Roman" w:cs="Times New Roman" w:hint="eastAsia"/>
          <w:sz w:val="22"/>
          <w:szCs w:val="22"/>
          <w:lang w:val="en-US"/>
        </w:rPr>
        <w:t>tions.</w:t>
      </w:r>
    </w:p>
    <w:p w14:paraId="6D45D488" w14:textId="77777777" w:rsidR="00E64D04" w:rsidRPr="000B72AE" w:rsidRDefault="00E64D04" w:rsidP="00E64D04">
      <w:pPr>
        <w:spacing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</w:p>
    <w:p w14:paraId="2AF7628A" w14:textId="77777777" w:rsidR="00E64D04" w:rsidRPr="000C45DA" w:rsidRDefault="00E64D04" w:rsidP="00E64D04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Please list all publications that addressed similar research questions in the same dataset and indicate where you cited them in your paper.</w:t>
      </w:r>
    </w:p>
    <w:p w14:paraId="08FC4F5A" w14:textId="1649FB4F" w:rsidR="002476A5" w:rsidRPr="00155C65" w:rsidRDefault="00926312" w:rsidP="00A92DE8">
      <w:pPr>
        <w:spacing w:after="0"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sz w:val="22"/>
          <w:szCs w:val="22"/>
          <w:lang w:val="en-US"/>
        </w:rPr>
        <w:t>-</w:t>
      </w:r>
      <w:r w:rsidR="00A92DE8" w:rsidRPr="00A92DE8">
        <w:rPr>
          <w:rFonts w:ascii="Times New Roman" w:hAnsi="Times New Roman" w:cs="Times New Roman"/>
          <w:sz w:val="22"/>
          <w:szCs w:val="22"/>
          <w:lang w:val="en-US"/>
        </w:rPr>
        <w:t xml:space="preserve">Li, Z. </w:t>
      </w:r>
      <w:r w:rsidR="00A92DE8" w:rsidRPr="00A92DE8">
        <w:rPr>
          <w:rFonts w:ascii="Times New Roman" w:hAnsi="Times New Roman" w:cs="Times New Roman"/>
          <w:i/>
          <w:iCs/>
          <w:sz w:val="22"/>
          <w:szCs w:val="22"/>
          <w:lang w:val="en-US"/>
        </w:rPr>
        <w:t>et al.</w:t>
      </w:r>
      <w:r w:rsidR="00A92DE8" w:rsidRPr="00A92DE8">
        <w:rPr>
          <w:rFonts w:ascii="Times New Roman" w:hAnsi="Times New Roman" w:cs="Times New Roman"/>
          <w:sz w:val="22"/>
          <w:szCs w:val="22"/>
          <w:lang w:val="en-US"/>
        </w:rPr>
        <w:t xml:space="preserve"> Irritable Bowel Syndrome Is Associated </w:t>
      </w:r>
      <w:proofErr w:type="gramStart"/>
      <w:r w:rsidR="00A92DE8" w:rsidRPr="00A92DE8">
        <w:rPr>
          <w:rFonts w:ascii="Times New Roman" w:hAnsi="Times New Roman" w:cs="Times New Roman"/>
          <w:sz w:val="22"/>
          <w:szCs w:val="22"/>
          <w:lang w:val="en-US"/>
        </w:rPr>
        <w:t>With</w:t>
      </w:r>
      <w:proofErr w:type="gramEnd"/>
      <w:r w:rsidR="00A92DE8" w:rsidRPr="00A92DE8">
        <w:rPr>
          <w:rFonts w:ascii="Times New Roman" w:hAnsi="Times New Roman" w:cs="Times New Roman"/>
          <w:sz w:val="22"/>
          <w:szCs w:val="22"/>
          <w:lang w:val="en-US"/>
        </w:rPr>
        <w:t xml:space="preserve"> Brain Health by Neuroimaging, Behavioral, Biochemical, and Genetic Analyses. </w:t>
      </w:r>
      <w:r w:rsidR="00A92DE8" w:rsidRPr="00155C65">
        <w:rPr>
          <w:rFonts w:ascii="Times New Roman" w:hAnsi="Times New Roman" w:cs="Times New Roman"/>
          <w:i/>
          <w:iCs/>
          <w:sz w:val="22"/>
          <w:szCs w:val="22"/>
          <w:lang w:val="en-US"/>
        </w:rPr>
        <w:t>Biological Psychiatry</w:t>
      </w:r>
      <w:r w:rsidR="00A92DE8" w:rsidRPr="00155C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2DE8" w:rsidRPr="00155C65">
        <w:rPr>
          <w:rFonts w:ascii="Times New Roman" w:hAnsi="Times New Roman" w:cs="Times New Roman"/>
          <w:b/>
          <w:bCs/>
          <w:sz w:val="22"/>
          <w:szCs w:val="22"/>
          <w:lang w:val="en-US"/>
        </w:rPr>
        <w:t>95</w:t>
      </w:r>
      <w:r w:rsidR="00A92DE8" w:rsidRPr="00155C65">
        <w:rPr>
          <w:rFonts w:ascii="Times New Roman" w:hAnsi="Times New Roman" w:cs="Times New Roman"/>
          <w:sz w:val="22"/>
          <w:szCs w:val="22"/>
          <w:lang w:val="en-US"/>
        </w:rPr>
        <w:t>, 1122–1132 (2024).</w:t>
      </w:r>
    </w:p>
    <w:p w14:paraId="7C4334FB" w14:textId="13557860" w:rsidR="00A92DE8" w:rsidRPr="001378BF" w:rsidRDefault="00A92DE8" w:rsidP="00A92DE8">
      <w:pPr>
        <w:spacing w:after="0"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  <w:r w:rsidRPr="001378B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In this study, they </w:t>
      </w:r>
      <w:r w:rsidR="001378BF" w:rsidRPr="001378BF">
        <w:rPr>
          <w:rFonts w:ascii="Times New Roman" w:hAnsi="Times New Roman" w:cs="Times New Roman" w:hint="eastAsia"/>
          <w:sz w:val="22"/>
          <w:szCs w:val="22"/>
          <w:lang w:val="en-US"/>
        </w:rPr>
        <w:t>e</w:t>
      </w:r>
      <w:r w:rsidR="001378B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xplored how IBS symptoms associated with </w:t>
      </w:r>
      <w:proofErr w:type="spellStart"/>
      <w:r w:rsidR="001378BF">
        <w:rPr>
          <w:rFonts w:ascii="Times New Roman" w:hAnsi="Times New Roman" w:cs="Times New Roman" w:hint="eastAsia"/>
          <w:sz w:val="22"/>
          <w:szCs w:val="22"/>
          <w:lang w:val="en-US"/>
        </w:rPr>
        <w:t>neuroimaing</w:t>
      </w:r>
      <w:proofErr w:type="spellEnd"/>
      <w:r w:rsidR="001378BF">
        <w:rPr>
          <w:rFonts w:ascii="Times New Roman" w:hAnsi="Times New Roman" w:cs="Times New Roman" w:hint="eastAsia"/>
          <w:sz w:val="22"/>
          <w:szCs w:val="22"/>
          <w:lang w:val="en-US"/>
        </w:rPr>
        <w:t>, behavioral, biochemical, and genetic analyses</w:t>
      </w:r>
      <w:r w:rsidR="00AE2004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with all participants from UK Biobank </w:t>
      </w:r>
      <w:r w:rsidR="00A801A2">
        <w:rPr>
          <w:rFonts w:ascii="Times New Roman" w:hAnsi="Times New Roman" w:cs="Times New Roman" w:hint="eastAsia"/>
          <w:sz w:val="22"/>
          <w:szCs w:val="22"/>
          <w:lang w:val="en-US"/>
        </w:rPr>
        <w:t xml:space="preserve">including both healthy and IBS patients. IBS was assessed only with </w:t>
      </w:r>
      <w:r w:rsidR="00B71278">
        <w:rPr>
          <w:rFonts w:ascii="Times New Roman" w:hAnsi="Times New Roman" w:cs="Times New Roman" w:hint="eastAsia"/>
          <w:sz w:val="22"/>
          <w:szCs w:val="22"/>
          <w:lang w:val="en-US"/>
        </w:rPr>
        <w:t xml:space="preserve">IBS symptom severity score. We cited this paper in </w:t>
      </w:r>
      <w:r w:rsidR="002C5CD7">
        <w:rPr>
          <w:rFonts w:ascii="Times New Roman" w:hAnsi="Times New Roman" w:cs="Times New Roman" w:hint="eastAsia"/>
          <w:sz w:val="22"/>
          <w:szCs w:val="22"/>
          <w:lang w:val="en-US"/>
        </w:rPr>
        <w:t>our introduction section.</w:t>
      </w:r>
    </w:p>
    <w:p w14:paraId="6F8C08CB" w14:textId="77777777" w:rsidR="00E64D04" w:rsidRPr="000C45DA" w:rsidRDefault="00E64D04" w:rsidP="002C5CD7">
      <w:pPr>
        <w:spacing w:line="280" w:lineRule="exact"/>
        <w:rPr>
          <w:rFonts w:ascii="Times New Roman" w:hAnsi="Times New Roman" w:cs="Times New Roman"/>
          <w:sz w:val="22"/>
          <w:szCs w:val="22"/>
          <w:lang w:val="en-US"/>
        </w:rPr>
      </w:pPr>
    </w:p>
    <w:p w14:paraId="6A3A4A95" w14:textId="77777777" w:rsidR="00E64D04" w:rsidRPr="000C45DA" w:rsidRDefault="00E64D04" w:rsidP="00E64D04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>Please explain how you addressed multiple testing through an appropriately rigorous statistical threshold and indicate this in the methods section.</w:t>
      </w:r>
    </w:p>
    <w:p w14:paraId="1267D9A0" w14:textId="128049E5" w:rsidR="002476A5" w:rsidRPr="00B86D7D" w:rsidRDefault="00AD003E" w:rsidP="00AD003E">
      <w:pPr>
        <w:spacing w:after="0"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sz w:val="22"/>
          <w:szCs w:val="22"/>
          <w:lang w:val="en-US"/>
        </w:rPr>
        <w:t>-</w:t>
      </w:r>
      <w:r w:rsidR="00AC19DE">
        <w:rPr>
          <w:rFonts w:ascii="Times New Roman" w:hAnsi="Times New Roman" w:cs="Times New Roman" w:hint="eastAsia"/>
          <w:sz w:val="22"/>
          <w:szCs w:val="22"/>
          <w:lang w:val="en-US"/>
        </w:rPr>
        <w:t xml:space="preserve">Here, we applied </w:t>
      </w:r>
      <w:r w:rsidR="00880B5F">
        <w:rPr>
          <w:rFonts w:ascii="Times New Roman" w:hAnsi="Times New Roman" w:cs="Times New Roman" w:hint="eastAsia"/>
          <w:sz w:val="22"/>
          <w:szCs w:val="22"/>
          <w:lang w:val="en-US"/>
        </w:rPr>
        <w:t>f</w:t>
      </w:r>
      <w:r w:rsidR="00880B5F" w:rsidRPr="00880B5F">
        <w:rPr>
          <w:rFonts w:ascii="Times New Roman" w:hAnsi="Times New Roman" w:cs="Times New Roman"/>
          <w:sz w:val="22"/>
          <w:szCs w:val="22"/>
          <w:lang w:val="en-US"/>
        </w:rPr>
        <w:t xml:space="preserve">alse discovery rate (FDR) correction </w:t>
      </w:r>
      <w:r w:rsidR="00880B5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by </w:t>
      </w:r>
      <w:r w:rsidR="00880B5F" w:rsidRPr="00880B5F">
        <w:rPr>
          <w:rFonts w:ascii="Times New Roman" w:hAnsi="Times New Roman" w:cs="Times New Roman"/>
          <w:sz w:val="22"/>
          <w:szCs w:val="22"/>
          <w:lang w:val="en-US"/>
        </w:rPr>
        <w:t>using the Benjamini Hochberg method</w:t>
      </w:r>
      <w:r w:rsidR="00880B5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</w:t>
      </w:r>
      <w:r w:rsidR="00BA31D8">
        <w:rPr>
          <w:rFonts w:ascii="Times New Roman" w:hAnsi="Times New Roman" w:cs="Times New Roman" w:hint="eastAsia"/>
          <w:sz w:val="22"/>
          <w:szCs w:val="22"/>
          <w:lang w:val="en-US"/>
        </w:rPr>
        <w:t>across</w:t>
      </w:r>
      <w:r w:rsidR="00880B5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all </w:t>
      </w:r>
      <w:r w:rsidR="002A0E7F">
        <w:rPr>
          <w:rFonts w:ascii="Times New Roman" w:hAnsi="Times New Roman" w:cs="Times New Roman" w:hint="eastAsia"/>
          <w:sz w:val="22"/>
          <w:szCs w:val="22"/>
          <w:lang w:val="en-US"/>
        </w:rPr>
        <w:t>statistical testing over multiple brain regions.</w:t>
      </w:r>
      <w:r w:rsidR="00B7521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For each family of tests, only </w:t>
      </w:r>
      <w:proofErr w:type="spellStart"/>
      <w:r w:rsidR="00B86D7D" w:rsidRPr="00B86D7D">
        <w:rPr>
          <w:rFonts w:ascii="Times New Roman" w:hAnsi="Times New Roman" w:cs="Times New Roman" w:hint="eastAsia"/>
          <w:i/>
          <w:iCs/>
          <w:sz w:val="22"/>
          <w:szCs w:val="22"/>
          <w:lang w:val="en-US"/>
        </w:rPr>
        <w:t>p</w:t>
      </w:r>
      <w:r w:rsidR="00B86D7D" w:rsidRPr="00B86D7D">
        <w:rPr>
          <w:rFonts w:ascii="Times New Roman" w:hAnsi="Times New Roman" w:cs="Times New Roman" w:hint="eastAsia"/>
          <w:i/>
          <w:iCs/>
          <w:sz w:val="22"/>
          <w:szCs w:val="22"/>
          <w:vertAlign w:val="subscript"/>
          <w:lang w:val="en-US"/>
        </w:rPr>
        <w:t>FDR</w:t>
      </w:r>
      <w:proofErr w:type="spellEnd"/>
      <w:r w:rsidR="00B86D7D" w:rsidRPr="00B86D7D">
        <w:rPr>
          <w:rFonts w:ascii="Times New Roman" w:hAnsi="Times New Roman" w:cs="Times New Roman" w:hint="eastAsia"/>
          <w:i/>
          <w:iCs/>
          <w:sz w:val="22"/>
          <w:szCs w:val="22"/>
          <w:vertAlign w:val="subscript"/>
          <w:lang w:val="en-US"/>
        </w:rPr>
        <w:t xml:space="preserve"> </w:t>
      </w:r>
      <w:r w:rsidR="00B86D7D">
        <w:rPr>
          <w:rFonts w:ascii="Times New Roman" w:hAnsi="Times New Roman" w:cs="Times New Roman" w:hint="eastAsia"/>
          <w:sz w:val="22"/>
          <w:szCs w:val="22"/>
          <w:lang w:val="en-US"/>
        </w:rPr>
        <w:t>&lt;0.05 were interpreted as significant.</w:t>
      </w:r>
      <w:r w:rsidR="008366D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Meanwhile, equivalence testing was conducted to determine whether effect size </w:t>
      </w:r>
      <w:r w:rsidR="00606CFA">
        <w:rPr>
          <w:rFonts w:ascii="Times New Roman" w:hAnsi="Times New Roman" w:cs="Times New Roman" w:hint="eastAsia"/>
          <w:sz w:val="22"/>
          <w:szCs w:val="22"/>
          <w:lang w:val="en-US"/>
        </w:rPr>
        <w:t>was meaningful for group-level differences.</w:t>
      </w:r>
    </w:p>
    <w:p w14:paraId="594C1343" w14:textId="77777777" w:rsidR="00E64D04" w:rsidRPr="000C45DA" w:rsidRDefault="00E64D04" w:rsidP="00E64D04">
      <w:pPr>
        <w:spacing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</w:p>
    <w:p w14:paraId="568BE913" w14:textId="77777777" w:rsidR="00E64D04" w:rsidRPr="000C45DA" w:rsidRDefault="00E64D04" w:rsidP="00E64D04">
      <w:pPr>
        <w:pStyle w:val="a9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0C45DA">
        <w:rPr>
          <w:rFonts w:ascii="Times New Roman" w:hAnsi="Times New Roman" w:cs="Times New Roman"/>
          <w:sz w:val="22"/>
          <w:szCs w:val="22"/>
          <w:lang w:val="en-US"/>
        </w:rPr>
        <w:t xml:space="preserve">Please declare to what extent </w:t>
      </w:r>
      <w:proofErr w:type="gramStart"/>
      <w:r w:rsidRPr="000C45DA">
        <w:rPr>
          <w:rFonts w:ascii="Times New Roman" w:hAnsi="Times New Roman" w:cs="Times New Roman"/>
          <w:sz w:val="22"/>
          <w:szCs w:val="22"/>
          <w:lang w:val="en-US"/>
        </w:rPr>
        <w:t>have AI chatbots</w:t>
      </w:r>
      <w:proofErr w:type="gramEnd"/>
      <w:r w:rsidRPr="000C45DA">
        <w:rPr>
          <w:rFonts w:ascii="Times New Roman" w:hAnsi="Times New Roman" w:cs="Times New Roman"/>
          <w:sz w:val="22"/>
          <w:szCs w:val="22"/>
          <w:lang w:val="en-US"/>
        </w:rPr>
        <w:t xml:space="preserve"> been used in developing your paper and to which parts of the paper did they contribute.</w:t>
      </w:r>
    </w:p>
    <w:p w14:paraId="190053E6" w14:textId="6E6E3802" w:rsidR="002476A5" w:rsidRPr="0026689C" w:rsidRDefault="00CD5FD3" w:rsidP="00CD5FD3">
      <w:pPr>
        <w:spacing w:after="0" w:line="280" w:lineRule="exact"/>
        <w:ind w:left="371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sz w:val="22"/>
          <w:szCs w:val="22"/>
          <w:lang w:val="en-US"/>
        </w:rPr>
        <w:t>-</w:t>
      </w:r>
      <w:r w:rsidR="00953E60">
        <w:rPr>
          <w:rFonts w:ascii="Times New Roman" w:hAnsi="Times New Roman" w:cs="Times New Roman" w:hint="eastAsia"/>
          <w:sz w:val="22"/>
          <w:szCs w:val="22"/>
          <w:lang w:val="en-US"/>
        </w:rPr>
        <w:t>AI chatbots</w:t>
      </w:r>
      <w:r w:rsidR="0031308D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(ChatGPT)</w:t>
      </w:r>
      <w:r w:rsidR="00953E60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</w:t>
      </w:r>
      <w:r w:rsidR="00460912">
        <w:rPr>
          <w:rFonts w:ascii="Times New Roman" w:hAnsi="Times New Roman" w:cs="Times New Roman" w:hint="eastAsia"/>
          <w:sz w:val="22"/>
          <w:szCs w:val="22"/>
          <w:lang w:val="en-US"/>
        </w:rPr>
        <w:t>were</w:t>
      </w:r>
      <w:r w:rsidR="00953E60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not involved in research </w:t>
      </w:r>
      <w:r w:rsidR="009E502B">
        <w:rPr>
          <w:rFonts w:ascii="Times New Roman" w:hAnsi="Times New Roman" w:cs="Times New Roman" w:hint="eastAsia"/>
          <w:sz w:val="22"/>
          <w:szCs w:val="22"/>
          <w:lang w:val="en-US"/>
        </w:rPr>
        <w:t xml:space="preserve">question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development</w:t>
      </w:r>
      <w:r w:rsidR="0026689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,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study design</w:t>
      </w:r>
      <w:r w:rsidR="00C274F5">
        <w:rPr>
          <w:rFonts w:ascii="Times New Roman" w:hAnsi="Times New Roman" w:cs="Times New Roman" w:hint="eastAsia"/>
          <w:sz w:val="22"/>
          <w:szCs w:val="22"/>
          <w:lang w:val="en-US"/>
        </w:rPr>
        <w:t xml:space="preserve">,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 xml:space="preserve">data analysis, </w:t>
      </w:r>
      <w:r w:rsidR="00A625CE">
        <w:rPr>
          <w:rFonts w:ascii="Times New Roman" w:hAnsi="Times New Roman" w:cs="Times New Roman" w:hint="eastAsia"/>
          <w:sz w:val="22"/>
          <w:szCs w:val="22"/>
          <w:lang w:val="en-US"/>
        </w:rPr>
        <w:t xml:space="preserve">interpretation of results, </w:t>
      </w:r>
      <w:r w:rsidR="00C274F5">
        <w:rPr>
          <w:rFonts w:ascii="Times New Roman" w:hAnsi="Times New Roman" w:cs="Times New Roman" w:hint="eastAsia"/>
          <w:sz w:val="22"/>
          <w:szCs w:val="22"/>
          <w:lang w:val="en-US"/>
        </w:rPr>
        <w:t>decision making</w:t>
      </w:r>
      <w:r w:rsidR="0026689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or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initial</w:t>
      </w:r>
      <w:r w:rsidR="0026689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manuscript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drafting</w:t>
      </w:r>
      <w:r w:rsidR="0026689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.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They were</w:t>
      </w:r>
      <w:r w:rsidR="0026689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only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for</w:t>
      </w:r>
      <w:r w:rsidR="0026689C">
        <w:rPr>
          <w:rFonts w:ascii="Times New Roman" w:hAnsi="Times New Roman" w:cs="Times New Roman" w:hint="eastAsia"/>
          <w:sz w:val="22"/>
          <w:szCs w:val="22"/>
          <w:lang w:val="en-US"/>
        </w:rPr>
        <w:t xml:space="preserve"> grammar checking and </w:t>
      </w:r>
      <w:r w:rsidR="00C274F5">
        <w:rPr>
          <w:rFonts w:ascii="Times New Roman" w:hAnsi="Times New Roman" w:cs="Times New Roman" w:hint="eastAsia"/>
          <w:sz w:val="22"/>
          <w:szCs w:val="22"/>
          <w:lang w:val="en-US"/>
        </w:rPr>
        <w:t xml:space="preserve">language </w:t>
      </w:r>
      <w:r w:rsidR="00C07DBF">
        <w:rPr>
          <w:rFonts w:ascii="Times New Roman" w:hAnsi="Times New Roman" w:cs="Times New Roman" w:hint="eastAsia"/>
          <w:sz w:val="22"/>
          <w:szCs w:val="22"/>
          <w:lang w:val="en-US"/>
        </w:rPr>
        <w:t>refinement</w:t>
      </w:r>
      <w:r w:rsidR="00C274F5">
        <w:rPr>
          <w:rFonts w:ascii="Times New Roman" w:hAnsi="Times New Roman" w:cs="Times New Roman" w:hint="eastAsia"/>
          <w:sz w:val="22"/>
          <w:szCs w:val="22"/>
          <w:lang w:val="en-US"/>
        </w:rPr>
        <w:t>.</w:t>
      </w:r>
    </w:p>
    <w:p w14:paraId="7F9E0942" w14:textId="77777777" w:rsidR="00D11641" w:rsidRPr="000C45DA" w:rsidRDefault="00D11641">
      <w:pPr>
        <w:rPr>
          <w:sz w:val="22"/>
          <w:szCs w:val="22"/>
          <w:lang w:val="en-US"/>
        </w:rPr>
      </w:pPr>
    </w:p>
    <w:sectPr w:rsidR="00D11641" w:rsidRPr="000C45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3295F"/>
    <w:multiLevelType w:val="hybridMultilevel"/>
    <w:tmpl w:val="5088C02A"/>
    <w:lvl w:ilvl="0" w:tplc="0407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51" w:hanging="360"/>
      </w:pPr>
    </w:lvl>
    <w:lvl w:ilvl="2" w:tplc="040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7AE56378"/>
    <w:multiLevelType w:val="hybridMultilevel"/>
    <w:tmpl w:val="701A209C"/>
    <w:lvl w:ilvl="0" w:tplc="CFFC994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91" w:hanging="360"/>
      </w:pPr>
    </w:lvl>
    <w:lvl w:ilvl="2" w:tplc="0407001B" w:tentative="1">
      <w:start w:val="1"/>
      <w:numFmt w:val="lowerRoman"/>
      <w:lvlText w:val="%3."/>
      <w:lvlJc w:val="right"/>
      <w:pPr>
        <w:ind w:left="1811" w:hanging="180"/>
      </w:pPr>
    </w:lvl>
    <w:lvl w:ilvl="3" w:tplc="0407000F" w:tentative="1">
      <w:start w:val="1"/>
      <w:numFmt w:val="decimal"/>
      <w:lvlText w:val="%4."/>
      <w:lvlJc w:val="left"/>
      <w:pPr>
        <w:ind w:left="2531" w:hanging="360"/>
      </w:pPr>
    </w:lvl>
    <w:lvl w:ilvl="4" w:tplc="04070019" w:tentative="1">
      <w:start w:val="1"/>
      <w:numFmt w:val="lowerLetter"/>
      <w:lvlText w:val="%5."/>
      <w:lvlJc w:val="left"/>
      <w:pPr>
        <w:ind w:left="3251" w:hanging="360"/>
      </w:pPr>
    </w:lvl>
    <w:lvl w:ilvl="5" w:tplc="0407001B" w:tentative="1">
      <w:start w:val="1"/>
      <w:numFmt w:val="lowerRoman"/>
      <w:lvlText w:val="%6."/>
      <w:lvlJc w:val="right"/>
      <w:pPr>
        <w:ind w:left="3971" w:hanging="180"/>
      </w:pPr>
    </w:lvl>
    <w:lvl w:ilvl="6" w:tplc="0407000F" w:tentative="1">
      <w:start w:val="1"/>
      <w:numFmt w:val="decimal"/>
      <w:lvlText w:val="%7."/>
      <w:lvlJc w:val="left"/>
      <w:pPr>
        <w:ind w:left="4691" w:hanging="360"/>
      </w:pPr>
    </w:lvl>
    <w:lvl w:ilvl="7" w:tplc="04070019" w:tentative="1">
      <w:start w:val="1"/>
      <w:numFmt w:val="lowerLetter"/>
      <w:lvlText w:val="%8."/>
      <w:lvlJc w:val="left"/>
      <w:pPr>
        <w:ind w:left="5411" w:hanging="360"/>
      </w:pPr>
    </w:lvl>
    <w:lvl w:ilvl="8" w:tplc="0407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195071279">
    <w:abstractNumId w:val="1"/>
  </w:num>
  <w:num w:numId="2" w16cid:durableId="43267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3"/>
    <w:rsid w:val="00033F2F"/>
    <w:rsid w:val="000A70D5"/>
    <w:rsid w:val="000B72AE"/>
    <w:rsid w:val="000C45DA"/>
    <w:rsid w:val="000E7832"/>
    <w:rsid w:val="001378BF"/>
    <w:rsid w:val="00155C65"/>
    <w:rsid w:val="0016419C"/>
    <w:rsid w:val="001934F9"/>
    <w:rsid w:val="00196DC5"/>
    <w:rsid w:val="001D306F"/>
    <w:rsid w:val="001D7E72"/>
    <w:rsid w:val="002112B4"/>
    <w:rsid w:val="002476A5"/>
    <w:rsid w:val="0026689C"/>
    <w:rsid w:val="00270514"/>
    <w:rsid w:val="002735F0"/>
    <w:rsid w:val="0028377C"/>
    <w:rsid w:val="002A0E7F"/>
    <w:rsid w:val="002C5CD7"/>
    <w:rsid w:val="002F3F3E"/>
    <w:rsid w:val="002F77FB"/>
    <w:rsid w:val="0031308D"/>
    <w:rsid w:val="003400BC"/>
    <w:rsid w:val="0035589F"/>
    <w:rsid w:val="003C4EEF"/>
    <w:rsid w:val="00421B7E"/>
    <w:rsid w:val="00460912"/>
    <w:rsid w:val="00485ECF"/>
    <w:rsid w:val="004B5A40"/>
    <w:rsid w:val="00566DA9"/>
    <w:rsid w:val="0059601A"/>
    <w:rsid w:val="005B1144"/>
    <w:rsid w:val="005B6C2B"/>
    <w:rsid w:val="005C08FA"/>
    <w:rsid w:val="00606CFA"/>
    <w:rsid w:val="00653C6D"/>
    <w:rsid w:val="006E14A3"/>
    <w:rsid w:val="00701E4A"/>
    <w:rsid w:val="00743A98"/>
    <w:rsid w:val="007715AB"/>
    <w:rsid w:val="00791105"/>
    <w:rsid w:val="007D6B1C"/>
    <w:rsid w:val="00823F65"/>
    <w:rsid w:val="008366DF"/>
    <w:rsid w:val="00845EE8"/>
    <w:rsid w:val="00880B5F"/>
    <w:rsid w:val="008C57CB"/>
    <w:rsid w:val="008C7F2C"/>
    <w:rsid w:val="00926312"/>
    <w:rsid w:val="00953E60"/>
    <w:rsid w:val="00963FD2"/>
    <w:rsid w:val="00997BD2"/>
    <w:rsid w:val="009D44F3"/>
    <w:rsid w:val="009E502B"/>
    <w:rsid w:val="00A625CE"/>
    <w:rsid w:val="00A801A2"/>
    <w:rsid w:val="00A92DE8"/>
    <w:rsid w:val="00A9780F"/>
    <w:rsid w:val="00AC19DE"/>
    <w:rsid w:val="00AD003E"/>
    <w:rsid w:val="00AE2004"/>
    <w:rsid w:val="00B004BE"/>
    <w:rsid w:val="00B036C1"/>
    <w:rsid w:val="00B71278"/>
    <w:rsid w:val="00B7521C"/>
    <w:rsid w:val="00B86D7D"/>
    <w:rsid w:val="00BA31D8"/>
    <w:rsid w:val="00BE2CB0"/>
    <w:rsid w:val="00BE775E"/>
    <w:rsid w:val="00C07DBF"/>
    <w:rsid w:val="00C274F5"/>
    <w:rsid w:val="00CD5FD3"/>
    <w:rsid w:val="00D11641"/>
    <w:rsid w:val="00D11AEB"/>
    <w:rsid w:val="00D23C81"/>
    <w:rsid w:val="00D31290"/>
    <w:rsid w:val="00D4255E"/>
    <w:rsid w:val="00DC4615"/>
    <w:rsid w:val="00E03B75"/>
    <w:rsid w:val="00E469B1"/>
    <w:rsid w:val="00E60768"/>
    <w:rsid w:val="00E637CA"/>
    <w:rsid w:val="00E64D04"/>
    <w:rsid w:val="00E9761D"/>
    <w:rsid w:val="00EF41FB"/>
    <w:rsid w:val="00F2242B"/>
    <w:rsid w:val="00F40323"/>
    <w:rsid w:val="00F52FF1"/>
    <w:rsid w:val="00F7141A"/>
    <w:rsid w:val="00F94D56"/>
    <w:rsid w:val="00FF322F"/>
    <w:rsid w:val="361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CBF7"/>
  <w15:chartTrackingRefBased/>
  <w15:docId w15:val="{C0EAAE8D-132C-4E5B-8FE3-C280519D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4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4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403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40323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40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40323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40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3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3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0323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EF4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19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5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90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6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662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37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18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9052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32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33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982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101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47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72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37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53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83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8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02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25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48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13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82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105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9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79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631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97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09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218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70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02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93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9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A095225D62535479A5A4BF1E3B65EF7" ma:contentTypeVersion="16" ma:contentTypeDescription="新建文档。" ma:contentTypeScope="" ma:versionID="01be320528d01015de1e6de16be48631">
  <xsd:schema xmlns:xsd="http://www.w3.org/2001/XMLSchema" xmlns:xs="http://www.w3.org/2001/XMLSchema" xmlns:p="http://schemas.microsoft.com/office/2006/metadata/properties" xmlns:ns2="00bedd59-3025-41f4-96de-4584df7afdb6" xmlns:ns3="1029b552-8035-494a-91c3-6930cafe726c" targetNamespace="http://schemas.microsoft.com/office/2006/metadata/properties" ma:root="true" ma:fieldsID="ca072023080ce66c39668edd7130e5cb" ns2:_="" ns3:_="">
    <xsd:import namespace="00bedd59-3025-41f4-96de-4584df7afdb6"/>
    <xsd:import namespace="1029b552-8035-494a-91c3-6930cafe7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dd59-3025-41f4-96de-4584df7af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图像标记" ma:readOnly="false" ma:fieldId="{5cf76f15-5ced-4ddc-b409-7134ff3c332f}" ma:taxonomyMulti="true" ma:sspId="32a6b19d-68da-4000-ad0e-8ca94f8fa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b552-8035-494a-91c3-6930cafe72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a36c0c-5c1b-48db-8408-7ee4416e5d9a}" ma:internalName="TaxCatchAll" ma:showField="CatchAllData" ma:web="1029b552-8035-494a-91c3-6930cafe7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edd59-3025-41f4-96de-4584df7afdb6">
      <Terms xmlns="http://schemas.microsoft.com/office/infopath/2007/PartnerControls"/>
    </lcf76f155ced4ddcb4097134ff3c332f>
    <TaxCatchAll xmlns="1029b552-8035-494a-91c3-6930cafe726c" xsi:nil="true"/>
  </documentManagement>
</p:properties>
</file>

<file path=customXml/itemProps1.xml><?xml version="1.0" encoding="utf-8"?>
<ds:datastoreItem xmlns:ds="http://schemas.openxmlformats.org/officeDocument/2006/customXml" ds:itemID="{D66B6272-FA88-47B7-BD3F-30703D037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edd59-3025-41f4-96de-4584df7afdb6"/>
    <ds:schemaRef ds:uri="1029b552-8035-494a-91c3-6930cafe7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D3B4A-36E7-46F3-9B05-7DFD214C5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04BF-B3E8-4EF1-AE54-244A9BC72C62}">
  <ds:schemaRefs>
    <ds:schemaRef ds:uri="http://schemas.microsoft.com/office/2006/metadata/properties"/>
    <ds:schemaRef ds:uri="http://schemas.microsoft.com/office/infopath/2007/PartnerControls"/>
    <ds:schemaRef ds:uri="00bedd59-3025-41f4-96de-4584df7afdb6"/>
    <ds:schemaRef ds:uri="1029b552-8035-494a-91c3-6930cafe7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1832</Words>
  <Characters>10447</Characters>
  <Application>Microsoft Office Word</Application>
  <DocSecurity>0</DocSecurity>
  <Lines>87</Lines>
  <Paragraphs>24</Paragraphs>
  <ScaleCrop>false</ScaleCrop>
  <Company>Uniklinik RWTH Aachen</Company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Hanbing</dc:creator>
  <cp:keywords/>
  <dc:description/>
  <cp:lastModifiedBy>Gao, Hanbing</cp:lastModifiedBy>
  <cp:revision>86</cp:revision>
  <dcterms:created xsi:type="dcterms:W3CDTF">2025-08-21T13:25:00Z</dcterms:created>
  <dcterms:modified xsi:type="dcterms:W3CDTF">2025-11-28T15:31:00Z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0x0101005A095225D62535479A5A4BF1E3B65EF7</vt:lpwstr>
  </property>
  <property fmtid="{D5CDD505-2E9C-101B-9397-08002B2CF9AE}" pid="3" name="MediaServiceImageTags">
    <vt:lpwstr/>
  </property>
</Properties>
</file>