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464F" w:rsidRPr="002565D3" w:rsidRDefault="0025464F" w:rsidP="005910E2">
      <w:pPr>
        <w:pStyle w:val="Heading2"/>
        <w:rPr>
          <w:rFonts w:asciiTheme="majorBidi" w:hAnsiTheme="majorBidi"/>
          <w:b/>
          <w:bCs/>
          <w:color w:val="000000" w:themeColor="text1"/>
          <w:sz w:val="24"/>
          <w:szCs w:val="24"/>
        </w:rPr>
      </w:pPr>
      <w:r w:rsidRPr="002565D3">
        <w:rPr>
          <w:rFonts w:asciiTheme="majorBidi" w:hAnsiTheme="majorBidi"/>
          <w:b/>
          <w:bCs/>
          <w:color w:val="000000" w:themeColor="text1"/>
          <w:sz w:val="24"/>
          <w:szCs w:val="24"/>
        </w:rPr>
        <w:t>Figure 1</w:t>
      </w:r>
      <w:r w:rsidRPr="002565D3">
        <w:rPr>
          <w:rFonts w:asciiTheme="majorBidi" w:hAnsiTheme="majorBidi"/>
          <w:color w:val="000000" w:themeColor="text1"/>
          <w:sz w:val="24"/>
          <w:szCs w:val="24"/>
        </w:rPr>
        <w:t>. Theoretical–Analytical Framework Integrating Ethical AI, Strategic Knowledge Governance, and Sustainable Value Creation (Theoretical–Analytical Framework underpinning SEG-F (Figure 4).</w:t>
      </w:r>
    </w:p>
    <w:p w:rsidR="0025464F" w:rsidRPr="002565D3" w:rsidRDefault="0025464F" w:rsidP="0025464F">
      <w:pPr>
        <w:pStyle w:val="NormalWeb"/>
        <w:spacing w:line="360" w:lineRule="auto"/>
        <w:jc w:val="center"/>
        <w:rPr>
          <w:rFonts w:asciiTheme="majorBidi" w:hAnsiTheme="majorBidi" w:cstheme="majorBidi"/>
          <w:color w:val="000000" w:themeColor="text1"/>
        </w:rPr>
      </w:pPr>
      <w:r w:rsidRPr="002565D3">
        <w:rPr>
          <w:rFonts w:asciiTheme="majorBidi" w:hAnsiTheme="majorBidi" w:cstheme="majorBidi"/>
          <w:noProof/>
          <w:color w:val="000000" w:themeColor="text1"/>
        </w:rPr>
        <w:drawing>
          <wp:inline distT="0" distB="0" distL="0" distR="0" wp14:anchorId="0AD72AD3" wp14:editId="7B9291BA">
            <wp:extent cx="5010150" cy="6763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76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464F" w:rsidRPr="002565D3" w:rsidRDefault="0025464F" w:rsidP="0025464F">
      <w:pPr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</w:p>
    <w:p w:rsidR="009118E1" w:rsidRPr="002565D3" w:rsidRDefault="009118E1" w:rsidP="005910E2">
      <w:pPr>
        <w:pStyle w:val="Heading2"/>
        <w:rPr>
          <w:rFonts w:asciiTheme="majorBidi" w:hAnsiTheme="majorBidi"/>
          <w:color w:val="000000" w:themeColor="text1"/>
          <w:sz w:val="24"/>
          <w:szCs w:val="24"/>
        </w:rPr>
      </w:pPr>
      <w:r w:rsidRPr="002565D3">
        <w:rPr>
          <w:rFonts w:asciiTheme="majorBidi" w:hAnsiTheme="majorBidi"/>
          <w:b/>
          <w:bCs/>
          <w:color w:val="000000" w:themeColor="text1"/>
          <w:sz w:val="24"/>
          <w:szCs w:val="24"/>
        </w:rPr>
        <w:lastRenderedPageBreak/>
        <w:t>Figure 2.</w:t>
      </w:r>
      <w:r w:rsidRPr="002565D3">
        <w:rPr>
          <w:rFonts w:asciiTheme="majorBidi" w:hAnsiTheme="majorBidi"/>
          <w:color w:val="000000" w:themeColor="text1"/>
          <w:sz w:val="24"/>
          <w:szCs w:val="24"/>
        </w:rPr>
        <w:t xml:space="preserve"> Studies Design Flow: </w:t>
      </w:r>
      <w:proofErr w:type="spellStart"/>
      <w:r w:rsidRPr="002565D3">
        <w:rPr>
          <w:rFonts w:asciiTheme="majorBidi" w:hAnsiTheme="majorBidi"/>
          <w:color w:val="000000" w:themeColor="text1"/>
          <w:sz w:val="24"/>
          <w:szCs w:val="24"/>
        </w:rPr>
        <w:t>PICo</w:t>
      </w:r>
      <w:proofErr w:type="spellEnd"/>
      <w:r w:rsidRPr="002565D3">
        <w:rPr>
          <w:rFonts w:asciiTheme="majorBidi" w:hAnsiTheme="majorBidi"/>
          <w:color w:val="000000" w:themeColor="text1"/>
          <w:sz w:val="24"/>
          <w:szCs w:val="24"/>
        </w:rPr>
        <w:t>–PRISMA–CIMO Framework</w:t>
      </w:r>
    </w:p>
    <w:p w:rsidR="00DC6096" w:rsidRPr="002565D3" w:rsidRDefault="00DC6096" w:rsidP="00DC6096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9118E1" w:rsidRPr="002565D3" w:rsidRDefault="009118E1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565D3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2363FA50" wp14:editId="4D868B9B">
            <wp:extent cx="6041942" cy="3168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272" cy="3174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432" w:rsidRPr="002565D3" w:rsidRDefault="00A27432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A27432" w:rsidRPr="002565D3" w:rsidRDefault="00A27432">
      <w:pPr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</w:pPr>
      <w:r w:rsidRPr="002565D3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br w:type="page"/>
      </w:r>
    </w:p>
    <w:p w:rsidR="006B02D3" w:rsidRPr="002565D3" w:rsidRDefault="006B02D3" w:rsidP="005910E2">
      <w:pPr>
        <w:pStyle w:val="Heading2"/>
        <w:rPr>
          <w:rStyle w:val="Emphasis"/>
          <w:rFonts w:asciiTheme="majorBidi" w:hAnsiTheme="majorBidi"/>
          <w:i w:val="0"/>
          <w:iCs w:val="0"/>
          <w:color w:val="000000" w:themeColor="text1"/>
          <w:sz w:val="24"/>
          <w:szCs w:val="24"/>
        </w:rPr>
      </w:pPr>
      <w:r w:rsidRPr="002565D3">
        <w:rPr>
          <w:rStyle w:val="Strong"/>
          <w:rFonts w:asciiTheme="majorBidi" w:hAnsiTheme="majorBidi"/>
          <w:color w:val="000000" w:themeColor="text1"/>
          <w:sz w:val="24"/>
          <w:szCs w:val="24"/>
        </w:rPr>
        <w:lastRenderedPageBreak/>
        <w:t>Figure 3</w:t>
      </w:r>
      <w:r w:rsidRPr="002565D3">
        <w:rPr>
          <w:rStyle w:val="Strong"/>
          <w:rFonts w:asciiTheme="majorBidi" w:hAnsiTheme="majorBidi"/>
          <w:i/>
          <w:iCs/>
          <w:color w:val="000000" w:themeColor="text1"/>
          <w:sz w:val="24"/>
          <w:szCs w:val="24"/>
        </w:rPr>
        <w:t>.</w:t>
      </w:r>
      <w:r w:rsidRPr="002565D3">
        <w:rPr>
          <w:rStyle w:val="Emphasis"/>
          <w:rFonts w:asciiTheme="majorBidi" w:hAnsiTheme="majorBidi"/>
          <w:color w:val="000000" w:themeColor="text1"/>
          <w:sz w:val="24"/>
          <w:szCs w:val="24"/>
        </w:rPr>
        <w:t> </w:t>
      </w:r>
      <w:r w:rsidRPr="002565D3">
        <w:rPr>
          <w:rStyle w:val="Emphasis"/>
          <w:rFonts w:asciiTheme="majorBidi" w:hAnsiTheme="majorBidi"/>
          <w:i w:val="0"/>
          <w:iCs w:val="0"/>
          <w:color w:val="000000" w:themeColor="text1"/>
          <w:sz w:val="24"/>
          <w:szCs w:val="24"/>
        </w:rPr>
        <w:t>PRISMA Flow diagram.</w:t>
      </w:r>
    </w:p>
    <w:p w:rsidR="006B02D3" w:rsidRPr="002565D3" w:rsidRDefault="006B02D3" w:rsidP="006B02D3">
      <w:pPr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</w:pPr>
      <w:r w:rsidRPr="002565D3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6CAB8AC2" wp14:editId="0BF7204D">
            <wp:extent cx="5695760" cy="6223635"/>
            <wp:effectExtent l="0" t="0" r="63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97" cy="6271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02D3" w:rsidRPr="002565D3" w:rsidRDefault="006B02D3">
      <w:pPr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</w:pPr>
    </w:p>
    <w:p w:rsidR="006B02D3" w:rsidRPr="002565D3" w:rsidRDefault="006B02D3">
      <w:pPr>
        <w:rPr>
          <w:rFonts w:asciiTheme="majorBidi" w:eastAsia="Times New Roman" w:hAnsiTheme="majorBidi" w:cstheme="majorBidi"/>
          <w:b/>
          <w:bCs/>
          <w:color w:val="000000" w:themeColor="text1"/>
          <w:sz w:val="24"/>
          <w:szCs w:val="24"/>
        </w:rPr>
      </w:pPr>
      <w:r w:rsidRPr="002565D3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br w:type="page"/>
      </w:r>
    </w:p>
    <w:p w:rsidR="006B02D3" w:rsidRPr="002565D3" w:rsidRDefault="005910E2" w:rsidP="000C304A">
      <w:pPr>
        <w:pStyle w:val="Heading2"/>
        <w:rPr>
          <w:rFonts w:asciiTheme="majorBidi" w:hAnsiTheme="majorBidi"/>
          <w:color w:val="000000" w:themeColor="text1"/>
          <w:sz w:val="24"/>
          <w:szCs w:val="24"/>
        </w:rPr>
      </w:pPr>
      <w:bookmarkStart w:id="0" w:name="_GoBack"/>
      <w:bookmarkEnd w:id="0"/>
      <w:r w:rsidRPr="002565D3">
        <w:rPr>
          <w:rStyle w:val="Heading1Char"/>
          <w:rFonts w:asciiTheme="majorBidi" w:hAnsiTheme="majorBidi"/>
          <w:color w:val="000000" w:themeColor="text1"/>
          <w:sz w:val="24"/>
          <w:szCs w:val="24"/>
        </w:rPr>
        <w:lastRenderedPageBreak/>
        <w:t>Figure 4. Strategic Ethical Governance Framework (SEG-F): Integrating Knowledge, Ethics, and Innovation toward Sustainable Value Creation</w:t>
      </w:r>
      <w:r w:rsidR="0045687F" w:rsidRPr="002565D3">
        <w:rPr>
          <w:rFonts w:asciiTheme="majorBidi" w:hAnsiTheme="majorBidi"/>
          <w:color w:val="000000" w:themeColor="text1"/>
          <w:sz w:val="24"/>
          <w:szCs w:val="24"/>
        </w:rPr>
        <w:t>.</w:t>
      </w:r>
    </w:p>
    <w:p w:rsidR="000C304A" w:rsidRPr="002565D3" w:rsidRDefault="000C304A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A27432" w:rsidRPr="002565D3" w:rsidRDefault="0045687F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565D3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4A28CCD7" wp14:editId="1A473298">
            <wp:extent cx="5943600" cy="3371727"/>
            <wp:effectExtent l="0" t="0" r="0" b="63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1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7432" w:rsidRPr="002565D3" w:rsidRDefault="00A27432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45687F" w:rsidRPr="002565D3" w:rsidRDefault="005910E2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565D3">
        <w:rPr>
          <w:rStyle w:val="Strong"/>
          <w:rFonts w:asciiTheme="majorBidi" w:hAnsiTheme="majorBidi" w:cstheme="majorBidi"/>
          <w:color w:val="000000" w:themeColor="text1"/>
          <w:sz w:val="24"/>
          <w:szCs w:val="24"/>
        </w:rPr>
        <w:t>Figure 4.</w:t>
      </w:r>
      <w:r w:rsidRPr="002565D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The Strategic Ethical Governance Framework (SEG-F) synthesizes the study’s thematic results into a dynamic model connecting </w:t>
      </w:r>
      <w:r w:rsidRPr="002565D3">
        <w:rPr>
          <w:rStyle w:val="Emphasis"/>
          <w:rFonts w:asciiTheme="majorBidi" w:hAnsiTheme="majorBidi" w:cstheme="majorBidi"/>
          <w:color w:val="000000" w:themeColor="text1"/>
          <w:sz w:val="24"/>
          <w:szCs w:val="24"/>
        </w:rPr>
        <w:t>ethical principles</w:t>
      </w:r>
      <w:r w:rsidRPr="002565D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Pr="002565D3">
        <w:rPr>
          <w:rStyle w:val="Emphasis"/>
          <w:rFonts w:asciiTheme="majorBidi" w:hAnsiTheme="majorBidi" w:cstheme="majorBidi"/>
          <w:color w:val="000000" w:themeColor="text1"/>
          <w:sz w:val="24"/>
          <w:szCs w:val="24"/>
        </w:rPr>
        <w:t>governance mechanisms</w:t>
      </w:r>
      <w:r w:rsidRPr="002565D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</w:t>
      </w:r>
      <w:r w:rsidRPr="002565D3">
        <w:rPr>
          <w:rStyle w:val="Emphasis"/>
          <w:rFonts w:asciiTheme="majorBidi" w:hAnsiTheme="majorBidi" w:cstheme="majorBidi"/>
          <w:color w:val="000000" w:themeColor="text1"/>
          <w:sz w:val="24"/>
          <w:szCs w:val="24"/>
        </w:rPr>
        <w:t>organizational integration</w:t>
      </w:r>
      <w:r w:rsidRPr="002565D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and </w:t>
      </w:r>
      <w:r w:rsidRPr="002565D3">
        <w:rPr>
          <w:rStyle w:val="Emphasis"/>
          <w:rFonts w:asciiTheme="majorBidi" w:hAnsiTheme="majorBidi" w:cstheme="majorBidi"/>
          <w:color w:val="000000" w:themeColor="text1"/>
          <w:sz w:val="24"/>
          <w:szCs w:val="24"/>
        </w:rPr>
        <w:t>sustainability outcomes</w:t>
      </w:r>
      <w:r w:rsidRPr="002565D3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Pr="002565D3">
        <w:rPr>
          <w:rFonts w:asciiTheme="majorBidi" w:hAnsiTheme="majorBidi" w:cstheme="majorBidi"/>
          <w:color w:val="000000" w:themeColor="text1"/>
          <w:sz w:val="24"/>
          <w:szCs w:val="24"/>
        </w:rPr>
        <w:br/>
        <w:t>The framework illustrates how four interdependent mechanisms—</w:t>
      </w:r>
      <w:r w:rsidRPr="002565D3">
        <w:rPr>
          <w:rStyle w:val="Strong"/>
          <w:rFonts w:asciiTheme="majorBidi" w:hAnsiTheme="majorBidi" w:cstheme="majorBidi"/>
          <w:color w:val="000000" w:themeColor="text1"/>
          <w:sz w:val="24"/>
          <w:szCs w:val="24"/>
        </w:rPr>
        <w:t>Transparency–Trust, Accountability–Alignment, Inclusivity–Capability,</w:t>
      </w:r>
      <w:r w:rsidRPr="002565D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</w:t>
      </w:r>
      <w:r w:rsidRPr="002565D3">
        <w:rPr>
          <w:rStyle w:val="Strong"/>
          <w:rFonts w:asciiTheme="majorBidi" w:hAnsiTheme="majorBidi" w:cstheme="majorBidi"/>
          <w:color w:val="000000" w:themeColor="text1"/>
          <w:sz w:val="24"/>
          <w:szCs w:val="24"/>
        </w:rPr>
        <w:t>Sustainability–Value Creation</w:t>
      </w:r>
      <w:r w:rsidRPr="002565D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—form a continuous governance cycle. This cycle links </w:t>
      </w:r>
      <w:r w:rsidRPr="002565D3">
        <w:rPr>
          <w:rStyle w:val="Strong"/>
          <w:rFonts w:asciiTheme="majorBidi" w:hAnsiTheme="majorBidi" w:cstheme="majorBidi"/>
          <w:color w:val="000000" w:themeColor="text1"/>
          <w:sz w:val="24"/>
          <w:szCs w:val="24"/>
        </w:rPr>
        <w:t>ethical AI</w:t>
      </w:r>
      <w:r w:rsidRPr="002565D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with </w:t>
      </w:r>
      <w:r w:rsidRPr="002565D3">
        <w:rPr>
          <w:rStyle w:val="Strong"/>
          <w:rFonts w:asciiTheme="majorBidi" w:hAnsiTheme="majorBidi" w:cstheme="majorBidi"/>
          <w:color w:val="000000" w:themeColor="text1"/>
          <w:sz w:val="24"/>
          <w:szCs w:val="24"/>
        </w:rPr>
        <w:t>strategic knowledge management</w:t>
      </w:r>
      <w:r w:rsidRPr="002565D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, enabling organizations to transform compliance obligations into </w:t>
      </w:r>
      <w:r w:rsidRPr="002565D3">
        <w:rPr>
          <w:rStyle w:val="Strong"/>
          <w:rFonts w:asciiTheme="majorBidi" w:hAnsiTheme="majorBidi" w:cstheme="majorBidi"/>
          <w:color w:val="000000" w:themeColor="text1"/>
          <w:sz w:val="24"/>
          <w:szCs w:val="24"/>
        </w:rPr>
        <w:t>innovation capacity</w:t>
      </w:r>
      <w:r w:rsidRPr="002565D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and </w:t>
      </w:r>
      <w:r w:rsidRPr="002565D3">
        <w:rPr>
          <w:rStyle w:val="Strong"/>
          <w:rFonts w:asciiTheme="majorBidi" w:hAnsiTheme="majorBidi" w:cstheme="majorBidi"/>
          <w:color w:val="000000" w:themeColor="text1"/>
          <w:sz w:val="24"/>
          <w:szCs w:val="24"/>
        </w:rPr>
        <w:t>long-term societal value</w:t>
      </w:r>
      <w:r w:rsidRPr="002565D3">
        <w:rPr>
          <w:rFonts w:asciiTheme="majorBidi" w:hAnsiTheme="majorBidi" w:cstheme="majorBidi"/>
          <w:color w:val="000000" w:themeColor="text1"/>
          <w:sz w:val="24"/>
          <w:szCs w:val="24"/>
        </w:rPr>
        <w:t>.</w:t>
      </w:r>
      <w:r w:rsidRPr="002565D3">
        <w:rPr>
          <w:rFonts w:asciiTheme="majorBidi" w:hAnsiTheme="majorBidi" w:cstheme="majorBidi"/>
          <w:color w:val="000000" w:themeColor="text1"/>
          <w:sz w:val="24"/>
          <w:szCs w:val="24"/>
        </w:rPr>
        <w:br/>
        <w:t xml:space="preserve">By embedding these mechanisms into the </w:t>
      </w:r>
      <w:r w:rsidRPr="002565D3">
        <w:rPr>
          <w:rStyle w:val="Emphasis"/>
          <w:rFonts w:asciiTheme="majorBidi" w:hAnsiTheme="majorBidi" w:cstheme="majorBidi"/>
          <w:color w:val="000000" w:themeColor="text1"/>
          <w:sz w:val="24"/>
          <w:szCs w:val="24"/>
        </w:rPr>
        <w:t>knowledge–governance–innovation–value</w:t>
      </w:r>
      <w:r w:rsidRPr="002565D3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continuum, SEG-F positions ethical AI as both a managerial capability and a strategic resource for sustainable knowledge societies.</w:t>
      </w:r>
    </w:p>
    <w:p w:rsidR="0045687F" w:rsidRPr="002565D3" w:rsidRDefault="0045687F" w:rsidP="0045687F">
      <w:pPr>
        <w:rPr>
          <w:rFonts w:asciiTheme="majorBidi" w:eastAsia="Times New Roman" w:hAnsiTheme="majorBidi" w:cstheme="majorBidi"/>
          <w:b/>
          <w:bCs/>
          <w:color w:val="000000" w:themeColor="text1"/>
          <w:kern w:val="24"/>
          <w:sz w:val="24"/>
          <w:szCs w:val="24"/>
        </w:rPr>
      </w:pPr>
    </w:p>
    <w:p w:rsidR="00AA4597" w:rsidRPr="002565D3" w:rsidRDefault="00AA4597">
      <w:pPr>
        <w:rPr>
          <w:rStyle w:val="Strong"/>
          <w:rFonts w:asciiTheme="majorBidi" w:hAnsiTheme="majorBidi" w:cstheme="majorBidi"/>
          <w:color w:val="000000" w:themeColor="text1"/>
          <w:sz w:val="24"/>
          <w:szCs w:val="24"/>
        </w:rPr>
      </w:pPr>
      <w:r w:rsidRPr="002565D3">
        <w:rPr>
          <w:rStyle w:val="Strong"/>
          <w:rFonts w:asciiTheme="majorBidi" w:hAnsiTheme="majorBidi" w:cstheme="majorBidi"/>
          <w:color w:val="000000" w:themeColor="text1"/>
          <w:sz w:val="24"/>
          <w:szCs w:val="24"/>
        </w:rPr>
        <w:br w:type="page"/>
      </w:r>
    </w:p>
    <w:p w:rsidR="00AA4597" w:rsidRPr="002565D3" w:rsidRDefault="00AA4597" w:rsidP="0045687F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:rsidR="0045687F" w:rsidRDefault="00AA4597" w:rsidP="0045687F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  <w:r w:rsidRPr="002565D3">
        <w:rPr>
          <w:rFonts w:asciiTheme="majorBidi" w:hAnsiTheme="majorBidi" w:cstheme="majorBidi"/>
          <w:noProof/>
          <w:color w:val="000000" w:themeColor="text1"/>
          <w:sz w:val="24"/>
          <w:szCs w:val="24"/>
        </w:rPr>
        <w:drawing>
          <wp:inline distT="0" distB="0" distL="0" distR="0" wp14:anchorId="1F6DB6DA" wp14:editId="4F0C915A">
            <wp:extent cx="4857750" cy="4682331"/>
            <wp:effectExtent l="0" t="0" r="0" b="4445"/>
            <wp:docPr id="2" name="Picture 2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tGPT Image Oct 11, 2025, 10_10_56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183" cy="470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C5D" w:rsidRPr="00F70C5D" w:rsidRDefault="00F70C5D" w:rsidP="00F70C5D">
      <w:pPr>
        <w:pStyle w:val="Heading3"/>
        <w:rPr>
          <w:rFonts w:asciiTheme="majorBidi" w:hAnsiTheme="majorBidi"/>
          <w:color w:val="000000" w:themeColor="text1"/>
        </w:rPr>
      </w:pPr>
      <w:r w:rsidRPr="00F70C5D">
        <w:rPr>
          <w:rStyle w:val="Strong"/>
          <w:rFonts w:asciiTheme="majorBidi" w:hAnsiTheme="majorBidi"/>
          <w:color w:val="000000" w:themeColor="text1"/>
        </w:rPr>
        <w:t>Figure 5</w:t>
      </w:r>
      <w:r w:rsidRPr="00F70C5D">
        <w:rPr>
          <w:rStyle w:val="Strong"/>
          <w:rFonts w:asciiTheme="majorBidi" w:hAnsiTheme="majorBidi"/>
          <w:b w:val="0"/>
          <w:bCs w:val="0"/>
          <w:color w:val="000000" w:themeColor="text1"/>
        </w:rPr>
        <w:t>. Integrated Framework: From Pedagogically-</w:t>
      </w:r>
      <w:proofErr w:type="spellStart"/>
      <w:r w:rsidRPr="00F70C5D">
        <w:rPr>
          <w:rStyle w:val="Strong"/>
          <w:rFonts w:asciiTheme="majorBidi" w:hAnsiTheme="majorBidi"/>
          <w:b w:val="0"/>
          <w:bCs w:val="0"/>
          <w:color w:val="000000" w:themeColor="text1"/>
        </w:rPr>
        <w:t>Centred</w:t>
      </w:r>
      <w:proofErr w:type="spellEnd"/>
      <w:r w:rsidRPr="00F70C5D">
        <w:rPr>
          <w:rStyle w:val="Strong"/>
          <w:rFonts w:asciiTheme="majorBidi" w:hAnsiTheme="majorBidi"/>
          <w:b w:val="0"/>
          <w:bCs w:val="0"/>
          <w:color w:val="000000" w:themeColor="text1"/>
        </w:rPr>
        <w:t xml:space="preserve"> AI Governance (PCAG) to Sustainable Educational Governance Framework (SEG-F)</w:t>
      </w:r>
    </w:p>
    <w:p w:rsidR="00F70C5D" w:rsidRDefault="00F70C5D" w:rsidP="00F70C5D">
      <w:pPr>
        <w:pStyle w:val="NormalWeb"/>
      </w:pPr>
      <w:r>
        <w:rPr>
          <w:rStyle w:val="Emphasis"/>
        </w:rPr>
        <w:t>This integrative model illustrates the continuum between pedagogical micro-level governance and global macro-level coherence in ethical AI for education. The Pedagogically-</w:t>
      </w:r>
      <w:proofErr w:type="spellStart"/>
      <w:r>
        <w:rPr>
          <w:rStyle w:val="Emphasis"/>
        </w:rPr>
        <w:t>Centred</w:t>
      </w:r>
      <w:proofErr w:type="spellEnd"/>
      <w:r>
        <w:rPr>
          <w:rStyle w:val="Emphasis"/>
        </w:rPr>
        <w:t xml:space="preserve"> AI Governance (PCAG) model anchors ethics within teaching, learning, and capacity-building processes, positioning pedagogy as the operational core of ethical inclusion. These pedagogical mechanisms feed into the Sustainable Educational Governance Framework (SEG-F), which aligns technical, regulatory, and participatory infrastructures across global, sectoral, and local levels. Together, the two frameworks form a dynamic governance learning system that </w:t>
      </w:r>
      <w:proofErr w:type="spellStart"/>
      <w:r>
        <w:rPr>
          <w:rStyle w:val="Emphasis"/>
        </w:rPr>
        <w:t>operationalises</w:t>
      </w:r>
      <w:proofErr w:type="spellEnd"/>
      <w:r>
        <w:rPr>
          <w:rStyle w:val="Emphasis"/>
        </w:rPr>
        <w:t xml:space="preserve"> </w:t>
      </w:r>
      <w:proofErr w:type="spellStart"/>
      <w:r>
        <w:rPr>
          <w:rStyle w:val="Emphasis"/>
        </w:rPr>
        <w:t>Floridi’s</w:t>
      </w:r>
      <w:proofErr w:type="spellEnd"/>
      <w:r>
        <w:rPr>
          <w:rStyle w:val="Emphasis"/>
        </w:rPr>
        <w:t xml:space="preserve"> concept of the infosphere and Sen’s capability approach—transforming ethical AI from normative abstraction into an actionable architecture for sustainable knowledge societies.</w:t>
      </w:r>
    </w:p>
    <w:p w:rsidR="00F70C5D" w:rsidRPr="002565D3" w:rsidRDefault="00F70C5D" w:rsidP="0045687F">
      <w:pPr>
        <w:rPr>
          <w:rFonts w:asciiTheme="majorBidi" w:hAnsiTheme="majorBidi" w:cstheme="majorBidi"/>
          <w:color w:val="000000" w:themeColor="text1"/>
          <w:sz w:val="24"/>
          <w:szCs w:val="24"/>
        </w:rPr>
      </w:pPr>
    </w:p>
    <w:sectPr w:rsidR="00F70C5D" w:rsidRPr="002565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D707F"/>
    <w:multiLevelType w:val="hybridMultilevel"/>
    <w:tmpl w:val="EBEC6FAC"/>
    <w:lvl w:ilvl="0" w:tplc="B8A05A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8AFB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C66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4487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96D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1E85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1E2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3CF1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226F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49A45C6C"/>
    <w:multiLevelType w:val="multilevel"/>
    <w:tmpl w:val="D736E6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8E1"/>
    <w:rsid w:val="000C304A"/>
    <w:rsid w:val="0025464F"/>
    <w:rsid w:val="002565D3"/>
    <w:rsid w:val="00352D9B"/>
    <w:rsid w:val="00427418"/>
    <w:rsid w:val="0045687F"/>
    <w:rsid w:val="005910E2"/>
    <w:rsid w:val="006B02D3"/>
    <w:rsid w:val="009118E1"/>
    <w:rsid w:val="00A27432"/>
    <w:rsid w:val="00AA4597"/>
    <w:rsid w:val="00BC6A58"/>
    <w:rsid w:val="00DC6096"/>
    <w:rsid w:val="00EC6162"/>
    <w:rsid w:val="00F656D9"/>
    <w:rsid w:val="00F70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7D54FD"/>
  <w15:chartTrackingRefBased/>
  <w15:docId w15:val="{42EFAD8D-9727-499C-B908-B701DBD1C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304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10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0C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27432"/>
    <w:rPr>
      <w:b/>
      <w:bCs/>
    </w:rPr>
  </w:style>
  <w:style w:type="paragraph" w:customStyle="1" w:styleId="ds-markdown-paragraph">
    <w:name w:val="ds-markdown-paragraph"/>
    <w:basedOn w:val="Normal"/>
    <w:rsid w:val="00A27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PlainTable2">
    <w:name w:val="Plain Table 2"/>
    <w:basedOn w:val="TableNormal"/>
    <w:uiPriority w:val="42"/>
    <w:rsid w:val="00A2743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Emphasis">
    <w:name w:val="Emphasis"/>
    <w:basedOn w:val="DefaultParagraphFont"/>
    <w:uiPriority w:val="20"/>
    <w:qFormat/>
    <w:rsid w:val="00A2743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546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5687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5910E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0C30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0C5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41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dwimariyono</dc:creator>
  <cp:keywords/>
  <dc:description/>
  <cp:lastModifiedBy>dwimariyono</cp:lastModifiedBy>
  <cp:revision>12</cp:revision>
  <dcterms:created xsi:type="dcterms:W3CDTF">2025-10-10T11:48:00Z</dcterms:created>
  <dcterms:modified xsi:type="dcterms:W3CDTF">2025-10-14T13:25:00Z</dcterms:modified>
</cp:coreProperties>
</file>