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3013" w14:textId="77777777" w:rsidR="00920428" w:rsidRPr="009D04BB" w:rsidRDefault="00920428" w:rsidP="00920428">
      <w:pPr>
        <w:spacing w:line="360" w:lineRule="auto"/>
        <w:jc w:val="center"/>
        <w:rPr>
          <w:rFonts w:ascii="Times New Roman" w:hAnsi="Times New Roman" w:cs="Times New Roman"/>
          <w:b/>
          <w:bCs/>
          <w:color w:val="000000" w:themeColor="text1"/>
          <w:sz w:val="24"/>
          <w:szCs w:val="24"/>
        </w:rPr>
      </w:pPr>
      <w:bookmarkStart w:id="0" w:name="_Hlk204687153"/>
      <w:r w:rsidRPr="009D04BB">
        <w:rPr>
          <w:rFonts w:ascii="Times New Roman" w:hAnsi="Times New Roman" w:cs="Times New Roman"/>
          <w:b/>
          <w:bCs/>
          <w:color w:val="000000" w:themeColor="text1"/>
          <w:sz w:val="24"/>
          <w:szCs w:val="24"/>
        </w:rPr>
        <w:t>Supporting Information for</w:t>
      </w:r>
    </w:p>
    <w:p w14:paraId="1C109C05" w14:textId="77777777" w:rsidR="005A3937" w:rsidRPr="00CA6339" w:rsidRDefault="005A3937" w:rsidP="005A3937">
      <w:pPr>
        <w:spacing w:before="120" w:after="120" w:line="360" w:lineRule="auto"/>
        <w:outlineLvl w:val="0"/>
        <w:rPr>
          <w:rFonts w:ascii="Times New Roman" w:hAnsi="Times New Roman" w:cs="Times New Roman"/>
          <w:b/>
          <w:bCs/>
          <w:color w:val="000000" w:themeColor="text1"/>
          <w:sz w:val="24"/>
          <w:szCs w:val="24"/>
        </w:rPr>
      </w:pPr>
      <w:bookmarkStart w:id="1" w:name="_Hlk212727152"/>
      <w:bookmarkStart w:id="2" w:name="_Hlk211851966"/>
      <w:r w:rsidRPr="000D418F">
        <w:rPr>
          <w:rFonts w:ascii="Times New Roman" w:hAnsi="Times New Roman" w:cs="Times New Roman"/>
          <w:b/>
          <w:bCs/>
          <w:color w:val="000000" w:themeColor="text1"/>
          <w:sz w:val="24"/>
          <w:szCs w:val="24"/>
        </w:rPr>
        <w:t xml:space="preserve">Multiple </w:t>
      </w:r>
      <w:r>
        <w:rPr>
          <w:rFonts w:ascii="Times New Roman" w:hAnsi="Times New Roman" w:cs="Times New Roman"/>
          <w:b/>
          <w:bCs/>
          <w:color w:val="000000" w:themeColor="text1"/>
          <w:sz w:val="24"/>
          <w:szCs w:val="24"/>
        </w:rPr>
        <w:t>L</w:t>
      </w:r>
      <w:r w:rsidRPr="000D418F">
        <w:rPr>
          <w:rFonts w:ascii="Times New Roman" w:hAnsi="Times New Roman" w:cs="Times New Roman"/>
          <w:b/>
          <w:bCs/>
          <w:color w:val="000000" w:themeColor="text1"/>
          <w:sz w:val="24"/>
          <w:szCs w:val="24"/>
        </w:rPr>
        <w:t xml:space="preserve">ines of </w:t>
      </w:r>
      <w:r>
        <w:rPr>
          <w:rFonts w:ascii="Times New Roman" w:hAnsi="Times New Roman" w:cs="Times New Roman"/>
          <w:b/>
          <w:bCs/>
          <w:color w:val="000000" w:themeColor="text1"/>
          <w:sz w:val="24"/>
          <w:szCs w:val="24"/>
        </w:rPr>
        <w:t xml:space="preserve">Evidence Reveal Rapid, Seasonal Watershed Responses to Enhanced Weathering </w:t>
      </w:r>
    </w:p>
    <w:p w14:paraId="443E34CC" w14:textId="77777777" w:rsidR="005A3937" w:rsidRPr="00D9442A" w:rsidRDefault="005A3937" w:rsidP="005A3937">
      <w:pPr>
        <w:spacing w:before="120" w:after="120" w:line="480" w:lineRule="auto"/>
        <w:jc w:val="both"/>
        <w:rPr>
          <w:rFonts w:ascii="Times New Roman" w:hAnsi="Times New Roman" w:cs="Times New Roman"/>
        </w:rPr>
      </w:pPr>
      <w:bookmarkStart w:id="3" w:name="_Hlk176174916"/>
      <w:bookmarkEnd w:id="1"/>
      <w:r w:rsidRPr="00D9442A">
        <w:rPr>
          <w:rFonts w:ascii="Times New Roman" w:hAnsi="Times New Roman" w:cs="Times New Roman"/>
        </w:rPr>
        <w:t>Fengchao Sun</w:t>
      </w:r>
      <w:r w:rsidRPr="00D9442A">
        <w:rPr>
          <w:rFonts w:ascii="Times New Roman" w:hAnsi="Times New Roman" w:cs="Times New Roman"/>
          <w:vertAlign w:val="superscript"/>
        </w:rPr>
        <w:t>1</w:t>
      </w:r>
      <w:r>
        <w:rPr>
          <w:rFonts w:ascii="Times New Roman" w:hAnsi="Times New Roman" w:cs="Times New Roman"/>
          <w:vertAlign w:val="superscript"/>
        </w:rPr>
        <w:t>,2*</w:t>
      </w:r>
      <w:r w:rsidRPr="00D9442A">
        <w:rPr>
          <w:rFonts w:ascii="Times New Roman" w:hAnsi="Times New Roman" w:cs="Times New Roman"/>
        </w:rPr>
        <w:t xml:space="preserve">, </w:t>
      </w:r>
      <w:bookmarkStart w:id="4" w:name="_Hlk175565162"/>
      <w:bookmarkStart w:id="5" w:name="_Hlk175642176"/>
      <w:r w:rsidRPr="00D9442A">
        <w:rPr>
          <w:rFonts w:ascii="Times New Roman" w:hAnsi="Times New Roman" w:cs="Times New Roman"/>
        </w:rPr>
        <w:t>Rob</w:t>
      </w:r>
      <w:r>
        <w:rPr>
          <w:rFonts w:ascii="Times New Roman" w:hAnsi="Times New Roman" w:cs="Times New Roman"/>
        </w:rPr>
        <w:t>ert A.</w:t>
      </w:r>
      <w:r w:rsidRPr="00D9442A">
        <w:rPr>
          <w:rFonts w:ascii="Times New Roman" w:hAnsi="Times New Roman" w:cs="Times New Roman"/>
        </w:rPr>
        <w:t xml:space="preserve"> Rioux</w:t>
      </w:r>
      <w:r w:rsidRPr="00D9442A">
        <w:rPr>
          <w:rFonts w:ascii="Times New Roman" w:hAnsi="Times New Roman" w:cs="Times New Roman"/>
          <w:vertAlign w:val="superscript"/>
        </w:rPr>
        <w:t>1</w:t>
      </w:r>
      <w:r>
        <w:rPr>
          <w:rFonts w:ascii="Times New Roman" w:hAnsi="Times New Roman" w:cs="Times New Roman"/>
          <w:vertAlign w:val="superscript"/>
        </w:rPr>
        <w:t>,2</w:t>
      </w:r>
      <w:r w:rsidRPr="00D9442A">
        <w:rPr>
          <w:rFonts w:ascii="Times New Roman" w:hAnsi="Times New Roman" w:cs="Times New Roman"/>
        </w:rPr>
        <w:t xml:space="preserve">, </w:t>
      </w:r>
      <w:bookmarkEnd w:id="4"/>
      <w:r w:rsidRPr="001F6457">
        <w:rPr>
          <w:rFonts w:ascii="Times New Roman" w:hAnsi="Times New Roman" w:cs="Times New Roman"/>
        </w:rPr>
        <w:t>Tim Jesper Suhrhoff</w:t>
      </w:r>
      <w:r>
        <w:rPr>
          <w:rFonts w:ascii="Times New Roman" w:hAnsi="Times New Roman" w:cs="Times New Roman"/>
        </w:rPr>
        <w:t xml:space="preserve"> </w:t>
      </w:r>
      <w:r w:rsidRPr="008308CC">
        <w:rPr>
          <w:rFonts w:ascii="Times New Roman" w:hAnsi="Times New Roman" w:cs="Times New Roman"/>
          <w:vertAlign w:val="superscript"/>
        </w:rPr>
        <w:t>2</w:t>
      </w:r>
      <w:r w:rsidRPr="00D9442A">
        <w:rPr>
          <w:rFonts w:ascii="Times New Roman" w:hAnsi="Times New Roman" w:cs="Times New Roman"/>
          <w:vertAlign w:val="superscript"/>
        </w:rPr>
        <w:t>,</w:t>
      </w:r>
      <w:r>
        <w:rPr>
          <w:rFonts w:ascii="Times New Roman" w:hAnsi="Times New Roman" w:cs="Times New Roman"/>
          <w:vertAlign w:val="superscript"/>
        </w:rPr>
        <w:t>3</w:t>
      </w:r>
      <w:r w:rsidRPr="00D9442A">
        <w:rPr>
          <w:rFonts w:ascii="Times New Roman" w:hAnsi="Times New Roman" w:cs="Times New Roman"/>
        </w:rPr>
        <w:t>,</w:t>
      </w:r>
      <w:r>
        <w:rPr>
          <w:rFonts w:ascii="Times New Roman" w:hAnsi="Times New Roman" w:cs="Times New Roman"/>
        </w:rPr>
        <w:t xml:space="preserve"> </w:t>
      </w:r>
      <w:r w:rsidRPr="00D9442A">
        <w:rPr>
          <w:rFonts w:ascii="Times New Roman" w:hAnsi="Times New Roman" w:cs="Times New Roman"/>
        </w:rPr>
        <w:t>Wyatt Tatge</w:t>
      </w:r>
      <w:r w:rsidRPr="00740D01">
        <w:rPr>
          <w:rFonts w:ascii="Times New Roman" w:hAnsi="Times New Roman" w:cs="Times New Roman"/>
          <w:vertAlign w:val="superscript"/>
        </w:rPr>
        <w:t>1,2</w:t>
      </w:r>
      <w:r>
        <w:rPr>
          <w:rFonts w:ascii="Times New Roman" w:hAnsi="Times New Roman" w:cs="Times New Roman"/>
        </w:rPr>
        <w:t>,</w:t>
      </w:r>
      <w:r w:rsidRPr="006A4F31">
        <w:rPr>
          <w:rFonts w:ascii="Times New Roman" w:hAnsi="Times New Roman" w:cs="Times New Roman"/>
        </w:rPr>
        <w:t xml:space="preserve"> Boriana</w:t>
      </w:r>
      <w:r w:rsidRPr="006A4F31">
        <w:t xml:space="preserve"> </w:t>
      </w:r>
      <w:r w:rsidRPr="006A4F31">
        <w:rPr>
          <w:rFonts w:ascii="Times New Roman" w:hAnsi="Times New Roman" w:cs="Times New Roman"/>
        </w:rPr>
        <w:t>Kalderon</w:t>
      </w:r>
      <w:r>
        <w:rPr>
          <w:rFonts w:ascii="Times New Roman" w:hAnsi="Times New Roman" w:cs="Times New Roman"/>
        </w:rPr>
        <w:t>-</w:t>
      </w:r>
      <w:r w:rsidRPr="006A4F31">
        <w:rPr>
          <w:rFonts w:ascii="Times New Roman" w:hAnsi="Times New Roman" w:cs="Times New Roman"/>
        </w:rPr>
        <w:t>Asael</w:t>
      </w:r>
      <w:r w:rsidRPr="008308CC">
        <w:rPr>
          <w:rFonts w:ascii="Times New Roman" w:hAnsi="Times New Roman" w:cs="Times New Roman"/>
          <w:vertAlign w:val="superscript"/>
        </w:rPr>
        <w:t>2</w:t>
      </w:r>
      <w:r w:rsidRPr="00D9442A">
        <w:rPr>
          <w:rFonts w:ascii="Times New Roman" w:hAnsi="Times New Roman" w:cs="Times New Roman"/>
          <w:vertAlign w:val="superscript"/>
        </w:rPr>
        <w:t>,</w:t>
      </w:r>
      <w:r>
        <w:rPr>
          <w:rFonts w:ascii="Times New Roman" w:hAnsi="Times New Roman" w:cs="Times New Roman"/>
          <w:vertAlign w:val="superscript"/>
        </w:rPr>
        <w:t>3</w:t>
      </w:r>
      <w:r w:rsidRPr="006A4F31">
        <w:rPr>
          <w:rFonts w:ascii="Times New Roman" w:hAnsi="Times New Roman" w:cs="Times New Roman"/>
        </w:rPr>
        <w:t xml:space="preserve">, </w:t>
      </w:r>
      <w:r w:rsidRPr="00D9442A">
        <w:rPr>
          <w:rFonts w:ascii="Times New Roman" w:hAnsi="Times New Roman" w:cs="Times New Roman"/>
        </w:rPr>
        <w:t>Quinn Zacharias</w:t>
      </w:r>
      <w:r w:rsidRPr="00D9442A">
        <w:rPr>
          <w:rFonts w:ascii="Times New Roman" w:hAnsi="Times New Roman" w:cs="Times New Roman"/>
          <w:vertAlign w:val="superscript"/>
        </w:rPr>
        <w:t>1</w:t>
      </w:r>
      <w:r>
        <w:rPr>
          <w:rFonts w:ascii="Times New Roman" w:hAnsi="Times New Roman" w:cs="Times New Roman"/>
          <w:vertAlign w:val="superscript"/>
        </w:rPr>
        <w:t>,2</w:t>
      </w:r>
      <w:r>
        <w:rPr>
          <w:rFonts w:ascii="Times New Roman" w:hAnsi="Times New Roman" w:cs="Times New Roman"/>
        </w:rPr>
        <w:t xml:space="preserve">, </w:t>
      </w:r>
      <w:r w:rsidRPr="00D9442A">
        <w:rPr>
          <w:rFonts w:ascii="Times New Roman" w:hAnsi="Times New Roman" w:cs="Times New Roman"/>
        </w:rPr>
        <w:t xml:space="preserve">William </w:t>
      </w:r>
      <w:r>
        <w:rPr>
          <w:rFonts w:ascii="Times New Roman" w:hAnsi="Times New Roman" w:cs="Times New Roman"/>
        </w:rPr>
        <w:t xml:space="preserve">A. </w:t>
      </w:r>
      <w:r w:rsidRPr="00D9442A">
        <w:rPr>
          <w:rFonts w:ascii="Times New Roman" w:hAnsi="Times New Roman" w:cs="Times New Roman"/>
        </w:rPr>
        <w:t>Miller</w:t>
      </w:r>
      <w:r>
        <w:rPr>
          <w:rFonts w:ascii="Times New Roman" w:hAnsi="Times New Roman" w:cs="Times New Roman"/>
        </w:rPr>
        <w:t>-Brown</w:t>
      </w:r>
      <w:r w:rsidRPr="00D9442A">
        <w:rPr>
          <w:rFonts w:ascii="Times New Roman" w:hAnsi="Times New Roman" w:cs="Times New Roman"/>
          <w:vertAlign w:val="superscript"/>
        </w:rPr>
        <w:t>1</w:t>
      </w:r>
      <w:r>
        <w:rPr>
          <w:rFonts w:ascii="Times New Roman" w:hAnsi="Times New Roman" w:cs="Times New Roman"/>
          <w:vertAlign w:val="superscript"/>
        </w:rPr>
        <w:t>,2</w:t>
      </w:r>
      <w:r w:rsidRPr="00D9442A">
        <w:rPr>
          <w:rFonts w:ascii="Times New Roman" w:hAnsi="Times New Roman" w:cs="Times New Roman"/>
        </w:rPr>
        <w:t>,</w:t>
      </w:r>
      <w:r w:rsidRPr="006A4F31">
        <w:rPr>
          <w:rFonts w:ascii="Times New Roman" w:hAnsi="Times New Roman" w:cs="Times New Roman"/>
        </w:rPr>
        <w:t xml:space="preserve"> </w:t>
      </w:r>
      <w:r>
        <w:rPr>
          <w:rFonts w:ascii="Times New Roman" w:hAnsi="Times New Roman" w:cs="Times New Roman"/>
        </w:rPr>
        <w:t>Aaron A. MacDonald</w:t>
      </w:r>
      <w:r w:rsidRPr="007D049A">
        <w:rPr>
          <w:rFonts w:ascii="Times New Roman" w:hAnsi="Times New Roman" w:cs="Times New Roman"/>
          <w:vertAlign w:val="superscript"/>
        </w:rPr>
        <w:t>1,2,</w:t>
      </w:r>
      <w:r>
        <w:rPr>
          <w:rFonts w:ascii="Times New Roman" w:hAnsi="Times New Roman" w:cs="Times New Roman"/>
          <w:vertAlign w:val="superscript"/>
        </w:rPr>
        <w:t>4</w:t>
      </w:r>
      <w:r>
        <w:rPr>
          <w:rFonts w:ascii="Times New Roman" w:hAnsi="Times New Roman" w:cs="Times New Roman"/>
        </w:rPr>
        <w:t>, Esmeralda Garcia</w:t>
      </w:r>
      <w:r w:rsidRPr="007D049A">
        <w:rPr>
          <w:rFonts w:ascii="Times New Roman" w:hAnsi="Times New Roman" w:cs="Times New Roman"/>
          <w:vertAlign w:val="superscript"/>
        </w:rPr>
        <w:t>1,2,</w:t>
      </w:r>
      <w:r>
        <w:rPr>
          <w:rFonts w:ascii="Times New Roman" w:hAnsi="Times New Roman" w:cs="Times New Roman"/>
          <w:vertAlign w:val="superscript"/>
        </w:rPr>
        <w:t>5</w:t>
      </w:r>
      <w:r>
        <w:rPr>
          <w:rFonts w:ascii="Times New Roman" w:hAnsi="Times New Roman" w:cs="Times New Roman"/>
        </w:rPr>
        <w:t xml:space="preserve">, </w:t>
      </w:r>
      <w:bookmarkEnd w:id="5"/>
      <w:r w:rsidRPr="00D9442A">
        <w:rPr>
          <w:rFonts w:ascii="Times New Roman" w:hAnsi="Times New Roman" w:cs="Times New Roman"/>
        </w:rPr>
        <w:t>James B. Shanley</w:t>
      </w:r>
      <w:r>
        <w:rPr>
          <w:rFonts w:ascii="Times New Roman" w:hAnsi="Times New Roman" w:cs="Times New Roman"/>
          <w:vertAlign w:val="superscript"/>
        </w:rPr>
        <w:t>6</w:t>
      </w:r>
      <w:r w:rsidRPr="00D9442A">
        <w:rPr>
          <w:rFonts w:ascii="Times New Roman" w:hAnsi="Times New Roman" w:cs="Times New Roman"/>
        </w:rPr>
        <w:t xml:space="preserve">, Peter </w:t>
      </w:r>
      <w:r>
        <w:rPr>
          <w:rFonts w:ascii="Times New Roman" w:hAnsi="Times New Roman" w:cs="Times New Roman"/>
        </w:rPr>
        <w:t xml:space="preserve">A. </w:t>
      </w:r>
      <w:r w:rsidRPr="00D9442A">
        <w:rPr>
          <w:rFonts w:ascii="Times New Roman" w:hAnsi="Times New Roman" w:cs="Times New Roman"/>
        </w:rPr>
        <w:t>Raymond</w:t>
      </w:r>
      <w:r w:rsidRPr="00D9442A">
        <w:rPr>
          <w:rFonts w:ascii="Times New Roman" w:hAnsi="Times New Roman" w:cs="Times New Roman"/>
          <w:vertAlign w:val="superscript"/>
        </w:rPr>
        <w:t>1</w:t>
      </w:r>
      <w:r>
        <w:rPr>
          <w:rFonts w:ascii="Times New Roman" w:hAnsi="Times New Roman" w:cs="Times New Roman"/>
          <w:vertAlign w:val="superscript"/>
        </w:rPr>
        <w:t>,2</w:t>
      </w:r>
      <w:r w:rsidRPr="00D9442A">
        <w:rPr>
          <w:rFonts w:ascii="Times New Roman" w:hAnsi="Times New Roman" w:cs="Times New Roman"/>
        </w:rPr>
        <w:t xml:space="preserve">, Noah </w:t>
      </w:r>
      <w:r>
        <w:rPr>
          <w:rFonts w:ascii="Times New Roman" w:hAnsi="Times New Roman" w:cs="Times New Roman"/>
        </w:rPr>
        <w:t xml:space="preserve">J. </w:t>
      </w:r>
      <w:r w:rsidRPr="00D9442A">
        <w:rPr>
          <w:rFonts w:ascii="Times New Roman" w:hAnsi="Times New Roman" w:cs="Times New Roman"/>
        </w:rPr>
        <w:t>Planavsky</w:t>
      </w:r>
      <w:r w:rsidRPr="005F0AEB">
        <w:rPr>
          <w:rFonts w:ascii="Times New Roman" w:hAnsi="Times New Roman" w:cs="Times New Roman"/>
          <w:vertAlign w:val="superscript"/>
        </w:rPr>
        <w:t>2</w:t>
      </w:r>
      <w:r>
        <w:rPr>
          <w:rFonts w:ascii="Times New Roman" w:hAnsi="Times New Roman" w:cs="Times New Roman"/>
          <w:vertAlign w:val="superscript"/>
        </w:rPr>
        <w:t>,3</w:t>
      </w:r>
      <w:r w:rsidRPr="00D9442A">
        <w:rPr>
          <w:rFonts w:ascii="Times New Roman" w:hAnsi="Times New Roman" w:cs="Times New Roman"/>
        </w:rPr>
        <w:t>, James</w:t>
      </w:r>
      <w:r>
        <w:rPr>
          <w:rFonts w:ascii="Times New Roman" w:hAnsi="Times New Roman" w:cs="Times New Roman"/>
        </w:rPr>
        <w:t xml:space="preserve"> E.</w:t>
      </w:r>
      <w:r w:rsidRPr="00D9442A">
        <w:rPr>
          <w:rFonts w:ascii="Times New Roman" w:hAnsi="Times New Roman" w:cs="Times New Roman"/>
        </w:rPr>
        <w:t xml:space="preserve"> Saiers</w:t>
      </w:r>
      <w:r w:rsidRPr="00D9442A">
        <w:rPr>
          <w:rFonts w:ascii="Times New Roman" w:hAnsi="Times New Roman" w:cs="Times New Roman"/>
          <w:vertAlign w:val="superscript"/>
        </w:rPr>
        <w:t>1</w:t>
      </w:r>
      <w:r>
        <w:rPr>
          <w:rFonts w:ascii="Times New Roman" w:hAnsi="Times New Roman" w:cs="Times New Roman"/>
          <w:vertAlign w:val="superscript"/>
        </w:rPr>
        <w:t>,2</w:t>
      </w:r>
    </w:p>
    <w:bookmarkEnd w:id="3"/>
    <w:p w14:paraId="217C4CCE" w14:textId="77777777" w:rsidR="005A3937" w:rsidRDefault="005A3937" w:rsidP="005A3937">
      <w:pPr>
        <w:spacing w:before="120" w:after="120" w:line="480" w:lineRule="auto"/>
        <w:jc w:val="both"/>
        <w:rPr>
          <w:rFonts w:ascii="Times New Roman" w:hAnsi="Times New Roman" w:cs="Times New Roman"/>
        </w:rPr>
      </w:pPr>
      <w:r w:rsidRPr="00D9442A">
        <w:rPr>
          <w:rFonts w:ascii="Times New Roman" w:hAnsi="Times New Roman" w:cs="Times New Roman"/>
          <w:vertAlign w:val="superscript"/>
        </w:rPr>
        <w:t xml:space="preserve">1 </w:t>
      </w:r>
      <w:r w:rsidRPr="00D9442A">
        <w:rPr>
          <w:rFonts w:ascii="Times New Roman" w:hAnsi="Times New Roman" w:cs="Times New Roman"/>
        </w:rPr>
        <w:t>School of the Environment, Yale University, New Haven, CT, 06511, USA</w:t>
      </w:r>
    </w:p>
    <w:p w14:paraId="389B3462" w14:textId="77777777" w:rsidR="005A3937" w:rsidRDefault="005A3937" w:rsidP="005A3937">
      <w:pPr>
        <w:spacing w:before="120" w:after="120" w:line="480" w:lineRule="auto"/>
        <w:jc w:val="both"/>
        <w:rPr>
          <w:rFonts w:ascii="Times New Roman" w:hAnsi="Times New Roman" w:cs="Times New Roman"/>
        </w:rPr>
      </w:pPr>
      <w:r w:rsidRPr="00254A5A">
        <w:rPr>
          <w:rFonts w:ascii="Times New Roman" w:hAnsi="Times New Roman" w:cs="Times New Roman"/>
          <w:vertAlign w:val="superscript"/>
        </w:rPr>
        <w:t>2</w:t>
      </w:r>
      <w:r>
        <w:rPr>
          <w:rFonts w:ascii="Times New Roman" w:hAnsi="Times New Roman" w:cs="Times New Roman"/>
        </w:rPr>
        <w:t xml:space="preserve"> Yale Center for Natural Carbon Capture, Yale University, New Haven, CT, 06511, USA</w:t>
      </w:r>
    </w:p>
    <w:p w14:paraId="35355A43" w14:textId="77777777" w:rsidR="005A3937" w:rsidRDefault="005A3937" w:rsidP="005A3937">
      <w:pPr>
        <w:spacing w:before="120" w:after="120" w:line="480" w:lineRule="auto"/>
        <w:jc w:val="both"/>
        <w:rPr>
          <w:rFonts w:ascii="Times New Roman" w:hAnsi="Times New Roman" w:cs="Times New Roman"/>
        </w:rPr>
      </w:pPr>
      <w:r>
        <w:rPr>
          <w:rFonts w:ascii="Times New Roman" w:hAnsi="Times New Roman" w:cs="Times New Roman"/>
          <w:vertAlign w:val="superscript"/>
        </w:rPr>
        <w:t>3</w:t>
      </w:r>
      <w:r w:rsidRPr="005F0AEB">
        <w:rPr>
          <w:rFonts w:ascii="Times New Roman" w:hAnsi="Times New Roman" w:cs="Times New Roman"/>
        </w:rPr>
        <w:t xml:space="preserve"> Department of Earth and Planetary Sciences</w:t>
      </w:r>
      <w:r w:rsidRPr="00D9442A">
        <w:rPr>
          <w:rFonts w:ascii="Times New Roman" w:hAnsi="Times New Roman" w:cs="Times New Roman"/>
        </w:rPr>
        <w:t>, Yale University, New Haven, CT, 06511, USA</w:t>
      </w:r>
    </w:p>
    <w:bookmarkEnd w:id="2"/>
    <w:p w14:paraId="5AD47AD4" w14:textId="77777777" w:rsidR="005A3937" w:rsidRDefault="005A3937" w:rsidP="005A3937">
      <w:pPr>
        <w:spacing w:before="120" w:after="120" w:line="480" w:lineRule="auto"/>
        <w:jc w:val="both"/>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Earth and Environmental Science Department, University of Illinois-Chicago, Chicago, IL, 60607, USA</w:t>
      </w:r>
    </w:p>
    <w:p w14:paraId="24790397" w14:textId="77777777" w:rsidR="005A3937" w:rsidRPr="00664425" w:rsidRDefault="005A3937" w:rsidP="005A3937">
      <w:pPr>
        <w:spacing w:before="120" w:after="120" w:line="480" w:lineRule="auto"/>
        <w:jc w:val="both"/>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McCormick School of Engineering, Northwestern University, Evanston, IL, 60208, USA</w:t>
      </w:r>
    </w:p>
    <w:p w14:paraId="59A0BC39" w14:textId="6E784DA7" w:rsidR="00B7047D" w:rsidRPr="009D04BB" w:rsidRDefault="005A3937" w:rsidP="005A3937">
      <w:pPr>
        <w:spacing w:before="120" w:after="120" w:line="480" w:lineRule="auto"/>
        <w:jc w:val="both"/>
        <w:rPr>
          <w:rFonts w:ascii="Times New Roman" w:hAnsi="Times New Roman" w:cs="Times New Roman"/>
          <w:color w:val="000000" w:themeColor="text1"/>
        </w:rPr>
      </w:pPr>
      <w:r>
        <w:rPr>
          <w:rFonts w:ascii="Times New Roman" w:hAnsi="Times New Roman" w:cs="Times New Roman"/>
          <w:vertAlign w:val="superscript"/>
        </w:rPr>
        <w:t>6</w:t>
      </w:r>
      <w:r w:rsidRPr="005F0AEB">
        <w:rPr>
          <w:rFonts w:ascii="Times New Roman" w:hAnsi="Times New Roman" w:cs="Times New Roman"/>
        </w:rPr>
        <w:t xml:space="preserve"> </w:t>
      </w:r>
      <w:r w:rsidRPr="00D9442A">
        <w:rPr>
          <w:rFonts w:ascii="Times New Roman" w:hAnsi="Times New Roman" w:cs="Times New Roman"/>
        </w:rPr>
        <w:t>U.S. Geological Survey</w:t>
      </w:r>
      <w:r>
        <w:rPr>
          <w:rFonts w:ascii="Times New Roman" w:hAnsi="Times New Roman" w:cs="Times New Roman"/>
        </w:rPr>
        <w:t>,</w:t>
      </w:r>
      <w:r w:rsidRPr="00D9442A">
        <w:rPr>
          <w:rFonts w:ascii="Times New Roman" w:hAnsi="Times New Roman" w:cs="Times New Roman"/>
        </w:rPr>
        <w:t xml:space="preserve"> New England Water Science Center, Montpelier, VT, 05602, USA</w:t>
      </w:r>
    </w:p>
    <w:bookmarkEnd w:id="0" w:displacedByCustomXml="next"/>
    <w:sdt>
      <w:sdtPr>
        <w:rPr>
          <w:rFonts w:ascii="Times New Roman" w:eastAsiaTheme="minorHAnsi" w:hAnsi="Times New Roman" w:cs="Times New Roman"/>
          <w:b/>
          <w:bCs/>
          <w:color w:val="000000" w:themeColor="text1"/>
          <w:kern w:val="2"/>
          <w:sz w:val="22"/>
          <w:szCs w:val="22"/>
          <w14:ligatures w14:val="standardContextual"/>
        </w:rPr>
        <w:id w:val="626585819"/>
        <w:docPartObj>
          <w:docPartGallery w:val="Table of Contents"/>
          <w:docPartUnique/>
        </w:docPartObj>
      </w:sdtPr>
      <w:sdtEndPr>
        <w:rPr>
          <w:b w:val="0"/>
          <w:bCs w:val="0"/>
          <w:noProof/>
        </w:rPr>
      </w:sdtEndPr>
      <w:sdtContent>
        <w:p w14:paraId="47C5EA10" w14:textId="52060B26" w:rsidR="009D04BB" w:rsidRPr="009D04BB" w:rsidRDefault="009D04BB" w:rsidP="009D04BB">
          <w:pPr>
            <w:pStyle w:val="TOCHeading"/>
            <w:rPr>
              <w:rFonts w:ascii="Times New Roman" w:hAnsi="Times New Roman" w:cs="Times New Roman"/>
              <w:color w:val="000000" w:themeColor="text1"/>
              <w:sz w:val="22"/>
              <w:szCs w:val="22"/>
            </w:rPr>
          </w:pPr>
          <w:r w:rsidRPr="009D04BB">
            <w:rPr>
              <w:rFonts w:ascii="Times New Roman" w:hAnsi="Times New Roman" w:cs="Times New Roman"/>
              <w:b/>
              <w:bCs/>
              <w:color w:val="000000" w:themeColor="text1"/>
              <w:sz w:val="22"/>
              <w:szCs w:val="22"/>
            </w:rPr>
            <w:t>Table of Contents</w:t>
          </w:r>
          <w:r w:rsidRPr="009D04BB">
            <w:rPr>
              <w:rFonts w:ascii="Times New Roman" w:hAnsi="Times New Roman" w:cs="Times New Roman"/>
              <w:color w:val="000000" w:themeColor="text1"/>
            </w:rPr>
            <w:fldChar w:fldCharType="begin"/>
          </w:r>
          <w:r w:rsidRPr="009D04BB">
            <w:rPr>
              <w:rFonts w:ascii="Times New Roman" w:hAnsi="Times New Roman" w:cs="Times New Roman"/>
              <w:color w:val="000000" w:themeColor="text1"/>
            </w:rPr>
            <w:instrText xml:space="preserve"> TOC \o "1-3" \h \z \u </w:instrText>
          </w:r>
          <w:r w:rsidRPr="009D04BB">
            <w:rPr>
              <w:rFonts w:ascii="Times New Roman" w:hAnsi="Times New Roman" w:cs="Times New Roman"/>
              <w:color w:val="000000" w:themeColor="text1"/>
            </w:rPr>
            <w:fldChar w:fldCharType="separate"/>
          </w:r>
          <w:hyperlink w:anchor="_Toc214992216" w:history="1"/>
        </w:p>
        <w:p w14:paraId="0EB153A3" w14:textId="4E444821" w:rsidR="009D04BB" w:rsidRPr="009D04BB" w:rsidRDefault="009D04BB">
          <w:pPr>
            <w:pStyle w:val="TOC2"/>
            <w:tabs>
              <w:tab w:val="right" w:leader="dot" w:pos="9350"/>
            </w:tabs>
            <w:rPr>
              <w:rFonts w:ascii="Times New Roman" w:eastAsiaTheme="minorEastAsia" w:hAnsi="Times New Roman" w:cs="Times New Roman"/>
              <w:noProof/>
              <w:color w:val="000000" w:themeColor="text1"/>
              <w:sz w:val="24"/>
              <w:szCs w:val="24"/>
            </w:rPr>
          </w:pPr>
          <w:hyperlink w:anchor="_Toc214992217" w:history="1">
            <w:r w:rsidRPr="009D04BB">
              <w:rPr>
                <w:rStyle w:val="Hyperlink"/>
                <w:rFonts w:ascii="Times New Roman" w:hAnsi="Times New Roman" w:cs="Times New Roman"/>
                <w:noProof/>
                <w:color w:val="000000" w:themeColor="text1"/>
              </w:rPr>
              <w:t>Figure S1. Streamwater concentration changes before and after basalt application..</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2</w:t>
            </w:r>
          </w:hyperlink>
        </w:p>
        <w:p w14:paraId="43E2564D" w14:textId="6DFA7AC5" w:rsidR="009D04BB" w:rsidRPr="009D04BB" w:rsidRDefault="009D04BB">
          <w:pPr>
            <w:pStyle w:val="TOC2"/>
            <w:tabs>
              <w:tab w:val="right" w:leader="dot" w:pos="9350"/>
            </w:tabs>
            <w:rPr>
              <w:rFonts w:ascii="Times New Roman" w:eastAsiaTheme="minorEastAsia" w:hAnsi="Times New Roman" w:cs="Times New Roman"/>
              <w:noProof/>
              <w:color w:val="000000" w:themeColor="text1"/>
              <w:sz w:val="24"/>
              <w:szCs w:val="24"/>
            </w:rPr>
          </w:pPr>
          <w:hyperlink w:anchor="_Toc214992218" w:history="1">
            <w:r w:rsidRPr="009D04BB">
              <w:rPr>
                <w:rStyle w:val="Hyperlink"/>
                <w:rFonts w:ascii="Times New Roman" w:hAnsi="Times New Roman" w:cs="Times New Roman"/>
                <w:noProof/>
                <w:color w:val="000000" w:themeColor="text1"/>
              </w:rPr>
              <w:t>Figure S2. Streamwater concentration-discharge (</w:t>
            </w:r>
            <w:r w:rsidRPr="009D04BB">
              <w:rPr>
                <w:rStyle w:val="Hyperlink"/>
                <w:rFonts w:ascii="Times New Roman" w:hAnsi="Times New Roman" w:cs="Times New Roman"/>
                <w:i/>
                <w:iCs/>
                <w:noProof/>
                <w:color w:val="000000" w:themeColor="text1"/>
              </w:rPr>
              <w:t>C-Q</w:t>
            </w:r>
            <w:r w:rsidRPr="009D04BB">
              <w:rPr>
                <w:rStyle w:val="Hyperlink"/>
                <w:rFonts w:ascii="Times New Roman" w:hAnsi="Times New Roman" w:cs="Times New Roman"/>
                <w:noProof/>
                <w:color w:val="000000" w:themeColor="text1"/>
              </w:rPr>
              <w:t>) relations at W-2 before basalt application (open circles, from May 2022 to June 2023) and for the two-year period following basalt application (solid squares, from July 2023 to April 2025)..</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3</w:t>
            </w:r>
          </w:hyperlink>
        </w:p>
        <w:p w14:paraId="5D15A9C1" w14:textId="097D9534" w:rsidR="009D04BB" w:rsidRPr="009D04BB" w:rsidRDefault="009D04BB">
          <w:pPr>
            <w:pStyle w:val="TOC2"/>
            <w:tabs>
              <w:tab w:val="right" w:leader="dot" w:pos="9350"/>
            </w:tabs>
            <w:rPr>
              <w:rFonts w:ascii="Times New Roman" w:eastAsiaTheme="minorEastAsia" w:hAnsi="Times New Roman" w:cs="Times New Roman"/>
              <w:noProof/>
              <w:color w:val="000000" w:themeColor="text1"/>
              <w:sz w:val="24"/>
              <w:szCs w:val="24"/>
            </w:rPr>
          </w:pPr>
          <w:hyperlink w:anchor="_Toc214992219" w:history="1">
            <w:r w:rsidRPr="009D04BB">
              <w:rPr>
                <w:rStyle w:val="Hyperlink"/>
                <w:rFonts w:ascii="Times New Roman" w:hAnsi="Times New Roman" w:cs="Times New Roman"/>
                <w:noProof/>
                <w:color w:val="000000" w:themeColor="text1"/>
              </w:rPr>
              <w:t>Figure S3. Streamwater Na-normalized elemental ratios (molar ratio) before (open circles) and after (solid squares) basalt application..</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4</w:t>
            </w:r>
          </w:hyperlink>
        </w:p>
        <w:p w14:paraId="231E2C87" w14:textId="6D3CF5D0" w:rsidR="009D04BB" w:rsidRPr="009D04BB" w:rsidRDefault="009D04BB">
          <w:pPr>
            <w:pStyle w:val="TOC2"/>
            <w:tabs>
              <w:tab w:val="right" w:leader="dot" w:pos="9350"/>
            </w:tabs>
            <w:rPr>
              <w:rFonts w:ascii="Times New Roman" w:eastAsiaTheme="minorEastAsia" w:hAnsi="Times New Roman" w:cs="Times New Roman"/>
              <w:noProof/>
              <w:color w:val="000000" w:themeColor="text1"/>
              <w:sz w:val="24"/>
              <w:szCs w:val="24"/>
            </w:rPr>
          </w:pPr>
          <w:hyperlink w:anchor="_Toc214992220" w:history="1">
            <w:r w:rsidRPr="009D04BB">
              <w:rPr>
                <w:rStyle w:val="Hyperlink"/>
                <w:rFonts w:ascii="Times New Roman" w:hAnsi="Times New Roman" w:cs="Times New Roman"/>
                <w:noProof/>
                <w:color w:val="000000" w:themeColor="text1"/>
              </w:rPr>
              <w:t>Figure S4. δ</w:t>
            </w:r>
            <w:r w:rsidRPr="009D04BB">
              <w:rPr>
                <w:rStyle w:val="Hyperlink"/>
                <w:rFonts w:ascii="Times New Roman" w:hAnsi="Times New Roman" w:cs="Times New Roman"/>
                <w:noProof/>
                <w:color w:val="000000" w:themeColor="text1"/>
                <w:vertAlign w:val="superscript"/>
              </w:rPr>
              <w:t>7</w:t>
            </w:r>
            <w:r w:rsidRPr="009D04BB">
              <w:rPr>
                <w:rStyle w:val="Hyperlink"/>
                <w:rFonts w:ascii="Times New Roman" w:hAnsi="Times New Roman" w:cs="Times New Roman"/>
                <w:noProof/>
                <w:color w:val="000000" w:themeColor="text1"/>
              </w:rPr>
              <w:t>Li isotope values measured in streamwater samples collected before (blue circle) and after (red square) basalt application..</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4</w:t>
            </w:r>
          </w:hyperlink>
        </w:p>
        <w:p w14:paraId="579F0198" w14:textId="6D44E15A" w:rsidR="009D04BB" w:rsidRPr="009D04BB" w:rsidRDefault="009D04BB">
          <w:pPr>
            <w:pStyle w:val="TOC2"/>
            <w:tabs>
              <w:tab w:val="right" w:leader="dot" w:pos="9350"/>
            </w:tabs>
            <w:rPr>
              <w:rFonts w:ascii="Times New Roman" w:eastAsiaTheme="minorEastAsia" w:hAnsi="Times New Roman" w:cs="Times New Roman"/>
              <w:noProof/>
              <w:color w:val="000000" w:themeColor="text1"/>
              <w:sz w:val="24"/>
              <w:szCs w:val="24"/>
            </w:rPr>
          </w:pPr>
          <w:hyperlink w:anchor="_Toc214992221" w:history="1">
            <w:r w:rsidRPr="009D04BB">
              <w:rPr>
                <w:rStyle w:val="Hyperlink"/>
                <w:rFonts w:ascii="Times New Roman" w:hAnsi="Times New Roman" w:cs="Times New Roman"/>
                <w:noProof/>
                <w:color w:val="000000" w:themeColor="text1"/>
              </w:rPr>
              <w:t>Figure S5. Temporal dynamics of the ERW treatment effects and solute export rates..</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5</w:t>
            </w:r>
          </w:hyperlink>
        </w:p>
        <w:p w14:paraId="0A0D1A29" w14:textId="26BCB364" w:rsidR="009D04BB" w:rsidRPr="009D04BB" w:rsidRDefault="009D04BB">
          <w:pPr>
            <w:pStyle w:val="TOC2"/>
            <w:tabs>
              <w:tab w:val="right" w:leader="dot" w:pos="9350"/>
            </w:tabs>
            <w:rPr>
              <w:rFonts w:ascii="Times New Roman" w:eastAsiaTheme="minorEastAsia" w:hAnsi="Times New Roman" w:cs="Times New Roman"/>
              <w:noProof/>
              <w:color w:val="000000" w:themeColor="text1"/>
              <w:sz w:val="24"/>
              <w:szCs w:val="24"/>
            </w:rPr>
          </w:pPr>
          <w:hyperlink w:anchor="_Toc214992222" w:history="1">
            <w:r w:rsidRPr="009D04BB">
              <w:rPr>
                <w:rStyle w:val="Hyperlink"/>
                <w:rFonts w:ascii="Times New Roman" w:hAnsi="Times New Roman" w:cs="Times New Roman"/>
                <w:noProof/>
                <w:color w:val="000000" w:themeColor="text1"/>
              </w:rPr>
              <w:t>Figure S6 Quick- and slow-flow fractions vs. discharge, with fitted concentration-discharge relations for the pre-basalt application period (January 2008–May 2017 and May 2022–Jun</w:t>
            </w:r>
            <w:r w:rsidR="00804768">
              <w:rPr>
                <w:rStyle w:val="Hyperlink"/>
                <w:rFonts w:ascii="Times New Roman" w:hAnsi="Times New Roman" w:cs="Times New Roman"/>
                <w:noProof/>
                <w:color w:val="000000" w:themeColor="text1"/>
              </w:rPr>
              <w:t>e</w:t>
            </w:r>
            <w:r w:rsidRPr="009D04BB">
              <w:rPr>
                <w:rStyle w:val="Hyperlink"/>
                <w:rFonts w:ascii="Times New Roman" w:hAnsi="Times New Roman" w:cs="Times New Roman"/>
                <w:noProof/>
                <w:color w:val="000000" w:themeColor="text1"/>
              </w:rPr>
              <w:t xml:space="preserve"> 2023)..</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6</w:t>
            </w:r>
          </w:hyperlink>
        </w:p>
        <w:p w14:paraId="33B146A0" w14:textId="15FE222A" w:rsidR="009D04BB" w:rsidRPr="009D04BB" w:rsidRDefault="009D04BB">
          <w:pPr>
            <w:pStyle w:val="TOC2"/>
            <w:tabs>
              <w:tab w:val="right" w:leader="dot" w:pos="9350"/>
            </w:tabs>
            <w:rPr>
              <w:rFonts w:ascii="Times New Roman" w:eastAsiaTheme="minorEastAsia" w:hAnsi="Times New Roman" w:cs="Times New Roman"/>
              <w:noProof/>
              <w:color w:val="000000" w:themeColor="text1"/>
              <w:sz w:val="24"/>
              <w:szCs w:val="24"/>
            </w:rPr>
          </w:pPr>
          <w:hyperlink w:anchor="_Toc214992223" w:history="1">
            <w:r w:rsidRPr="009D04BB">
              <w:rPr>
                <w:rStyle w:val="Hyperlink"/>
                <w:rFonts w:ascii="Times New Roman" w:hAnsi="Times New Roman" w:cs="Times New Roman"/>
                <w:noProof/>
                <w:color w:val="000000" w:themeColor="text1"/>
              </w:rPr>
              <w:t>Figure S7. Seasonal concentration-discharge (C-Q) relations and estimated concentrations of slow-/quick-flow endmembers pre- and post-basalt application..</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6</w:t>
            </w:r>
          </w:hyperlink>
        </w:p>
        <w:p w14:paraId="26D4B5D6" w14:textId="3079D7AE" w:rsidR="009D04BB" w:rsidRPr="005A3937" w:rsidRDefault="009D04BB" w:rsidP="005A3937">
          <w:pPr>
            <w:pStyle w:val="TOC2"/>
            <w:tabs>
              <w:tab w:val="right" w:leader="dot" w:pos="9350"/>
            </w:tabs>
            <w:rPr>
              <w:rFonts w:ascii="Times New Roman" w:eastAsiaTheme="minorEastAsia" w:hAnsi="Times New Roman" w:cs="Times New Roman"/>
              <w:color w:val="000000" w:themeColor="text1"/>
              <w:sz w:val="24"/>
              <w:szCs w:val="24"/>
            </w:rPr>
          </w:pPr>
          <w:hyperlink w:anchor="_Toc214992224" w:history="1">
            <w:r w:rsidRPr="009D04BB">
              <w:rPr>
                <w:rStyle w:val="Hyperlink"/>
                <w:rFonts w:ascii="Times New Roman" w:hAnsi="Times New Roman" w:cs="Times New Roman"/>
                <w:noProof/>
                <w:color w:val="000000" w:themeColor="text1"/>
              </w:rPr>
              <w:t>Table S1 Major oxide composition and loss on ignition (LOI) of the basalt feedstock</w:t>
            </w:r>
            <w:r w:rsidRPr="009D04BB">
              <w:rPr>
                <w:rFonts w:ascii="Times New Roman" w:hAnsi="Times New Roman" w:cs="Times New Roman"/>
                <w:noProof/>
                <w:webHidden/>
                <w:color w:val="000000" w:themeColor="text1"/>
              </w:rPr>
              <w:tab/>
            </w:r>
            <w:r w:rsidR="005A3937">
              <w:rPr>
                <w:rFonts w:ascii="Times New Roman" w:hAnsi="Times New Roman" w:cs="Times New Roman"/>
                <w:noProof/>
                <w:webHidden/>
                <w:color w:val="000000" w:themeColor="text1"/>
              </w:rPr>
              <w:t>7</w:t>
            </w:r>
          </w:hyperlink>
          <w:r w:rsidRPr="009D04BB">
            <w:rPr>
              <w:rFonts w:ascii="Times New Roman" w:hAnsi="Times New Roman" w:cs="Times New Roman"/>
              <w:noProof/>
              <w:color w:val="000000" w:themeColor="text1"/>
            </w:rPr>
            <w:fldChar w:fldCharType="end"/>
          </w:r>
        </w:p>
      </w:sdtContent>
    </w:sdt>
    <w:p w14:paraId="42196051" w14:textId="771072DE" w:rsidR="000137B5" w:rsidRPr="009D04BB" w:rsidRDefault="00074C57" w:rsidP="009C2462">
      <w:pPr>
        <w:pStyle w:val="Maintext"/>
        <w:rPr>
          <w:color w:val="000000" w:themeColor="text1"/>
        </w:rPr>
      </w:pPr>
      <w:r w:rsidRPr="009D04BB">
        <w:rPr>
          <w:noProof/>
          <w:color w:val="000000" w:themeColor="text1"/>
        </w:rPr>
        <w:lastRenderedPageBreak/>
        <w:drawing>
          <wp:inline distT="0" distB="0" distL="0" distR="0" wp14:anchorId="3F424CC4" wp14:editId="18E92EEE">
            <wp:extent cx="5943600" cy="5433060"/>
            <wp:effectExtent l="0" t="0" r="0" b="0"/>
            <wp:docPr id="1735939111"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39111" name="Picture 2" descr="A screenshot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433060"/>
                    </a:xfrm>
                    <a:prstGeom prst="rect">
                      <a:avLst/>
                    </a:prstGeom>
                    <a:noFill/>
                    <a:ln>
                      <a:noFill/>
                    </a:ln>
                  </pic:spPr>
                </pic:pic>
              </a:graphicData>
            </a:graphic>
          </wp:inline>
        </w:drawing>
      </w:r>
    </w:p>
    <w:p w14:paraId="6290D0E6" w14:textId="1ECEC143" w:rsidR="000137B5" w:rsidRPr="009D04BB" w:rsidRDefault="000137B5" w:rsidP="000137B5">
      <w:pPr>
        <w:pStyle w:val="Figure"/>
        <w:outlineLvl w:val="1"/>
        <w:rPr>
          <w:sz w:val="20"/>
          <w:szCs w:val="20"/>
        </w:rPr>
      </w:pPr>
      <w:bookmarkStart w:id="6" w:name="_Toc211852167"/>
      <w:bookmarkStart w:id="7" w:name="_Toc214992217"/>
      <w:r w:rsidRPr="009D04BB">
        <w:rPr>
          <w:sz w:val="20"/>
          <w:szCs w:val="20"/>
        </w:rPr>
        <w:t>Figure S</w:t>
      </w:r>
      <w:r w:rsidR="00A166B4" w:rsidRPr="009D04BB">
        <w:rPr>
          <w:sz w:val="20"/>
          <w:szCs w:val="20"/>
        </w:rPr>
        <w:fldChar w:fldCharType="begin"/>
      </w:r>
      <w:r w:rsidR="00A166B4" w:rsidRPr="009D04BB">
        <w:rPr>
          <w:sz w:val="20"/>
          <w:szCs w:val="20"/>
        </w:rPr>
        <w:instrText xml:space="preserve"> SEQ Figure_S \* ARABIC </w:instrText>
      </w:r>
      <w:r w:rsidR="00A166B4" w:rsidRPr="009D04BB">
        <w:rPr>
          <w:sz w:val="20"/>
          <w:szCs w:val="20"/>
        </w:rPr>
        <w:fldChar w:fldCharType="separate"/>
      </w:r>
      <w:r w:rsidRPr="009D04BB">
        <w:rPr>
          <w:noProof/>
          <w:sz w:val="20"/>
          <w:szCs w:val="20"/>
        </w:rPr>
        <w:t>1</w:t>
      </w:r>
      <w:r w:rsidR="00A166B4" w:rsidRPr="009D04BB">
        <w:rPr>
          <w:noProof/>
          <w:sz w:val="20"/>
          <w:szCs w:val="20"/>
        </w:rPr>
        <w:fldChar w:fldCharType="end"/>
      </w:r>
      <w:r w:rsidRPr="009D04BB">
        <w:rPr>
          <w:sz w:val="20"/>
          <w:szCs w:val="20"/>
        </w:rPr>
        <w:t xml:space="preserve">. </w:t>
      </w:r>
      <w:r w:rsidR="00AB3883" w:rsidRPr="009D04BB">
        <w:rPr>
          <w:sz w:val="20"/>
          <w:szCs w:val="20"/>
        </w:rPr>
        <w:t>Streamwater concentration changes before and after basalt application</w:t>
      </w:r>
      <w:r w:rsidR="00864F47" w:rsidRPr="009D04BB">
        <w:rPr>
          <w:sz w:val="20"/>
          <w:szCs w:val="20"/>
        </w:rPr>
        <w:t>.</w:t>
      </w:r>
      <w:r w:rsidR="00AB3883" w:rsidRPr="009D04BB">
        <w:rPr>
          <w:sz w:val="20"/>
          <w:szCs w:val="20"/>
        </w:rPr>
        <w:t xml:space="preserve"> </w:t>
      </w:r>
      <w:r w:rsidR="00E23A67" w:rsidRPr="009D04BB">
        <w:rPr>
          <w:sz w:val="20"/>
          <w:szCs w:val="20"/>
        </w:rPr>
        <w:t>a</w:t>
      </w:r>
      <w:r w:rsidR="00864F47" w:rsidRPr="009D04BB">
        <w:rPr>
          <w:sz w:val="20"/>
          <w:szCs w:val="20"/>
        </w:rPr>
        <w:t>,</w:t>
      </w:r>
      <w:r w:rsidRPr="009D04BB">
        <w:rPr>
          <w:sz w:val="20"/>
          <w:szCs w:val="20"/>
        </w:rPr>
        <w:t xml:space="preserve"> Observed and estimated concentrations of alkalinity at W-2 (treatment watershed) and W-9 streams (reference watershed) from May 2022 to Apr</w:t>
      </w:r>
      <w:r w:rsidR="00B7047D" w:rsidRPr="009D04BB">
        <w:rPr>
          <w:sz w:val="20"/>
          <w:szCs w:val="20"/>
        </w:rPr>
        <w:t>il</w:t>
      </w:r>
      <w:r w:rsidRPr="009D04BB">
        <w:rPr>
          <w:sz w:val="20"/>
          <w:szCs w:val="20"/>
        </w:rPr>
        <w:t xml:space="preserve"> 2025, respectively. The red and blue data points represent the observed concentrations at W-2 and W-9 streams, respectively. </w:t>
      </w:r>
      <w:r w:rsidR="005D4A08" w:rsidRPr="009D04BB">
        <w:rPr>
          <w:sz w:val="20"/>
          <w:szCs w:val="20"/>
        </w:rPr>
        <w:t>The red and blue lines denote WRTDS-estimated concentrations with shading representing 95% confidence intervals of the estimates.</w:t>
      </w:r>
      <w:r w:rsidRPr="009D04BB">
        <w:rPr>
          <w:sz w:val="20"/>
          <w:szCs w:val="20"/>
        </w:rPr>
        <w:t xml:space="preserve"> b</w:t>
      </w:r>
      <w:r w:rsidR="00864F47" w:rsidRPr="009D04BB">
        <w:rPr>
          <w:sz w:val="20"/>
          <w:szCs w:val="20"/>
        </w:rPr>
        <w:t>,</w:t>
      </w:r>
      <w:r w:rsidRPr="009D04BB">
        <w:rPr>
          <w:sz w:val="20"/>
          <w:szCs w:val="20"/>
        </w:rPr>
        <w:t xml:space="preserve"> Concentration changes after basalt application, indicated by the differences between observed concentrations and WRTDS-estimated concentrations (orange circles). Blue lines with shaded areas represent LOESS fits with 95% confidence intervals.</w:t>
      </w:r>
      <w:bookmarkEnd w:id="6"/>
      <w:bookmarkEnd w:id="7"/>
    </w:p>
    <w:p w14:paraId="0A1E3B58" w14:textId="003431DE" w:rsidR="00B275DD" w:rsidRPr="009D04BB" w:rsidRDefault="00BF5A34" w:rsidP="00BF5A34">
      <w:pPr>
        <w:pStyle w:val="Maintext"/>
        <w:jc w:val="center"/>
        <w:rPr>
          <w:color w:val="000000" w:themeColor="text1"/>
        </w:rPr>
      </w:pPr>
      <w:r w:rsidRPr="009D04BB">
        <w:rPr>
          <w:noProof/>
          <w:color w:val="000000" w:themeColor="text1"/>
        </w:rPr>
        <w:lastRenderedPageBreak/>
        <w:drawing>
          <wp:inline distT="0" distB="0" distL="0" distR="0" wp14:anchorId="04B05124" wp14:editId="3B85E8EF">
            <wp:extent cx="5943600" cy="4457700"/>
            <wp:effectExtent l="0" t="0" r="0" b="0"/>
            <wp:docPr id="1808640066" name="Picture 2"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0066" name="Picture 2" descr="A collage of graph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33354CE" w14:textId="7FDDEE80" w:rsidR="00E1776A" w:rsidRDefault="00CA2CD7" w:rsidP="005A3937">
      <w:pPr>
        <w:pStyle w:val="Figure"/>
        <w:outlineLvl w:val="1"/>
        <w:rPr>
          <w:sz w:val="20"/>
          <w:szCs w:val="20"/>
        </w:rPr>
      </w:pPr>
      <w:bookmarkStart w:id="8" w:name="_Toc211852168"/>
      <w:bookmarkStart w:id="9" w:name="_Toc214992218"/>
      <w:r w:rsidRPr="009D04BB">
        <w:rPr>
          <w:sz w:val="20"/>
          <w:szCs w:val="20"/>
        </w:rPr>
        <w:t>Figure S</w:t>
      </w:r>
      <w:r w:rsidR="00A166B4" w:rsidRPr="009D04BB">
        <w:rPr>
          <w:sz w:val="20"/>
          <w:szCs w:val="20"/>
        </w:rPr>
        <w:fldChar w:fldCharType="begin"/>
      </w:r>
      <w:r w:rsidR="00A166B4" w:rsidRPr="009D04BB">
        <w:rPr>
          <w:sz w:val="20"/>
          <w:szCs w:val="20"/>
        </w:rPr>
        <w:instrText xml:space="preserve"> SEQ Figure_S \* ARABIC </w:instrText>
      </w:r>
      <w:r w:rsidR="00A166B4" w:rsidRPr="009D04BB">
        <w:rPr>
          <w:sz w:val="20"/>
          <w:szCs w:val="20"/>
        </w:rPr>
        <w:fldChar w:fldCharType="separate"/>
      </w:r>
      <w:r w:rsidRPr="009D04BB">
        <w:rPr>
          <w:noProof/>
          <w:sz w:val="20"/>
          <w:szCs w:val="20"/>
        </w:rPr>
        <w:t>2</w:t>
      </w:r>
      <w:r w:rsidR="00A166B4" w:rsidRPr="009D04BB">
        <w:rPr>
          <w:noProof/>
          <w:sz w:val="20"/>
          <w:szCs w:val="20"/>
        </w:rPr>
        <w:fldChar w:fldCharType="end"/>
      </w:r>
      <w:r w:rsidRPr="009D04BB">
        <w:rPr>
          <w:sz w:val="20"/>
          <w:szCs w:val="20"/>
        </w:rPr>
        <w:t xml:space="preserve">. Streamwater </w:t>
      </w:r>
      <w:r w:rsidR="00245697" w:rsidRPr="009D04BB">
        <w:rPr>
          <w:sz w:val="20"/>
          <w:szCs w:val="20"/>
        </w:rPr>
        <w:t>concentration-discharge (</w:t>
      </w:r>
      <w:r w:rsidR="00245697" w:rsidRPr="009D04BB">
        <w:rPr>
          <w:i/>
          <w:iCs/>
          <w:sz w:val="20"/>
          <w:szCs w:val="20"/>
        </w:rPr>
        <w:t>C-Q</w:t>
      </w:r>
      <w:r w:rsidR="00245697" w:rsidRPr="009D04BB">
        <w:rPr>
          <w:sz w:val="20"/>
          <w:szCs w:val="20"/>
        </w:rPr>
        <w:t>) relations at W-2 before basalt application (</w:t>
      </w:r>
      <w:r w:rsidR="00350DF5" w:rsidRPr="009D04BB">
        <w:rPr>
          <w:sz w:val="20"/>
          <w:szCs w:val="20"/>
        </w:rPr>
        <w:t xml:space="preserve">open </w:t>
      </w:r>
      <w:r w:rsidR="00245697" w:rsidRPr="009D04BB">
        <w:rPr>
          <w:sz w:val="20"/>
          <w:szCs w:val="20"/>
        </w:rPr>
        <w:t>circles</w:t>
      </w:r>
      <w:r w:rsidR="00E1776A" w:rsidRPr="009D04BB">
        <w:rPr>
          <w:sz w:val="20"/>
          <w:szCs w:val="20"/>
        </w:rPr>
        <w:t>, from May 2022 to June 2023</w:t>
      </w:r>
      <w:r w:rsidR="00245697" w:rsidRPr="009D04BB">
        <w:rPr>
          <w:sz w:val="20"/>
          <w:szCs w:val="20"/>
        </w:rPr>
        <w:t>) and for the two-year period following basalt application (solid squares,</w:t>
      </w:r>
      <w:r w:rsidR="00E1776A" w:rsidRPr="009D04BB">
        <w:rPr>
          <w:sz w:val="20"/>
          <w:szCs w:val="20"/>
        </w:rPr>
        <w:t xml:space="preserve"> from July 2023 to April 2025). Data were</w:t>
      </w:r>
      <w:r w:rsidR="00245697" w:rsidRPr="009D04BB">
        <w:rPr>
          <w:sz w:val="20"/>
          <w:szCs w:val="20"/>
        </w:rPr>
        <w:t xml:space="preserve"> colored by month of year. </w:t>
      </w:r>
      <w:r w:rsidR="000137B5" w:rsidRPr="009D04BB">
        <w:rPr>
          <w:sz w:val="20"/>
          <w:szCs w:val="20"/>
        </w:rPr>
        <w:t xml:space="preserve">Pre-application </w:t>
      </w:r>
      <w:r w:rsidR="000137B5" w:rsidRPr="009D04BB">
        <w:rPr>
          <w:i/>
          <w:iCs/>
          <w:sz w:val="20"/>
          <w:szCs w:val="20"/>
        </w:rPr>
        <w:t>C-Q</w:t>
      </w:r>
      <w:r w:rsidR="000137B5" w:rsidRPr="009D04BB">
        <w:rPr>
          <w:sz w:val="20"/>
          <w:szCs w:val="20"/>
        </w:rPr>
        <w:t xml:space="preserve"> data were fitted using a power-law function (grey dashed line) with 95% confidence interval (grey shade).</w:t>
      </w:r>
      <w:r w:rsidR="00E23A67" w:rsidRPr="009D04BB">
        <w:rPr>
          <w:sz w:val="20"/>
          <w:szCs w:val="20"/>
        </w:rPr>
        <w:t xml:space="preserve"> The variable</w:t>
      </w:r>
      <w:r w:rsidR="000137B5" w:rsidRPr="009D04BB">
        <w:rPr>
          <w:sz w:val="20"/>
          <w:szCs w:val="20"/>
        </w:rPr>
        <w:t xml:space="preserve"> </w:t>
      </w:r>
      <m:oMath>
        <m:r>
          <w:rPr>
            <w:rFonts w:ascii="Cambria Math" w:hAnsi="Cambria Math"/>
            <w:sz w:val="20"/>
            <w:szCs w:val="20"/>
          </w:rPr>
          <m:t>q</m:t>
        </m:r>
      </m:oMath>
      <w:r w:rsidR="000137B5" w:rsidRPr="009D04BB">
        <w:rPr>
          <w:sz w:val="20"/>
          <w:szCs w:val="20"/>
        </w:rPr>
        <w:t xml:space="preserve"> represents the instantaneous discharge at the time of sample collection.</w:t>
      </w:r>
      <w:bookmarkEnd w:id="8"/>
      <w:bookmarkEnd w:id="9"/>
    </w:p>
    <w:p w14:paraId="73A9603C" w14:textId="77777777" w:rsidR="005A3937" w:rsidRDefault="005A3937" w:rsidP="005A3937">
      <w:pPr>
        <w:pStyle w:val="Figure"/>
        <w:outlineLvl w:val="1"/>
        <w:rPr>
          <w:sz w:val="20"/>
          <w:szCs w:val="20"/>
        </w:rPr>
      </w:pPr>
    </w:p>
    <w:p w14:paraId="6870568B" w14:textId="77777777" w:rsidR="005A3937" w:rsidRPr="009D04BB" w:rsidRDefault="005A3937" w:rsidP="005A3937">
      <w:pPr>
        <w:pStyle w:val="Figure"/>
        <w:outlineLvl w:val="1"/>
      </w:pPr>
    </w:p>
    <w:p w14:paraId="5EBAFC78" w14:textId="77777777" w:rsidR="000137B5" w:rsidRPr="009D04BB" w:rsidRDefault="000137B5" w:rsidP="00AB501A">
      <w:pPr>
        <w:pStyle w:val="Maintext"/>
        <w:jc w:val="center"/>
        <w:rPr>
          <w:color w:val="000000" w:themeColor="text1"/>
        </w:rPr>
      </w:pPr>
      <w:r w:rsidRPr="009D04BB">
        <w:rPr>
          <w:noProof/>
          <w:color w:val="000000" w:themeColor="text1"/>
        </w:rPr>
        <w:lastRenderedPageBreak/>
        <w:drawing>
          <wp:inline distT="0" distB="0" distL="0" distR="0" wp14:anchorId="4AED3A5B" wp14:editId="709891A9">
            <wp:extent cx="5907024" cy="1435608"/>
            <wp:effectExtent l="0" t="0" r="0" b="0"/>
            <wp:docPr id="2100015025" name="Picture 10" descr="A graph of a graph showing a number of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15025" name="Picture 10" descr="A graph of a graph showing a number of particl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024" cy="1435608"/>
                    </a:xfrm>
                    <a:prstGeom prst="rect">
                      <a:avLst/>
                    </a:prstGeom>
                    <a:noFill/>
                  </pic:spPr>
                </pic:pic>
              </a:graphicData>
            </a:graphic>
          </wp:inline>
        </w:drawing>
      </w:r>
    </w:p>
    <w:p w14:paraId="7E45B465" w14:textId="5B68707D" w:rsidR="000137B5" w:rsidRPr="009D04BB" w:rsidRDefault="000137B5" w:rsidP="00000E6E">
      <w:pPr>
        <w:pStyle w:val="Figure"/>
        <w:outlineLvl w:val="1"/>
        <w:rPr>
          <w:sz w:val="20"/>
          <w:szCs w:val="20"/>
        </w:rPr>
      </w:pPr>
      <w:bookmarkStart w:id="10" w:name="_Toc211852169"/>
      <w:bookmarkStart w:id="11" w:name="_Toc214992219"/>
      <w:r w:rsidRPr="009D04BB">
        <w:rPr>
          <w:sz w:val="20"/>
          <w:szCs w:val="20"/>
        </w:rPr>
        <w:t>Figure S</w:t>
      </w:r>
      <w:r w:rsidR="00A166B4" w:rsidRPr="009D04BB">
        <w:rPr>
          <w:sz w:val="20"/>
          <w:szCs w:val="20"/>
        </w:rPr>
        <w:fldChar w:fldCharType="begin"/>
      </w:r>
      <w:r w:rsidR="00A166B4" w:rsidRPr="009D04BB">
        <w:rPr>
          <w:sz w:val="20"/>
          <w:szCs w:val="20"/>
        </w:rPr>
        <w:instrText xml:space="preserve"> SEQ Figure_S \* ARABIC </w:instrText>
      </w:r>
      <w:r w:rsidR="00A166B4" w:rsidRPr="009D04BB">
        <w:rPr>
          <w:sz w:val="20"/>
          <w:szCs w:val="20"/>
        </w:rPr>
        <w:fldChar w:fldCharType="separate"/>
      </w:r>
      <w:r w:rsidRPr="009D04BB">
        <w:rPr>
          <w:noProof/>
          <w:sz w:val="20"/>
          <w:szCs w:val="20"/>
        </w:rPr>
        <w:t>3</w:t>
      </w:r>
      <w:r w:rsidR="00A166B4" w:rsidRPr="009D04BB">
        <w:rPr>
          <w:noProof/>
          <w:sz w:val="20"/>
          <w:szCs w:val="20"/>
        </w:rPr>
        <w:fldChar w:fldCharType="end"/>
      </w:r>
      <w:r w:rsidRPr="009D04BB">
        <w:rPr>
          <w:sz w:val="20"/>
          <w:szCs w:val="20"/>
        </w:rPr>
        <w:t>. Streamwater Na-normalized elemental ratios (molar ratio) before (</w:t>
      </w:r>
      <w:r w:rsidR="00E1776A" w:rsidRPr="009D04BB">
        <w:rPr>
          <w:sz w:val="20"/>
          <w:szCs w:val="20"/>
        </w:rPr>
        <w:t>open</w:t>
      </w:r>
      <w:r w:rsidRPr="009D04BB">
        <w:rPr>
          <w:sz w:val="20"/>
          <w:szCs w:val="20"/>
        </w:rPr>
        <w:t xml:space="preserve"> circles) and after (solid squares) basalt application. Pre-application elemental ratios were contoured using kernel density estimation to show data density. Data were color-coded by month. The grey arrow indicates the direction of the elemental ratio shifts from carbonate rock weathering towards silicate rock weathering following basalt application.</w:t>
      </w:r>
      <w:bookmarkEnd w:id="10"/>
      <w:bookmarkEnd w:id="11"/>
    </w:p>
    <w:p w14:paraId="532682B2" w14:textId="1D542100" w:rsidR="000137B5" w:rsidRPr="009D04BB" w:rsidRDefault="00922546" w:rsidP="000137B5">
      <w:pPr>
        <w:keepNext/>
        <w:jc w:val="center"/>
        <w:rPr>
          <w:rFonts w:ascii="Times New Roman" w:hAnsi="Times New Roman" w:cs="Times New Roman"/>
          <w:color w:val="000000" w:themeColor="text1"/>
        </w:rPr>
      </w:pPr>
      <w:r w:rsidRPr="009D04BB">
        <w:rPr>
          <w:rFonts w:ascii="Times New Roman" w:hAnsi="Times New Roman" w:cs="Times New Roman"/>
          <w:noProof/>
          <w:color w:val="000000" w:themeColor="text1"/>
        </w:rPr>
        <w:drawing>
          <wp:inline distT="0" distB="0" distL="0" distR="0" wp14:anchorId="1FCF384B" wp14:editId="5647D6C0">
            <wp:extent cx="3730752" cy="1865376"/>
            <wp:effectExtent l="0" t="0" r="3175" b="1905"/>
            <wp:docPr id="117843001" name="Picture 2" descr="A diagram of a number of mon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3001" name="Picture 2" descr="A diagram of a number of month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0752" cy="1865376"/>
                    </a:xfrm>
                    <a:prstGeom prst="rect">
                      <a:avLst/>
                    </a:prstGeom>
                    <a:noFill/>
                    <a:ln>
                      <a:noFill/>
                    </a:ln>
                  </pic:spPr>
                </pic:pic>
              </a:graphicData>
            </a:graphic>
          </wp:inline>
        </w:drawing>
      </w:r>
    </w:p>
    <w:p w14:paraId="0770D82F" w14:textId="1D212BE1" w:rsidR="000137B5" w:rsidRPr="009D04BB" w:rsidRDefault="000137B5" w:rsidP="000137B5">
      <w:pPr>
        <w:pStyle w:val="Figure"/>
        <w:outlineLvl w:val="1"/>
        <w:rPr>
          <w:sz w:val="20"/>
          <w:szCs w:val="20"/>
        </w:rPr>
      </w:pPr>
      <w:bookmarkStart w:id="12" w:name="_Toc211852170"/>
      <w:bookmarkStart w:id="13" w:name="_Toc214992220"/>
      <w:r w:rsidRPr="009D04BB">
        <w:rPr>
          <w:sz w:val="20"/>
          <w:szCs w:val="20"/>
        </w:rPr>
        <w:t>Figure S</w:t>
      </w:r>
      <w:r w:rsidR="00A166B4" w:rsidRPr="009D04BB">
        <w:rPr>
          <w:sz w:val="20"/>
          <w:szCs w:val="20"/>
        </w:rPr>
        <w:fldChar w:fldCharType="begin"/>
      </w:r>
      <w:r w:rsidR="00A166B4" w:rsidRPr="009D04BB">
        <w:rPr>
          <w:sz w:val="20"/>
          <w:szCs w:val="20"/>
        </w:rPr>
        <w:instrText xml:space="preserve"> SEQ Figure_S \* ARABIC </w:instrText>
      </w:r>
      <w:r w:rsidR="00A166B4" w:rsidRPr="009D04BB">
        <w:rPr>
          <w:sz w:val="20"/>
          <w:szCs w:val="20"/>
        </w:rPr>
        <w:fldChar w:fldCharType="separate"/>
      </w:r>
      <w:r w:rsidRPr="009D04BB">
        <w:rPr>
          <w:noProof/>
          <w:sz w:val="20"/>
          <w:szCs w:val="20"/>
        </w:rPr>
        <w:t>4</w:t>
      </w:r>
      <w:r w:rsidR="00A166B4" w:rsidRPr="009D04BB">
        <w:rPr>
          <w:noProof/>
          <w:sz w:val="20"/>
          <w:szCs w:val="20"/>
        </w:rPr>
        <w:fldChar w:fldCharType="end"/>
      </w:r>
      <w:r w:rsidRPr="009D04BB">
        <w:rPr>
          <w:sz w:val="20"/>
          <w:szCs w:val="20"/>
        </w:rPr>
        <w:t>. δ</w:t>
      </w:r>
      <w:r w:rsidRPr="009D04BB">
        <w:rPr>
          <w:sz w:val="20"/>
          <w:szCs w:val="20"/>
          <w:vertAlign w:val="superscript"/>
        </w:rPr>
        <w:t>7</w:t>
      </w:r>
      <w:r w:rsidRPr="009D04BB">
        <w:rPr>
          <w:sz w:val="20"/>
          <w:szCs w:val="20"/>
        </w:rPr>
        <w:t xml:space="preserve">Li isotope values </w:t>
      </w:r>
      <w:r w:rsidR="002F4372" w:rsidRPr="009D04BB">
        <w:rPr>
          <w:sz w:val="20"/>
          <w:szCs w:val="20"/>
        </w:rPr>
        <w:t>measured in streamwater samples collected before</w:t>
      </w:r>
      <w:r w:rsidRPr="009D04BB">
        <w:rPr>
          <w:sz w:val="20"/>
          <w:szCs w:val="20"/>
        </w:rPr>
        <w:t xml:space="preserve"> (blue</w:t>
      </w:r>
      <w:r w:rsidR="00E1776A" w:rsidRPr="009D04BB">
        <w:rPr>
          <w:sz w:val="20"/>
          <w:szCs w:val="20"/>
        </w:rPr>
        <w:t xml:space="preserve"> circle</w:t>
      </w:r>
      <w:r w:rsidRPr="009D04BB">
        <w:rPr>
          <w:sz w:val="20"/>
          <w:szCs w:val="20"/>
        </w:rPr>
        <w:t xml:space="preserve">) and </w:t>
      </w:r>
      <w:r w:rsidR="002F4372" w:rsidRPr="009D04BB">
        <w:rPr>
          <w:sz w:val="20"/>
          <w:szCs w:val="20"/>
        </w:rPr>
        <w:t>after</w:t>
      </w:r>
      <w:r w:rsidRPr="009D04BB">
        <w:rPr>
          <w:sz w:val="20"/>
          <w:szCs w:val="20"/>
        </w:rPr>
        <w:t xml:space="preserve"> (red</w:t>
      </w:r>
      <w:r w:rsidR="00E1776A" w:rsidRPr="009D04BB">
        <w:rPr>
          <w:sz w:val="20"/>
          <w:szCs w:val="20"/>
        </w:rPr>
        <w:t xml:space="preserve"> square</w:t>
      </w:r>
      <w:r w:rsidRPr="009D04BB">
        <w:rPr>
          <w:sz w:val="20"/>
          <w:szCs w:val="20"/>
        </w:rPr>
        <w:t>) basalt application. The δ</w:t>
      </w:r>
      <w:r w:rsidRPr="009D04BB">
        <w:rPr>
          <w:sz w:val="20"/>
          <w:szCs w:val="20"/>
          <w:vertAlign w:val="superscript"/>
        </w:rPr>
        <w:t>7</w:t>
      </w:r>
      <w:r w:rsidRPr="009D04BB">
        <w:rPr>
          <w:sz w:val="20"/>
          <w:szCs w:val="20"/>
        </w:rPr>
        <w:t xml:space="preserve">Li isotope value of </w:t>
      </w:r>
      <w:r w:rsidR="00272F8E" w:rsidRPr="009D04BB">
        <w:rPr>
          <w:sz w:val="20"/>
          <w:szCs w:val="20"/>
        </w:rPr>
        <w:t>P</w:t>
      </w:r>
      <w:r w:rsidRPr="009D04BB">
        <w:rPr>
          <w:sz w:val="20"/>
          <w:szCs w:val="20"/>
        </w:rPr>
        <w:t xml:space="preserve">ioneer </w:t>
      </w:r>
      <w:r w:rsidR="00272F8E" w:rsidRPr="009D04BB">
        <w:rPr>
          <w:sz w:val="20"/>
          <w:szCs w:val="20"/>
        </w:rPr>
        <w:t>V</w:t>
      </w:r>
      <w:r w:rsidRPr="009D04BB">
        <w:rPr>
          <w:sz w:val="20"/>
          <w:szCs w:val="20"/>
        </w:rPr>
        <w:t xml:space="preserve">alley </w:t>
      </w:r>
      <w:r w:rsidR="00272F8E" w:rsidRPr="009D04BB">
        <w:rPr>
          <w:sz w:val="20"/>
          <w:szCs w:val="20"/>
        </w:rPr>
        <w:t>B</w:t>
      </w:r>
      <w:r w:rsidRPr="009D04BB">
        <w:rPr>
          <w:sz w:val="20"/>
          <w:szCs w:val="20"/>
        </w:rPr>
        <w:t xml:space="preserve">asalt (basalt) is 2.34 </w:t>
      </w:r>
      <w:r w:rsidR="008E2975" w:rsidRPr="009D04BB">
        <w:rPr>
          <w:sz w:val="20"/>
          <w:szCs w:val="20"/>
        </w:rPr>
        <w:t xml:space="preserve">± 0.65 </w:t>
      </w:r>
      <w:r w:rsidRPr="009D04BB">
        <w:rPr>
          <w:sz w:val="20"/>
          <w:szCs w:val="20"/>
        </w:rPr>
        <w:t>‰.</w:t>
      </w:r>
      <w:bookmarkEnd w:id="12"/>
      <w:bookmarkEnd w:id="13"/>
    </w:p>
    <w:p w14:paraId="0F223DAC" w14:textId="3E34A255" w:rsidR="000137B5" w:rsidRPr="009D04BB" w:rsidRDefault="00074C57" w:rsidP="00074C57">
      <w:pPr>
        <w:pStyle w:val="Figure"/>
        <w:jc w:val="center"/>
      </w:pPr>
      <w:r w:rsidRPr="009D04BB">
        <w:rPr>
          <w:noProof/>
        </w:rPr>
        <w:lastRenderedPageBreak/>
        <w:drawing>
          <wp:inline distT="0" distB="0" distL="0" distR="0" wp14:anchorId="0F86E94B" wp14:editId="5C99F216">
            <wp:extent cx="4581525" cy="3633404"/>
            <wp:effectExtent l="0" t="0" r="0" b="5715"/>
            <wp:docPr id="362508176" name="Picture 4" descr="A collage of graphs and ch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08176" name="Picture 4" descr="A collage of graphs and char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0058" cy="3640171"/>
                    </a:xfrm>
                    <a:prstGeom prst="rect">
                      <a:avLst/>
                    </a:prstGeom>
                    <a:noFill/>
                    <a:ln>
                      <a:noFill/>
                    </a:ln>
                  </pic:spPr>
                </pic:pic>
              </a:graphicData>
            </a:graphic>
          </wp:inline>
        </w:drawing>
      </w:r>
    </w:p>
    <w:p w14:paraId="2FA4A49C" w14:textId="57E2627F" w:rsidR="000137B5" w:rsidRPr="009D04BB" w:rsidRDefault="000137B5" w:rsidP="000137B5">
      <w:pPr>
        <w:pStyle w:val="Figure"/>
        <w:outlineLvl w:val="1"/>
        <w:rPr>
          <w:sz w:val="20"/>
          <w:szCs w:val="20"/>
        </w:rPr>
      </w:pPr>
      <w:bookmarkStart w:id="14" w:name="_Toc211852171"/>
      <w:bookmarkStart w:id="15" w:name="_Toc214992221"/>
      <w:r w:rsidRPr="009D04BB">
        <w:rPr>
          <w:sz w:val="20"/>
          <w:szCs w:val="20"/>
        </w:rPr>
        <w:t>Figure S</w:t>
      </w:r>
      <w:r w:rsidR="00A166B4" w:rsidRPr="009D04BB">
        <w:rPr>
          <w:sz w:val="20"/>
          <w:szCs w:val="20"/>
        </w:rPr>
        <w:fldChar w:fldCharType="begin"/>
      </w:r>
      <w:r w:rsidR="00A166B4" w:rsidRPr="009D04BB">
        <w:rPr>
          <w:sz w:val="20"/>
          <w:szCs w:val="20"/>
        </w:rPr>
        <w:instrText xml:space="preserve"> SEQ Figure_S \* ARABIC </w:instrText>
      </w:r>
      <w:r w:rsidR="00A166B4" w:rsidRPr="009D04BB">
        <w:rPr>
          <w:sz w:val="20"/>
          <w:szCs w:val="20"/>
        </w:rPr>
        <w:fldChar w:fldCharType="separate"/>
      </w:r>
      <w:r w:rsidRPr="009D04BB">
        <w:rPr>
          <w:noProof/>
          <w:sz w:val="20"/>
          <w:szCs w:val="20"/>
        </w:rPr>
        <w:t>5</w:t>
      </w:r>
      <w:r w:rsidR="00A166B4" w:rsidRPr="009D04BB">
        <w:rPr>
          <w:noProof/>
          <w:sz w:val="20"/>
          <w:szCs w:val="20"/>
        </w:rPr>
        <w:fldChar w:fldCharType="end"/>
      </w:r>
      <w:r w:rsidRPr="009D04BB">
        <w:rPr>
          <w:sz w:val="20"/>
          <w:szCs w:val="20"/>
        </w:rPr>
        <w:t xml:space="preserve">. </w:t>
      </w:r>
      <w:r w:rsidR="00864F47" w:rsidRPr="009D04BB">
        <w:rPr>
          <w:sz w:val="20"/>
          <w:szCs w:val="20"/>
        </w:rPr>
        <w:t>Temporal dynamics of the ERW treatment effects and solute export rates. a,</w:t>
      </w:r>
      <w:r w:rsidRPr="009D04BB">
        <w:rPr>
          <w:sz w:val="20"/>
          <w:szCs w:val="20"/>
        </w:rPr>
        <w:t xml:space="preserve"> Relative concentration changes from ERW (</w:t>
      </w:r>
      <m:oMath>
        <m:r>
          <w:rPr>
            <w:rFonts w:ascii="Cambria Math" w:hAnsi="Cambria Math"/>
            <w:sz w:val="20"/>
            <w:szCs w:val="20"/>
          </w:rPr>
          <m:t>Δc</m:t>
        </m:r>
      </m:oMath>
      <w:r w:rsidRPr="009D04BB">
        <w:rPr>
          <w:sz w:val="20"/>
          <w:szCs w:val="20"/>
        </w:rPr>
        <w:t>), derived from GAM-DiD analysis (Generalized Additive Model coupled with Difference-in-Differences model). Significance levels are indicated as follows: *** p ≤ 0.001, ** p ≤ 0.01, * p ≤ 0.05, · p ≤ 0.1, and not significant (p &gt; 0.1). The red dashed line separates the pre-</w:t>
      </w:r>
      <w:r w:rsidR="00272F8E" w:rsidRPr="009D04BB">
        <w:rPr>
          <w:sz w:val="20"/>
          <w:szCs w:val="20"/>
        </w:rPr>
        <w:t>basalt application period from the</w:t>
      </w:r>
      <w:r w:rsidRPr="009D04BB">
        <w:rPr>
          <w:sz w:val="20"/>
          <w:szCs w:val="20"/>
        </w:rPr>
        <w:t xml:space="preserve"> post-basalt application period. </w:t>
      </w:r>
      <w:r w:rsidR="00864F47" w:rsidRPr="009D04BB">
        <w:rPr>
          <w:sz w:val="20"/>
          <w:szCs w:val="20"/>
        </w:rPr>
        <w:t>b,</w:t>
      </w:r>
      <w:r w:rsidRPr="009D04BB">
        <w:rPr>
          <w:sz w:val="20"/>
          <w:szCs w:val="20"/>
        </w:rPr>
        <w:t xml:space="preserve"> </w:t>
      </w:r>
      <w:r w:rsidR="00633988" w:rsidRPr="009D04BB">
        <w:rPr>
          <w:sz w:val="20"/>
          <w:szCs w:val="20"/>
        </w:rPr>
        <w:t>Daily (solid black line) and monthly average (blue bar) export rates of the weathering products from basalt. Gray solid lines represent the cumulative export flux of the weathering products from basalt</w:t>
      </w:r>
      <w:r w:rsidRPr="009D04BB">
        <w:rPr>
          <w:sz w:val="20"/>
          <w:szCs w:val="20"/>
        </w:rPr>
        <w:t>.</w:t>
      </w:r>
      <w:bookmarkEnd w:id="14"/>
      <w:bookmarkEnd w:id="15"/>
      <w:r w:rsidRPr="009D04BB">
        <w:rPr>
          <w:sz w:val="20"/>
          <w:szCs w:val="20"/>
        </w:rPr>
        <w:t xml:space="preserve">  </w:t>
      </w:r>
    </w:p>
    <w:p w14:paraId="6BADAC5A" w14:textId="37FD5E9C" w:rsidR="0077001F" w:rsidRPr="009D04BB" w:rsidRDefault="000137B5" w:rsidP="005D4A08">
      <w:pPr>
        <w:pStyle w:val="Maintext"/>
        <w:outlineLvl w:val="1"/>
        <w:rPr>
          <w:color w:val="000000" w:themeColor="text1"/>
          <w:sz w:val="20"/>
          <w:szCs w:val="20"/>
        </w:rPr>
      </w:pPr>
      <w:bookmarkStart w:id="16" w:name="_Toc211869430"/>
      <w:bookmarkStart w:id="17" w:name="_Toc214992222"/>
      <w:r w:rsidRPr="009D04BB">
        <w:rPr>
          <w:noProof/>
          <w:color w:val="000000" w:themeColor="text1"/>
        </w:rPr>
        <w:lastRenderedPageBreak/>
        <w:drawing>
          <wp:inline distT="0" distB="0" distL="0" distR="0" wp14:anchorId="24AED8DB" wp14:editId="008C283D">
            <wp:extent cx="5670550" cy="2125850"/>
            <wp:effectExtent l="0" t="0" r="6350" b="8255"/>
            <wp:docPr id="1320609870" name="Picture 3" descr="A group of graph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09870" name="Picture 3" descr="A group of graphs with numbe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5469" cy="2127694"/>
                    </a:xfrm>
                    <a:prstGeom prst="rect">
                      <a:avLst/>
                    </a:prstGeom>
                    <a:noFill/>
                    <a:ln>
                      <a:noFill/>
                    </a:ln>
                  </pic:spPr>
                </pic:pic>
              </a:graphicData>
            </a:graphic>
          </wp:inline>
        </w:drawing>
      </w:r>
      <w:r w:rsidRPr="009D04BB">
        <w:rPr>
          <w:color w:val="000000" w:themeColor="text1"/>
          <w:sz w:val="20"/>
          <w:szCs w:val="20"/>
        </w:rPr>
        <w:t>Figure S</w:t>
      </w:r>
      <w:r w:rsidR="00A166B4" w:rsidRPr="009D04BB">
        <w:rPr>
          <w:color w:val="000000" w:themeColor="text1"/>
          <w:sz w:val="20"/>
          <w:szCs w:val="20"/>
        </w:rPr>
        <w:fldChar w:fldCharType="begin"/>
      </w:r>
      <w:r w:rsidR="00A166B4" w:rsidRPr="009D04BB">
        <w:rPr>
          <w:color w:val="000000" w:themeColor="text1"/>
          <w:sz w:val="20"/>
          <w:szCs w:val="20"/>
        </w:rPr>
        <w:instrText xml:space="preserve"> SEQ Figure_S \* ARABIC </w:instrText>
      </w:r>
      <w:r w:rsidR="00A166B4" w:rsidRPr="009D04BB">
        <w:rPr>
          <w:color w:val="000000" w:themeColor="text1"/>
          <w:sz w:val="20"/>
          <w:szCs w:val="20"/>
        </w:rPr>
        <w:fldChar w:fldCharType="separate"/>
      </w:r>
      <w:r w:rsidR="00C578FD" w:rsidRPr="009D04BB">
        <w:rPr>
          <w:noProof/>
          <w:color w:val="000000" w:themeColor="text1"/>
          <w:sz w:val="20"/>
          <w:szCs w:val="20"/>
        </w:rPr>
        <w:t>6</w:t>
      </w:r>
      <w:r w:rsidR="00A166B4" w:rsidRPr="009D04BB">
        <w:rPr>
          <w:noProof/>
          <w:color w:val="000000" w:themeColor="text1"/>
          <w:sz w:val="20"/>
          <w:szCs w:val="20"/>
        </w:rPr>
        <w:fldChar w:fldCharType="end"/>
      </w:r>
      <w:r w:rsidRPr="009D04BB">
        <w:rPr>
          <w:color w:val="000000" w:themeColor="text1"/>
          <w:sz w:val="20"/>
          <w:szCs w:val="20"/>
        </w:rPr>
        <w:t xml:space="preserve"> </w:t>
      </w:r>
      <w:r w:rsidR="00560F10" w:rsidRPr="009D04BB">
        <w:rPr>
          <w:color w:val="000000" w:themeColor="text1"/>
          <w:sz w:val="20"/>
          <w:szCs w:val="20"/>
        </w:rPr>
        <w:t>Quick- and slow-flow fractions vs. discharge, with fitted concentration-discharge relations</w:t>
      </w:r>
      <w:r w:rsidR="00E935FB" w:rsidRPr="009D04BB">
        <w:rPr>
          <w:color w:val="000000" w:themeColor="text1"/>
          <w:sz w:val="20"/>
          <w:szCs w:val="20"/>
        </w:rPr>
        <w:t xml:space="preserve"> for the pre-basalt application period</w:t>
      </w:r>
      <w:r w:rsidR="008C4BA4" w:rsidRPr="009D04BB">
        <w:rPr>
          <w:color w:val="000000" w:themeColor="text1"/>
          <w:sz w:val="20"/>
          <w:szCs w:val="20"/>
        </w:rPr>
        <w:t xml:space="preserve"> (January 2008–May 2017 and May 2022–Jun</w:t>
      </w:r>
      <w:r w:rsidR="00804768">
        <w:rPr>
          <w:color w:val="000000" w:themeColor="text1"/>
          <w:sz w:val="20"/>
          <w:szCs w:val="20"/>
        </w:rPr>
        <w:t>e</w:t>
      </w:r>
      <w:r w:rsidR="008C4BA4" w:rsidRPr="009D04BB">
        <w:rPr>
          <w:color w:val="000000" w:themeColor="text1"/>
          <w:sz w:val="20"/>
          <w:szCs w:val="20"/>
        </w:rPr>
        <w:t xml:space="preserve"> 2023)</w:t>
      </w:r>
      <w:r w:rsidR="00560F10" w:rsidRPr="009D04BB">
        <w:rPr>
          <w:color w:val="000000" w:themeColor="text1"/>
          <w:sz w:val="20"/>
          <w:szCs w:val="20"/>
        </w:rPr>
        <w:t>. a,</w:t>
      </w:r>
      <w:r w:rsidRPr="009D04BB">
        <w:rPr>
          <w:color w:val="000000" w:themeColor="text1"/>
          <w:sz w:val="20"/>
          <w:szCs w:val="20"/>
        </w:rPr>
        <w:t xml:space="preserve"> Proportions of quick-flow (red solid line) and slow-flow water (blue dashed line) of the W-2 stream</w:t>
      </w:r>
      <w:r w:rsidR="005D4A08" w:rsidRPr="009D04BB">
        <w:rPr>
          <w:color w:val="000000" w:themeColor="text1"/>
          <w:sz w:val="20"/>
          <w:szCs w:val="20"/>
        </w:rPr>
        <w:t>flow</w:t>
      </w:r>
      <w:r w:rsidR="008C4BA4" w:rsidRPr="009D04BB">
        <w:rPr>
          <w:color w:val="000000" w:themeColor="text1"/>
          <w:sz w:val="20"/>
          <w:szCs w:val="20"/>
        </w:rPr>
        <w:t>,</w:t>
      </w:r>
      <w:r w:rsidRPr="009D04BB">
        <w:rPr>
          <w:color w:val="000000" w:themeColor="text1"/>
          <w:sz w:val="20"/>
          <w:szCs w:val="20"/>
        </w:rPr>
        <w:t xml:space="preserve"> calculated from </w:t>
      </w:r>
      <w:r w:rsidR="00F6485C" w:rsidRPr="009D04BB">
        <w:rPr>
          <w:color w:val="000000" w:themeColor="text1"/>
          <w:sz w:val="20"/>
          <w:szCs w:val="20"/>
        </w:rPr>
        <w:t>e</w:t>
      </w:r>
      <w:r w:rsidRPr="009D04BB">
        <w:rPr>
          <w:color w:val="000000" w:themeColor="text1"/>
          <w:sz w:val="20"/>
          <w:szCs w:val="20"/>
        </w:rPr>
        <w:t xml:space="preserve">quations </w:t>
      </w:r>
      <w:r w:rsidR="00F6485C" w:rsidRPr="009D04BB">
        <w:rPr>
          <w:color w:val="000000" w:themeColor="text1"/>
          <w:sz w:val="20"/>
          <w:szCs w:val="20"/>
        </w:rPr>
        <w:t>(</w:t>
      </w:r>
      <w:r w:rsidR="005D4A08" w:rsidRPr="009D04BB">
        <w:rPr>
          <w:color w:val="000000" w:themeColor="text1"/>
          <w:sz w:val="20"/>
          <w:szCs w:val="20"/>
        </w:rPr>
        <w:t>4</w:t>
      </w:r>
      <w:r w:rsidR="00E03080" w:rsidRPr="009D04BB">
        <w:rPr>
          <w:color w:val="000000" w:themeColor="text1"/>
          <w:sz w:val="20"/>
          <w:szCs w:val="20"/>
        </w:rPr>
        <w:t>)</w:t>
      </w:r>
      <w:r w:rsidR="00F6485C" w:rsidRPr="009D04BB">
        <w:rPr>
          <w:color w:val="000000" w:themeColor="text1"/>
          <w:sz w:val="20"/>
          <w:szCs w:val="20"/>
        </w:rPr>
        <w:t>–</w:t>
      </w:r>
      <w:r w:rsidR="00E03080" w:rsidRPr="009D04BB">
        <w:rPr>
          <w:color w:val="000000" w:themeColor="text1"/>
          <w:sz w:val="20"/>
          <w:szCs w:val="20"/>
        </w:rPr>
        <w:t>(</w:t>
      </w:r>
      <w:r w:rsidR="005D4A08" w:rsidRPr="009D04BB">
        <w:rPr>
          <w:color w:val="000000" w:themeColor="text1"/>
          <w:sz w:val="20"/>
          <w:szCs w:val="20"/>
        </w:rPr>
        <w:t>6</w:t>
      </w:r>
      <w:r w:rsidR="00F6485C" w:rsidRPr="009D04BB">
        <w:rPr>
          <w:color w:val="000000" w:themeColor="text1"/>
          <w:sz w:val="20"/>
          <w:szCs w:val="20"/>
        </w:rPr>
        <w:t>)</w:t>
      </w:r>
      <w:r w:rsidR="005D4A08" w:rsidRPr="009D04BB">
        <w:rPr>
          <w:color w:val="000000" w:themeColor="text1"/>
          <w:sz w:val="20"/>
          <w:szCs w:val="20"/>
        </w:rPr>
        <w:t xml:space="preserve">, with fitted </w:t>
      </w:r>
      <w:r w:rsidR="008C4BA4" w:rsidRPr="009D04BB">
        <w:rPr>
          <w:color w:val="000000" w:themeColor="text1"/>
          <w:sz w:val="20"/>
          <w:szCs w:val="20"/>
        </w:rPr>
        <w:t>parameters</w:t>
      </w:r>
      <w:r w:rsidR="005D4A08" w:rsidRPr="009D04BB">
        <w:rPr>
          <w:color w:val="000000" w:themeColor="text1"/>
          <w:sz w:val="20"/>
          <w:szCs w:val="20"/>
        </w:rPr>
        <w:t xml:space="preserve"> of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slow</m:t>
            </m:r>
          </m:sub>
        </m:sSub>
      </m:oMath>
      <w:r w:rsidR="005D4A08" w:rsidRPr="009D04BB">
        <w:rPr>
          <w:rFonts w:eastAsiaTheme="minorEastAsia"/>
          <w:color w:val="000000" w:themeColor="text1"/>
          <w:sz w:val="20"/>
          <w:szCs w:val="20"/>
        </w:rPr>
        <w:t xml:space="preserve"> = 1.08, and  </w:t>
      </w:r>
      <m:oMath>
        <m:sSub>
          <m:sSubPr>
            <m:ctrlPr>
              <w:rPr>
                <w:rFonts w:ascii="Cambria Math" w:eastAsia="Cambria Math" w:hAnsi="Cambria Math"/>
                <w:i/>
                <w:color w:val="000000" w:themeColor="text1"/>
                <w:sz w:val="20"/>
                <w:szCs w:val="20"/>
              </w:rPr>
            </m:ctrlPr>
          </m:sSubPr>
          <m:e>
            <m:r>
              <w:rPr>
                <w:rFonts w:ascii="Cambria Math" w:eastAsia="Cambria Math" w:hAnsi="Cambria Math"/>
                <w:color w:val="000000" w:themeColor="text1"/>
                <w:sz w:val="20"/>
                <w:szCs w:val="20"/>
              </w:rPr>
              <m:t>b</m:t>
            </m:r>
          </m:e>
          <m:sub>
            <m:r>
              <w:rPr>
                <w:rFonts w:ascii="Cambria Math" w:eastAsia="Cambria Math" w:hAnsi="Cambria Math"/>
                <w:color w:val="000000" w:themeColor="text1"/>
                <w:sz w:val="20"/>
                <w:szCs w:val="20"/>
              </w:rPr>
              <m:t>slow</m:t>
            </m:r>
          </m:sub>
        </m:sSub>
      </m:oMath>
      <w:r w:rsidR="005D4A08" w:rsidRPr="009D04BB">
        <w:rPr>
          <w:rFonts w:eastAsiaTheme="minorEastAsia"/>
          <w:color w:val="000000" w:themeColor="text1"/>
          <w:sz w:val="20"/>
          <w:szCs w:val="20"/>
        </w:rPr>
        <w:t xml:space="preserve">  = 0.46</w:t>
      </w:r>
      <w:r w:rsidRPr="009D04BB">
        <w:rPr>
          <w:color w:val="000000" w:themeColor="text1"/>
          <w:sz w:val="20"/>
          <w:szCs w:val="20"/>
        </w:rPr>
        <w:t xml:space="preserve">. </w:t>
      </w:r>
      <w:r w:rsidR="00560F10" w:rsidRPr="009D04BB">
        <w:rPr>
          <w:color w:val="000000" w:themeColor="text1"/>
          <w:sz w:val="20"/>
          <w:szCs w:val="20"/>
        </w:rPr>
        <w:t>b,</w:t>
      </w:r>
      <w:r w:rsidRPr="009D04BB">
        <w:rPr>
          <w:color w:val="000000" w:themeColor="text1"/>
          <w:sz w:val="20"/>
          <w:szCs w:val="20"/>
        </w:rPr>
        <w:t xml:space="preserve"> Observed (blue circles) and predicted (red dashed line) concentration-discharge relation of Ca, Mg, Na</w:t>
      </w:r>
      <w:r w:rsidR="00272F8E" w:rsidRPr="009D04BB">
        <w:rPr>
          <w:color w:val="000000" w:themeColor="text1"/>
          <w:sz w:val="20"/>
          <w:szCs w:val="20"/>
        </w:rPr>
        <w:t>,</w:t>
      </w:r>
      <w:r w:rsidRPr="009D04BB">
        <w:rPr>
          <w:color w:val="000000" w:themeColor="text1"/>
          <w:sz w:val="20"/>
          <w:szCs w:val="20"/>
        </w:rPr>
        <w:t xml:space="preserve"> and alkalinity in W-2 streamwater before basalt treatment.</w:t>
      </w:r>
      <w:bookmarkEnd w:id="16"/>
      <w:bookmarkEnd w:id="17"/>
    </w:p>
    <w:p w14:paraId="21F94A54" w14:textId="22422B64" w:rsidR="00976C04" w:rsidRPr="009D04BB" w:rsidRDefault="00976C04" w:rsidP="00976C04">
      <w:pPr>
        <w:pStyle w:val="Maintext"/>
        <w:rPr>
          <w:color w:val="000000" w:themeColor="text1"/>
        </w:rPr>
      </w:pPr>
      <w:r w:rsidRPr="009D04BB">
        <w:rPr>
          <w:noProof/>
          <w:color w:val="000000" w:themeColor="text1"/>
        </w:rPr>
        <w:drawing>
          <wp:inline distT="0" distB="0" distL="0" distR="0" wp14:anchorId="07F375C2" wp14:editId="62794D37">
            <wp:extent cx="5943600" cy="3383280"/>
            <wp:effectExtent l="0" t="0" r="0" b="7620"/>
            <wp:docPr id="437998544" name="Picture 2" descr="A collage of graphs and dia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98544" name="Picture 2" descr="A collage of graphs and diagram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a:ln>
                      <a:noFill/>
                    </a:ln>
                  </pic:spPr>
                </pic:pic>
              </a:graphicData>
            </a:graphic>
          </wp:inline>
        </w:drawing>
      </w:r>
    </w:p>
    <w:p w14:paraId="52713AB0" w14:textId="6AB810A4" w:rsidR="000137B5" w:rsidRPr="009D04BB" w:rsidRDefault="000137B5" w:rsidP="000137B5">
      <w:pPr>
        <w:pStyle w:val="Figure"/>
        <w:outlineLvl w:val="1"/>
        <w:rPr>
          <w:sz w:val="20"/>
          <w:szCs w:val="20"/>
        </w:rPr>
      </w:pPr>
      <w:bookmarkStart w:id="18" w:name="_Toc211852173"/>
      <w:bookmarkStart w:id="19" w:name="_Toc214992223"/>
      <w:r w:rsidRPr="009D04BB">
        <w:rPr>
          <w:sz w:val="20"/>
          <w:szCs w:val="20"/>
        </w:rPr>
        <w:t>Figure S</w:t>
      </w:r>
      <w:r w:rsidR="00A166B4" w:rsidRPr="009D04BB">
        <w:rPr>
          <w:sz w:val="20"/>
          <w:szCs w:val="20"/>
        </w:rPr>
        <w:fldChar w:fldCharType="begin"/>
      </w:r>
      <w:r w:rsidR="00A166B4" w:rsidRPr="009D04BB">
        <w:rPr>
          <w:sz w:val="20"/>
          <w:szCs w:val="20"/>
        </w:rPr>
        <w:instrText xml:space="preserve"> SEQ Figure_S \* ARABIC </w:instrText>
      </w:r>
      <w:r w:rsidR="00A166B4" w:rsidRPr="009D04BB">
        <w:rPr>
          <w:sz w:val="20"/>
          <w:szCs w:val="20"/>
        </w:rPr>
        <w:fldChar w:fldCharType="separate"/>
      </w:r>
      <w:r w:rsidR="00C578FD" w:rsidRPr="009D04BB">
        <w:rPr>
          <w:noProof/>
          <w:sz w:val="20"/>
          <w:szCs w:val="20"/>
        </w:rPr>
        <w:t>7</w:t>
      </w:r>
      <w:r w:rsidR="00A166B4" w:rsidRPr="009D04BB">
        <w:rPr>
          <w:noProof/>
          <w:sz w:val="20"/>
          <w:szCs w:val="20"/>
        </w:rPr>
        <w:fldChar w:fldCharType="end"/>
      </w:r>
      <w:r w:rsidRPr="009D04BB">
        <w:rPr>
          <w:sz w:val="20"/>
          <w:szCs w:val="20"/>
        </w:rPr>
        <w:t xml:space="preserve">. </w:t>
      </w:r>
      <w:r w:rsidR="00E479FF" w:rsidRPr="009D04BB">
        <w:rPr>
          <w:sz w:val="20"/>
          <w:szCs w:val="20"/>
        </w:rPr>
        <w:t xml:space="preserve">Seasonal concentration-discharge (C-Q) relations and estimated concentrations of slow-/quick-flow endmembers pre- and post-basalt application. </w:t>
      </w:r>
      <w:r w:rsidRPr="009D04BB">
        <w:rPr>
          <w:sz w:val="20"/>
          <w:szCs w:val="20"/>
        </w:rPr>
        <w:t>a</w:t>
      </w:r>
      <w:r w:rsidR="0006719B" w:rsidRPr="009D04BB">
        <w:rPr>
          <w:sz w:val="20"/>
          <w:szCs w:val="20"/>
        </w:rPr>
        <w:t>,</w:t>
      </w:r>
      <w:r w:rsidRPr="009D04BB">
        <w:rPr>
          <w:sz w:val="20"/>
          <w:szCs w:val="20"/>
        </w:rPr>
        <w:t xml:space="preserve"> C-Q relation for Mg and Na pre- (blue) and post-basalt (orange) application for winter/spring and summer/fall periods, fitted with </w:t>
      </w:r>
      <w:r w:rsidR="00F6485C" w:rsidRPr="009D04BB">
        <w:rPr>
          <w:sz w:val="20"/>
          <w:szCs w:val="20"/>
        </w:rPr>
        <w:t>e</w:t>
      </w:r>
      <w:r w:rsidRPr="009D04BB">
        <w:rPr>
          <w:sz w:val="20"/>
          <w:szCs w:val="20"/>
        </w:rPr>
        <w:t xml:space="preserve">quations </w:t>
      </w:r>
      <w:r w:rsidR="00F6485C" w:rsidRPr="009D04BB">
        <w:rPr>
          <w:sz w:val="20"/>
          <w:szCs w:val="20"/>
        </w:rPr>
        <w:t>(</w:t>
      </w:r>
      <w:r w:rsidR="008C4BA4" w:rsidRPr="009D04BB">
        <w:rPr>
          <w:sz w:val="20"/>
          <w:szCs w:val="20"/>
        </w:rPr>
        <w:t>4</w:t>
      </w:r>
      <w:r w:rsidR="00E03080" w:rsidRPr="009D04BB">
        <w:rPr>
          <w:sz w:val="20"/>
          <w:szCs w:val="20"/>
        </w:rPr>
        <w:t>)</w:t>
      </w:r>
      <w:r w:rsidR="00495160" w:rsidRPr="009D04BB">
        <w:rPr>
          <w:sz w:val="20"/>
          <w:szCs w:val="20"/>
        </w:rPr>
        <w:t>–(</w:t>
      </w:r>
      <w:r w:rsidR="008C4BA4" w:rsidRPr="009D04BB">
        <w:rPr>
          <w:sz w:val="20"/>
          <w:szCs w:val="20"/>
        </w:rPr>
        <w:t>6</w:t>
      </w:r>
      <w:r w:rsidR="00F6485C" w:rsidRPr="009D04BB">
        <w:rPr>
          <w:sz w:val="20"/>
          <w:szCs w:val="20"/>
        </w:rPr>
        <w:t>)</w:t>
      </w:r>
      <w:r w:rsidRPr="009D04BB">
        <w:rPr>
          <w:sz w:val="20"/>
          <w:szCs w:val="20"/>
        </w:rPr>
        <w:t xml:space="preserve">. </w:t>
      </w:r>
      <w:r w:rsidR="00CE2923" w:rsidRPr="009D04BB">
        <w:rPr>
          <w:sz w:val="20"/>
          <w:szCs w:val="20"/>
        </w:rPr>
        <w:t>b</w:t>
      </w:r>
      <w:r w:rsidR="00E479FF" w:rsidRPr="009D04BB">
        <w:rPr>
          <w:sz w:val="20"/>
          <w:szCs w:val="20"/>
        </w:rPr>
        <w:t>,</w:t>
      </w:r>
      <w:r w:rsidRPr="009D04BB">
        <w:rPr>
          <w:sz w:val="20"/>
          <w:szCs w:val="20"/>
        </w:rPr>
        <w:t xml:space="preserve"> Mg</w:t>
      </w:r>
      <w:r w:rsidR="00272F8E" w:rsidRPr="009D04BB">
        <w:rPr>
          <w:sz w:val="20"/>
          <w:szCs w:val="20"/>
        </w:rPr>
        <w:t>,</w:t>
      </w:r>
      <w:r w:rsidRPr="009D04BB">
        <w:rPr>
          <w:sz w:val="20"/>
          <w:szCs w:val="20"/>
        </w:rPr>
        <w:t xml:space="preserve"> and Na concentrations </w:t>
      </w:r>
      <w:r w:rsidRPr="009D04BB">
        <w:rPr>
          <w:sz w:val="20"/>
          <w:szCs w:val="20"/>
        </w:rPr>
        <w:lastRenderedPageBreak/>
        <w:t>from quick-flow (blue) and slow-flow (</w:t>
      </w:r>
      <w:r w:rsidR="00312169" w:rsidRPr="009D04BB">
        <w:rPr>
          <w:sz w:val="20"/>
          <w:szCs w:val="20"/>
        </w:rPr>
        <w:t>orange</w:t>
      </w:r>
      <w:r w:rsidRPr="009D04BB">
        <w:rPr>
          <w:sz w:val="20"/>
          <w:szCs w:val="20"/>
        </w:rPr>
        <w:t xml:space="preserve">) endmembers pre- </w:t>
      </w:r>
      <w:r w:rsidR="00090BB2" w:rsidRPr="009D04BB">
        <w:rPr>
          <w:sz w:val="20"/>
          <w:szCs w:val="20"/>
        </w:rPr>
        <w:t>(open circles)</w:t>
      </w:r>
      <w:r w:rsidRPr="009D04BB">
        <w:rPr>
          <w:sz w:val="20"/>
          <w:szCs w:val="20"/>
        </w:rPr>
        <w:t xml:space="preserve"> and post-basalt (filled</w:t>
      </w:r>
      <w:r w:rsidR="00090BB2" w:rsidRPr="009D04BB">
        <w:rPr>
          <w:sz w:val="20"/>
          <w:szCs w:val="20"/>
        </w:rPr>
        <w:t xml:space="preserve"> circles</w:t>
      </w:r>
      <w:r w:rsidRPr="009D04BB">
        <w:rPr>
          <w:sz w:val="20"/>
          <w:szCs w:val="20"/>
        </w:rPr>
        <w:t xml:space="preserve">) application in winter/spring and summer/fall periods, estimated using </w:t>
      </w:r>
      <w:r w:rsidR="00F6485C" w:rsidRPr="009D04BB">
        <w:rPr>
          <w:sz w:val="20"/>
          <w:szCs w:val="20"/>
        </w:rPr>
        <w:t>equations (</w:t>
      </w:r>
      <w:r w:rsidR="008C4BA4" w:rsidRPr="009D04BB">
        <w:rPr>
          <w:sz w:val="20"/>
          <w:szCs w:val="20"/>
        </w:rPr>
        <w:t>4</w:t>
      </w:r>
      <w:r w:rsidR="00E03080" w:rsidRPr="009D04BB">
        <w:rPr>
          <w:sz w:val="20"/>
          <w:szCs w:val="20"/>
        </w:rPr>
        <w:t>)</w:t>
      </w:r>
      <w:r w:rsidR="00F6485C" w:rsidRPr="009D04BB">
        <w:rPr>
          <w:sz w:val="20"/>
          <w:szCs w:val="20"/>
        </w:rPr>
        <w:t>–</w:t>
      </w:r>
      <w:r w:rsidR="00E03080" w:rsidRPr="009D04BB">
        <w:rPr>
          <w:sz w:val="20"/>
          <w:szCs w:val="20"/>
        </w:rPr>
        <w:t>(</w:t>
      </w:r>
      <w:r w:rsidR="008C4BA4" w:rsidRPr="009D04BB">
        <w:rPr>
          <w:sz w:val="20"/>
          <w:szCs w:val="20"/>
        </w:rPr>
        <w:t>6</w:t>
      </w:r>
      <w:r w:rsidR="00F6485C" w:rsidRPr="009D04BB">
        <w:rPr>
          <w:sz w:val="20"/>
          <w:szCs w:val="20"/>
        </w:rPr>
        <w:t>)</w:t>
      </w:r>
      <w:r w:rsidRPr="009D04BB">
        <w:rPr>
          <w:sz w:val="20"/>
          <w:szCs w:val="20"/>
        </w:rPr>
        <w:t>.</w:t>
      </w:r>
      <w:bookmarkEnd w:id="18"/>
      <w:bookmarkEnd w:id="19"/>
    </w:p>
    <w:p w14:paraId="01173128" w14:textId="36D01A32" w:rsidR="000137B5" w:rsidRPr="009D04BB" w:rsidRDefault="000137B5" w:rsidP="00C578FD">
      <w:pPr>
        <w:pStyle w:val="Figure"/>
        <w:jc w:val="center"/>
        <w:outlineLvl w:val="1"/>
        <w:rPr>
          <w:sz w:val="20"/>
          <w:szCs w:val="20"/>
        </w:rPr>
      </w:pPr>
      <w:bookmarkStart w:id="20" w:name="_Toc211852175"/>
      <w:bookmarkStart w:id="21" w:name="_Toc214992224"/>
      <w:r w:rsidRPr="009D04BB">
        <w:rPr>
          <w:sz w:val="20"/>
          <w:szCs w:val="20"/>
        </w:rPr>
        <w:t>Table S</w:t>
      </w:r>
      <w:r w:rsidR="00983DEC" w:rsidRPr="009D04BB">
        <w:rPr>
          <w:sz w:val="20"/>
          <w:szCs w:val="20"/>
        </w:rPr>
        <w:t>1</w:t>
      </w:r>
      <w:r w:rsidRPr="009D04BB">
        <w:rPr>
          <w:sz w:val="20"/>
          <w:szCs w:val="20"/>
        </w:rPr>
        <w:t xml:space="preserve"> Major oxide composition and loss on ignition (LOI) of the basalt feedstock</w:t>
      </w:r>
      <w:bookmarkEnd w:id="20"/>
      <w:bookmarkEnd w:id="2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150"/>
      </w:tblGrid>
      <w:tr w:rsidR="009D04BB" w:rsidRPr="009D04BB" w14:paraId="7F11F07B" w14:textId="77777777" w:rsidTr="00C578FD">
        <w:trPr>
          <w:jc w:val="center"/>
        </w:trPr>
        <w:tc>
          <w:tcPr>
            <w:tcW w:w="2880" w:type="dxa"/>
            <w:tcBorders>
              <w:top w:val="single" w:sz="4" w:space="0" w:color="auto"/>
              <w:bottom w:val="single" w:sz="4" w:space="0" w:color="auto"/>
            </w:tcBorders>
          </w:tcPr>
          <w:p w14:paraId="4CA1D11A" w14:textId="336873A3" w:rsidR="00C578FD" w:rsidRPr="009D04BB" w:rsidRDefault="00C578FD" w:rsidP="005674BD">
            <w:pPr>
              <w:pStyle w:val="Figure"/>
              <w:spacing w:line="276" w:lineRule="auto"/>
              <w:jc w:val="left"/>
              <w:rPr>
                <w:sz w:val="20"/>
                <w:szCs w:val="20"/>
              </w:rPr>
            </w:pPr>
            <w:bookmarkStart w:id="22" w:name="_Toc211869434"/>
            <w:r w:rsidRPr="009D04BB">
              <w:rPr>
                <w:sz w:val="20"/>
                <w:szCs w:val="20"/>
              </w:rPr>
              <w:t>Major Oxides and LOI</w:t>
            </w:r>
            <w:bookmarkEnd w:id="22"/>
          </w:p>
        </w:tc>
        <w:tc>
          <w:tcPr>
            <w:tcW w:w="3150" w:type="dxa"/>
            <w:tcBorders>
              <w:top w:val="single" w:sz="4" w:space="0" w:color="auto"/>
              <w:bottom w:val="single" w:sz="4" w:space="0" w:color="auto"/>
            </w:tcBorders>
          </w:tcPr>
          <w:p w14:paraId="76DFB439" w14:textId="4929085C" w:rsidR="00C578FD" w:rsidRPr="009D04BB" w:rsidRDefault="00C578FD" w:rsidP="005674BD">
            <w:pPr>
              <w:pStyle w:val="Figure"/>
              <w:spacing w:line="276" w:lineRule="auto"/>
              <w:jc w:val="left"/>
              <w:rPr>
                <w:sz w:val="20"/>
                <w:szCs w:val="20"/>
              </w:rPr>
            </w:pPr>
            <w:bookmarkStart w:id="23" w:name="_Toc211869435"/>
            <w:r w:rsidRPr="009D04BB">
              <w:rPr>
                <w:sz w:val="20"/>
                <w:szCs w:val="20"/>
              </w:rPr>
              <w:t>Content (%) FUS-ICP Analyses</w:t>
            </w:r>
            <w:bookmarkEnd w:id="23"/>
          </w:p>
        </w:tc>
      </w:tr>
      <w:tr w:rsidR="009D04BB" w:rsidRPr="009D04BB" w14:paraId="6F7D625A" w14:textId="77777777" w:rsidTr="00C578FD">
        <w:trPr>
          <w:jc w:val="center"/>
        </w:trPr>
        <w:tc>
          <w:tcPr>
            <w:tcW w:w="2880" w:type="dxa"/>
            <w:tcBorders>
              <w:top w:val="single" w:sz="4" w:space="0" w:color="auto"/>
            </w:tcBorders>
          </w:tcPr>
          <w:p w14:paraId="6E438F99" w14:textId="46328A96" w:rsidR="00C578FD" w:rsidRPr="009D04BB" w:rsidRDefault="00C578FD" w:rsidP="005674BD">
            <w:pPr>
              <w:pStyle w:val="Figure"/>
              <w:spacing w:line="276" w:lineRule="auto"/>
              <w:jc w:val="left"/>
              <w:rPr>
                <w:sz w:val="20"/>
                <w:szCs w:val="20"/>
              </w:rPr>
            </w:pPr>
            <w:bookmarkStart w:id="24" w:name="_Toc211869436"/>
            <w:r w:rsidRPr="009D04BB">
              <w:rPr>
                <w:sz w:val="20"/>
                <w:szCs w:val="20"/>
              </w:rPr>
              <w:t>Silicon dioxide (SiO</w:t>
            </w:r>
            <w:r w:rsidRPr="009D04BB">
              <w:rPr>
                <w:sz w:val="20"/>
                <w:szCs w:val="20"/>
                <w:vertAlign w:val="subscript"/>
              </w:rPr>
              <w:t>2</w:t>
            </w:r>
            <w:r w:rsidRPr="009D04BB">
              <w:rPr>
                <w:sz w:val="20"/>
                <w:szCs w:val="20"/>
              </w:rPr>
              <w:t>)</w:t>
            </w:r>
            <w:bookmarkEnd w:id="24"/>
          </w:p>
        </w:tc>
        <w:tc>
          <w:tcPr>
            <w:tcW w:w="3150" w:type="dxa"/>
            <w:tcBorders>
              <w:top w:val="single" w:sz="4" w:space="0" w:color="auto"/>
            </w:tcBorders>
          </w:tcPr>
          <w:p w14:paraId="30E8D698" w14:textId="1BFB7C2E" w:rsidR="00C578FD" w:rsidRPr="009D04BB" w:rsidRDefault="00C578FD" w:rsidP="005674BD">
            <w:pPr>
              <w:pStyle w:val="Figure"/>
              <w:spacing w:line="276" w:lineRule="auto"/>
              <w:jc w:val="left"/>
              <w:rPr>
                <w:sz w:val="20"/>
                <w:szCs w:val="20"/>
              </w:rPr>
            </w:pPr>
            <w:bookmarkStart w:id="25" w:name="_Toc211869437"/>
            <w:r w:rsidRPr="009D04BB">
              <w:rPr>
                <w:sz w:val="20"/>
                <w:szCs w:val="20"/>
              </w:rPr>
              <w:t>51.62</w:t>
            </w:r>
            <w:bookmarkEnd w:id="25"/>
          </w:p>
        </w:tc>
      </w:tr>
      <w:tr w:rsidR="009D04BB" w:rsidRPr="009D04BB" w14:paraId="1464578F" w14:textId="77777777" w:rsidTr="00C578FD">
        <w:trPr>
          <w:jc w:val="center"/>
        </w:trPr>
        <w:tc>
          <w:tcPr>
            <w:tcW w:w="2880" w:type="dxa"/>
          </w:tcPr>
          <w:p w14:paraId="38330E6E" w14:textId="19D7A277" w:rsidR="00C578FD" w:rsidRPr="009D04BB" w:rsidRDefault="00C578FD" w:rsidP="005674BD">
            <w:pPr>
              <w:pStyle w:val="Figure"/>
              <w:spacing w:line="276" w:lineRule="auto"/>
              <w:jc w:val="left"/>
              <w:rPr>
                <w:sz w:val="20"/>
                <w:szCs w:val="20"/>
              </w:rPr>
            </w:pPr>
            <w:bookmarkStart w:id="26" w:name="_Toc211869438"/>
            <w:r w:rsidRPr="009D04BB">
              <w:rPr>
                <w:sz w:val="20"/>
                <w:szCs w:val="20"/>
              </w:rPr>
              <w:t>Aluminum oxide (Al</w:t>
            </w:r>
            <w:r w:rsidRPr="009D04BB">
              <w:rPr>
                <w:sz w:val="20"/>
                <w:szCs w:val="20"/>
                <w:vertAlign w:val="subscript"/>
              </w:rPr>
              <w:t>2</w:t>
            </w:r>
            <w:r w:rsidRPr="009D04BB">
              <w:rPr>
                <w:sz w:val="20"/>
                <w:szCs w:val="20"/>
              </w:rPr>
              <w:t>O</w:t>
            </w:r>
            <w:r w:rsidRPr="009D04BB">
              <w:rPr>
                <w:sz w:val="20"/>
                <w:szCs w:val="20"/>
                <w:vertAlign w:val="subscript"/>
              </w:rPr>
              <w:t>3</w:t>
            </w:r>
            <w:r w:rsidRPr="009D04BB">
              <w:rPr>
                <w:sz w:val="20"/>
                <w:szCs w:val="20"/>
              </w:rPr>
              <w:t>)</w:t>
            </w:r>
            <w:bookmarkEnd w:id="26"/>
          </w:p>
        </w:tc>
        <w:tc>
          <w:tcPr>
            <w:tcW w:w="3150" w:type="dxa"/>
          </w:tcPr>
          <w:p w14:paraId="19BD75FE" w14:textId="00807A17" w:rsidR="00C578FD" w:rsidRPr="009D04BB" w:rsidRDefault="00C578FD" w:rsidP="005674BD">
            <w:pPr>
              <w:pStyle w:val="Figure"/>
              <w:spacing w:line="276" w:lineRule="auto"/>
              <w:jc w:val="left"/>
              <w:rPr>
                <w:sz w:val="20"/>
                <w:szCs w:val="20"/>
              </w:rPr>
            </w:pPr>
            <w:bookmarkStart w:id="27" w:name="_Toc211869439"/>
            <w:r w:rsidRPr="009D04BB">
              <w:rPr>
                <w:sz w:val="20"/>
                <w:szCs w:val="20"/>
              </w:rPr>
              <w:t>13.64</w:t>
            </w:r>
            <w:bookmarkEnd w:id="27"/>
          </w:p>
        </w:tc>
      </w:tr>
      <w:tr w:rsidR="009D04BB" w:rsidRPr="009D04BB" w14:paraId="77EB363E" w14:textId="77777777" w:rsidTr="00C578FD">
        <w:trPr>
          <w:jc w:val="center"/>
        </w:trPr>
        <w:tc>
          <w:tcPr>
            <w:tcW w:w="2880" w:type="dxa"/>
          </w:tcPr>
          <w:p w14:paraId="687FCAF5" w14:textId="5BD86313" w:rsidR="00C578FD" w:rsidRPr="009D04BB" w:rsidRDefault="00C578FD" w:rsidP="005674BD">
            <w:pPr>
              <w:pStyle w:val="Figure"/>
              <w:spacing w:line="276" w:lineRule="auto"/>
              <w:jc w:val="left"/>
              <w:rPr>
                <w:sz w:val="20"/>
                <w:szCs w:val="20"/>
              </w:rPr>
            </w:pPr>
            <w:bookmarkStart w:id="28" w:name="_Toc211869440"/>
            <w:r w:rsidRPr="009D04BB">
              <w:rPr>
                <w:sz w:val="20"/>
                <w:szCs w:val="20"/>
              </w:rPr>
              <w:t>Iron oxide (Fe</w:t>
            </w:r>
            <w:r w:rsidRPr="009D04BB">
              <w:rPr>
                <w:sz w:val="20"/>
                <w:szCs w:val="20"/>
                <w:vertAlign w:val="subscript"/>
              </w:rPr>
              <w:t>2</w:t>
            </w:r>
            <w:r w:rsidRPr="009D04BB">
              <w:rPr>
                <w:sz w:val="20"/>
                <w:szCs w:val="20"/>
              </w:rPr>
              <w:t>O</w:t>
            </w:r>
            <w:r w:rsidRPr="009D04BB">
              <w:rPr>
                <w:sz w:val="20"/>
                <w:szCs w:val="20"/>
                <w:vertAlign w:val="subscript"/>
              </w:rPr>
              <w:t>3</w:t>
            </w:r>
            <w:r w:rsidRPr="009D04BB">
              <w:rPr>
                <w:sz w:val="20"/>
                <w:szCs w:val="20"/>
              </w:rPr>
              <w:t>(T))</w:t>
            </w:r>
            <w:bookmarkEnd w:id="28"/>
          </w:p>
        </w:tc>
        <w:tc>
          <w:tcPr>
            <w:tcW w:w="3150" w:type="dxa"/>
          </w:tcPr>
          <w:p w14:paraId="099A1A2F" w14:textId="175DBBE1" w:rsidR="00C578FD" w:rsidRPr="009D04BB" w:rsidRDefault="00C578FD" w:rsidP="005674BD">
            <w:pPr>
              <w:pStyle w:val="Figure"/>
              <w:spacing w:line="276" w:lineRule="auto"/>
              <w:jc w:val="left"/>
              <w:rPr>
                <w:sz w:val="20"/>
                <w:szCs w:val="20"/>
              </w:rPr>
            </w:pPr>
            <w:bookmarkStart w:id="29" w:name="_Toc211869441"/>
            <w:r w:rsidRPr="009D04BB">
              <w:rPr>
                <w:sz w:val="20"/>
                <w:szCs w:val="20"/>
              </w:rPr>
              <w:t>13.16</w:t>
            </w:r>
            <w:bookmarkEnd w:id="29"/>
          </w:p>
        </w:tc>
      </w:tr>
      <w:tr w:rsidR="009D04BB" w:rsidRPr="009D04BB" w14:paraId="0697E582" w14:textId="77777777" w:rsidTr="00C578FD">
        <w:trPr>
          <w:jc w:val="center"/>
        </w:trPr>
        <w:tc>
          <w:tcPr>
            <w:tcW w:w="2880" w:type="dxa"/>
          </w:tcPr>
          <w:p w14:paraId="158CD912" w14:textId="01FD5BDE" w:rsidR="00C578FD" w:rsidRPr="009D04BB" w:rsidRDefault="00C578FD" w:rsidP="005674BD">
            <w:pPr>
              <w:pStyle w:val="Figure"/>
              <w:spacing w:line="276" w:lineRule="auto"/>
              <w:jc w:val="left"/>
              <w:rPr>
                <w:sz w:val="20"/>
                <w:szCs w:val="20"/>
              </w:rPr>
            </w:pPr>
            <w:bookmarkStart w:id="30" w:name="_Toc211869442"/>
            <w:r w:rsidRPr="009D04BB">
              <w:rPr>
                <w:sz w:val="20"/>
                <w:szCs w:val="20"/>
              </w:rPr>
              <w:t>Magnesium oxide (MgO)</w:t>
            </w:r>
            <w:bookmarkEnd w:id="30"/>
          </w:p>
        </w:tc>
        <w:tc>
          <w:tcPr>
            <w:tcW w:w="3150" w:type="dxa"/>
          </w:tcPr>
          <w:p w14:paraId="5770346C" w14:textId="6FB9FECE" w:rsidR="00C578FD" w:rsidRPr="009D04BB" w:rsidRDefault="00C578FD" w:rsidP="005674BD">
            <w:pPr>
              <w:pStyle w:val="Figure"/>
              <w:spacing w:line="276" w:lineRule="auto"/>
              <w:jc w:val="left"/>
              <w:rPr>
                <w:sz w:val="20"/>
                <w:szCs w:val="20"/>
              </w:rPr>
            </w:pPr>
            <w:bookmarkStart w:id="31" w:name="_Toc211869443"/>
            <w:r w:rsidRPr="009D04BB">
              <w:rPr>
                <w:sz w:val="20"/>
                <w:szCs w:val="20"/>
              </w:rPr>
              <w:t>5.77</w:t>
            </w:r>
            <w:bookmarkEnd w:id="31"/>
          </w:p>
        </w:tc>
      </w:tr>
      <w:tr w:rsidR="009D04BB" w:rsidRPr="009D04BB" w14:paraId="25E9107E" w14:textId="77777777" w:rsidTr="00C578FD">
        <w:trPr>
          <w:jc w:val="center"/>
        </w:trPr>
        <w:tc>
          <w:tcPr>
            <w:tcW w:w="2880" w:type="dxa"/>
          </w:tcPr>
          <w:p w14:paraId="0C4C70A4" w14:textId="4D7116A7" w:rsidR="00C578FD" w:rsidRPr="009D04BB" w:rsidRDefault="00C578FD" w:rsidP="005674BD">
            <w:pPr>
              <w:pStyle w:val="Figure"/>
              <w:spacing w:line="276" w:lineRule="auto"/>
              <w:jc w:val="left"/>
              <w:rPr>
                <w:sz w:val="20"/>
                <w:szCs w:val="20"/>
              </w:rPr>
            </w:pPr>
            <w:bookmarkStart w:id="32" w:name="_Toc211869444"/>
            <w:r w:rsidRPr="009D04BB">
              <w:rPr>
                <w:sz w:val="20"/>
                <w:szCs w:val="20"/>
              </w:rPr>
              <w:t>Calcium oxide (CaO)</w:t>
            </w:r>
            <w:bookmarkEnd w:id="32"/>
          </w:p>
        </w:tc>
        <w:tc>
          <w:tcPr>
            <w:tcW w:w="3150" w:type="dxa"/>
          </w:tcPr>
          <w:p w14:paraId="6B89F0D5" w14:textId="067EF224" w:rsidR="00C578FD" w:rsidRPr="009D04BB" w:rsidRDefault="00C578FD" w:rsidP="005674BD">
            <w:pPr>
              <w:pStyle w:val="Figure"/>
              <w:spacing w:line="276" w:lineRule="auto"/>
              <w:jc w:val="left"/>
              <w:rPr>
                <w:sz w:val="20"/>
                <w:szCs w:val="20"/>
              </w:rPr>
            </w:pPr>
            <w:bookmarkStart w:id="33" w:name="_Toc211869445"/>
            <w:r w:rsidRPr="009D04BB">
              <w:rPr>
                <w:sz w:val="20"/>
                <w:szCs w:val="20"/>
              </w:rPr>
              <w:t>9.15</w:t>
            </w:r>
            <w:bookmarkEnd w:id="33"/>
          </w:p>
        </w:tc>
      </w:tr>
      <w:tr w:rsidR="009D04BB" w:rsidRPr="009D04BB" w14:paraId="37A211E7" w14:textId="77777777" w:rsidTr="00C578FD">
        <w:trPr>
          <w:jc w:val="center"/>
        </w:trPr>
        <w:tc>
          <w:tcPr>
            <w:tcW w:w="2880" w:type="dxa"/>
          </w:tcPr>
          <w:p w14:paraId="030BA993" w14:textId="4F1C1104" w:rsidR="00C578FD" w:rsidRPr="009D04BB" w:rsidRDefault="00C578FD" w:rsidP="005674BD">
            <w:pPr>
              <w:pStyle w:val="Figure"/>
              <w:spacing w:line="276" w:lineRule="auto"/>
              <w:jc w:val="left"/>
              <w:rPr>
                <w:sz w:val="20"/>
                <w:szCs w:val="20"/>
              </w:rPr>
            </w:pPr>
            <w:bookmarkStart w:id="34" w:name="_Toc211869446"/>
            <w:r w:rsidRPr="009D04BB">
              <w:rPr>
                <w:sz w:val="20"/>
                <w:szCs w:val="20"/>
              </w:rPr>
              <w:t>Sodium oxide (Na</w:t>
            </w:r>
            <w:r w:rsidRPr="009D04BB">
              <w:rPr>
                <w:sz w:val="20"/>
                <w:szCs w:val="20"/>
                <w:vertAlign w:val="subscript"/>
              </w:rPr>
              <w:t>2</w:t>
            </w:r>
            <w:r w:rsidRPr="009D04BB">
              <w:rPr>
                <w:sz w:val="20"/>
                <w:szCs w:val="20"/>
              </w:rPr>
              <w:t>O)</w:t>
            </w:r>
            <w:bookmarkEnd w:id="34"/>
          </w:p>
        </w:tc>
        <w:tc>
          <w:tcPr>
            <w:tcW w:w="3150" w:type="dxa"/>
          </w:tcPr>
          <w:p w14:paraId="71752F3C" w14:textId="02C59A4D" w:rsidR="00C578FD" w:rsidRPr="009D04BB" w:rsidRDefault="00C578FD" w:rsidP="005674BD">
            <w:pPr>
              <w:pStyle w:val="Figure"/>
              <w:spacing w:line="276" w:lineRule="auto"/>
              <w:jc w:val="left"/>
              <w:rPr>
                <w:sz w:val="20"/>
                <w:szCs w:val="20"/>
              </w:rPr>
            </w:pPr>
            <w:bookmarkStart w:id="35" w:name="_Toc211869447"/>
            <w:r w:rsidRPr="009D04BB">
              <w:rPr>
                <w:sz w:val="20"/>
                <w:szCs w:val="20"/>
              </w:rPr>
              <w:t>2.98</w:t>
            </w:r>
            <w:bookmarkEnd w:id="35"/>
          </w:p>
        </w:tc>
      </w:tr>
      <w:tr w:rsidR="009D04BB" w:rsidRPr="009D04BB" w14:paraId="6A64B537" w14:textId="77777777" w:rsidTr="00C578FD">
        <w:trPr>
          <w:jc w:val="center"/>
        </w:trPr>
        <w:tc>
          <w:tcPr>
            <w:tcW w:w="2880" w:type="dxa"/>
          </w:tcPr>
          <w:p w14:paraId="06B5A9A1" w14:textId="71BD3943" w:rsidR="00C578FD" w:rsidRPr="009D04BB" w:rsidRDefault="00C578FD" w:rsidP="005674BD">
            <w:pPr>
              <w:pStyle w:val="Figure"/>
              <w:spacing w:line="276" w:lineRule="auto"/>
              <w:jc w:val="left"/>
              <w:rPr>
                <w:sz w:val="20"/>
                <w:szCs w:val="20"/>
              </w:rPr>
            </w:pPr>
            <w:bookmarkStart w:id="36" w:name="_Toc211869448"/>
            <w:r w:rsidRPr="009D04BB">
              <w:rPr>
                <w:sz w:val="20"/>
                <w:szCs w:val="20"/>
              </w:rPr>
              <w:t>Titanium dioxide (TiO</w:t>
            </w:r>
            <w:r w:rsidRPr="009D04BB">
              <w:rPr>
                <w:sz w:val="20"/>
                <w:szCs w:val="20"/>
                <w:vertAlign w:val="subscript"/>
              </w:rPr>
              <w:t>2</w:t>
            </w:r>
            <w:r w:rsidRPr="009D04BB">
              <w:rPr>
                <w:sz w:val="20"/>
                <w:szCs w:val="20"/>
              </w:rPr>
              <w:t>)</w:t>
            </w:r>
            <w:bookmarkEnd w:id="36"/>
          </w:p>
        </w:tc>
        <w:tc>
          <w:tcPr>
            <w:tcW w:w="3150" w:type="dxa"/>
          </w:tcPr>
          <w:p w14:paraId="023946FB" w14:textId="034AAF84" w:rsidR="00C578FD" w:rsidRPr="009D04BB" w:rsidRDefault="00C578FD" w:rsidP="005674BD">
            <w:pPr>
              <w:pStyle w:val="Figure"/>
              <w:spacing w:line="276" w:lineRule="auto"/>
              <w:jc w:val="left"/>
              <w:rPr>
                <w:sz w:val="20"/>
                <w:szCs w:val="20"/>
              </w:rPr>
            </w:pPr>
            <w:bookmarkStart w:id="37" w:name="_Toc211869449"/>
            <w:r w:rsidRPr="009D04BB">
              <w:rPr>
                <w:sz w:val="20"/>
                <w:szCs w:val="20"/>
              </w:rPr>
              <w:t>0.978</w:t>
            </w:r>
            <w:bookmarkEnd w:id="37"/>
          </w:p>
        </w:tc>
      </w:tr>
      <w:tr w:rsidR="009D04BB" w:rsidRPr="009D04BB" w14:paraId="33D7756E" w14:textId="77777777" w:rsidTr="00C578FD">
        <w:trPr>
          <w:jc w:val="center"/>
        </w:trPr>
        <w:tc>
          <w:tcPr>
            <w:tcW w:w="2880" w:type="dxa"/>
          </w:tcPr>
          <w:p w14:paraId="079FEB59" w14:textId="633BFBD8" w:rsidR="00C578FD" w:rsidRPr="009D04BB" w:rsidRDefault="00C578FD" w:rsidP="005674BD">
            <w:pPr>
              <w:pStyle w:val="Figure"/>
              <w:spacing w:line="276" w:lineRule="auto"/>
              <w:jc w:val="left"/>
              <w:rPr>
                <w:sz w:val="20"/>
                <w:szCs w:val="20"/>
              </w:rPr>
            </w:pPr>
            <w:bookmarkStart w:id="38" w:name="_Toc211869450"/>
            <w:r w:rsidRPr="009D04BB">
              <w:rPr>
                <w:sz w:val="20"/>
                <w:szCs w:val="20"/>
              </w:rPr>
              <w:t>Potassium oxide (K</w:t>
            </w:r>
            <w:r w:rsidRPr="009D04BB">
              <w:rPr>
                <w:sz w:val="20"/>
                <w:szCs w:val="20"/>
                <w:vertAlign w:val="subscript"/>
              </w:rPr>
              <w:t>2</w:t>
            </w:r>
            <w:r w:rsidRPr="009D04BB">
              <w:rPr>
                <w:sz w:val="20"/>
                <w:szCs w:val="20"/>
              </w:rPr>
              <w:t>O)</w:t>
            </w:r>
            <w:bookmarkEnd w:id="38"/>
          </w:p>
        </w:tc>
        <w:tc>
          <w:tcPr>
            <w:tcW w:w="3150" w:type="dxa"/>
          </w:tcPr>
          <w:p w14:paraId="1D146E48" w14:textId="0F3983B6" w:rsidR="00C578FD" w:rsidRPr="009D04BB" w:rsidRDefault="00C578FD" w:rsidP="005674BD">
            <w:pPr>
              <w:pStyle w:val="Figure"/>
              <w:spacing w:line="276" w:lineRule="auto"/>
              <w:jc w:val="left"/>
              <w:rPr>
                <w:sz w:val="20"/>
                <w:szCs w:val="20"/>
              </w:rPr>
            </w:pPr>
            <w:bookmarkStart w:id="39" w:name="_Toc211869451"/>
            <w:r w:rsidRPr="009D04BB">
              <w:rPr>
                <w:sz w:val="20"/>
                <w:szCs w:val="20"/>
              </w:rPr>
              <w:t>0.87</w:t>
            </w:r>
            <w:bookmarkEnd w:id="39"/>
          </w:p>
        </w:tc>
      </w:tr>
      <w:tr w:rsidR="009D04BB" w:rsidRPr="009D04BB" w14:paraId="7DE94B28" w14:textId="77777777" w:rsidTr="00C578FD">
        <w:trPr>
          <w:jc w:val="center"/>
        </w:trPr>
        <w:tc>
          <w:tcPr>
            <w:tcW w:w="2880" w:type="dxa"/>
            <w:tcBorders>
              <w:bottom w:val="single" w:sz="4" w:space="0" w:color="auto"/>
            </w:tcBorders>
          </w:tcPr>
          <w:p w14:paraId="615BD64D" w14:textId="282F4AC6" w:rsidR="00C578FD" w:rsidRPr="009D04BB" w:rsidRDefault="00C578FD" w:rsidP="005674BD">
            <w:pPr>
              <w:pStyle w:val="Figure"/>
              <w:spacing w:line="276" w:lineRule="auto"/>
              <w:jc w:val="left"/>
              <w:rPr>
                <w:sz w:val="20"/>
                <w:szCs w:val="20"/>
              </w:rPr>
            </w:pPr>
            <w:bookmarkStart w:id="40" w:name="_Toc211869452"/>
            <w:r w:rsidRPr="009D04BB">
              <w:rPr>
                <w:sz w:val="20"/>
                <w:szCs w:val="20"/>
              </w:rPr>
              <w:t>Loss on Ignition (LOI)</w:t>
            </w:r>
            <w:bookmarkEnd w:id="40"/>
          </w:p>
        </w:tc>
        <w:tc>
          <w:tcPr>
            <w:tcW w:w="3150" w:type="dxa"/>
            <w:tcBorders>
              <w:bottom w:val="single" w:sz="4" w:space="0" w:color="auto"/>
            </w:tcBorders>
          </w:tcPr>
          <w:p w14:paraId="1B393D17" w14:textId="39546512" w:rsidR="00C578FD" w:rsidRPr="009D04BB" w:rsidRDefault="00C578FD" w:rsidP="005674BD">
            <w:pPr>
              <w:pStyle w:val="Figure"/>
              <w:spacing w:line="276" w:lineRule="auto"/>
              <w:jc w:val="left"/>
              <w:rPr>
                <w:sz w:val="20"/>
                <w:szCs w:val="20"/>
              </w:rPr>
            </w:pPr>
            <w:bookmarkStart w:id="41" w:name="_Toc211869453"/>
            <w:r w:rsidRPr="009D04BB">
              <w:rPr>
                <w:sz w:val="20"/>
                <w:szCs w:val="20"/>
              </w:rPr>
              <w:t>2.29</w:t>
            </w:r>
            <w:bookmarkEnd w:id="41"/>
          </w:p>
        </w:tc>
      </w:tr>
    </w:tbl>
    <w:p w14:paraId="2E31887F" w14:textId="1ABDAA1E" w:rsidR="00382856" w:rsidRPr="009D04BB" w:rsidRDefault="00382856" w:rsidP="00E90BAF">
      <w:pPr>
        <w:spacing w:after="120" w:line="240" w:lineRule="auto"/>
        <w:jc w:val="both"/>
        <w:rPr>
          <w:rFonts w:ascii="Times New Roman" w:hAnsi="Times New Roman" w:cs="Times New Roman"/>
          <w:color w:val="000000" w:themeColor="text1"/>
        </w:rPr>
      </w:pPr>
      <w:bookmarkStart w:id="42" w:name="_Toc199537887"/>
      <w:bookmarkEnd w:id="42"/>
    </w:p>
    <w:sectPr w:rsidR="00382856" w:rsidRPr="009D04BB" w:rsidSect="000137B5">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7BF0" w14:textId="77777777" w:rsidR="00360647" w:rsidRDefault="00360647" w:rsidP="001A08EF">
      <w:pPr>
        <w:spacing w:after="0" w:line="240" w:lineRule="auto"/>
      </w:pPr>
      <w:r>
        <w:separator/>
      </w:r>
    </w:p>
  </w:endnote>
  <w:endnote w:type="continuationSeparator" w:id="0">
    <w:p w14:paraId="60E65625" w14:textId="77777777" w:rsidR="00360647" w:rsidRDefault="00360647" w:rsidP="001A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82221"/>
      <w:docPartObj>
        <w:docPartGallery w:val="Page Numbers (Bottom of Page)"/>
        <w:docPartUnique/>
      </w:docPartObj>
    </w:sdtPr>
    <w:sdtEndPr>
      <w:rPr>
        <w:noProof/>
      </w:rPr>
    </w:sdtEndPr>
    <w:sdtContent>
      <w:p w14:paraId="637B3D00" w14:textId="72A5DA98" w:rsidR="001A08EF" w:rsidRDefault="001A08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C9591" w14:textId="77777777" w:rsidR="001A08EF" w:rsidRDefault="001A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3B65" w14:textId="77777777" w:rsidR="00360647" w:rsidRDefault="00360647" w:rsidP="001A08EF">
      <w:pPr>
        <w:spacing w:after="0" w:line="240" w:lineRule="auto"/>
      </w:pPr>
      <w:r>
        <w:separator/>
      </w:r>
    </w:p>
  </w:footnote>
  <w:footnote w:type="continuationSeparator" w:id="0">
    <w:p w14:paraId="3B173FCA" w14:textId="77777777" w:rsidR="00360647" w:rsidRDefault="00360647" w:rsidP="001A08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ED"/>
    <w:rsid w:val="00000E6E"/>
    <w:rsid w:val="00011730"/>
    <w:rsid w:val="000137B5"/>
    <w:rsid w:val="0006719B"/>
    <w:rsid w:val="00074C57"/>
    <w:rsid w:val="000834F7"/>
    <w:rsid w:val="00087D96"/>
    <w:rsid w:val="00090BB2"/>
    <w:rsid w:val="00097C58"/>
    <w:rsid w:val="000B43FB"/>
    <w:rsid w:val="000E078E"/>
    <w:rsid w:val="000E079B"/>
    <w:rsid w:val="0010651B"/>
    <w:rsid w:val="001523FF"/>
    <w:rsid w:val="001610D8"/>
    <w:rsid w:val="001A08EF"/>
    <w:rsid w:val="001A2EF5"/>
    <w:rsid w:val="001D662A"/>
    <w:rsid w:val="001E0EAD"/>
    <w:rsid w:val="001F43E6"/>
    <w:rsid w:val="002447FC"/>
    <w:rsid w:val="00245697"/>
    <w:rsid w:val="00272722"/>
    <w:rsid w:val="00272F8E"/>
    <w:rsid w:val="00292640"/>
    <w:rsid w:val="002A433C"/>
    <w:rsid w:val="002B54A6"/>
    <w:rsid w:val="002E7C53"/>
    <w:rsid w:val="002F38BC"/>
    <w:rsid w:val="002F4372"/>
    <w:rsid w:val="00306EA4"/>
    <w:rsid w:val="00312169"/>
    <w:rsid w:val="003179AD"/>
    <w:rsid w:val="00334C65"/>
    <w:rsid w:val="00346ED3"/>
    <w:rsid w:val="00350DF5"/>
    <w:rsid w:val="00360647"/>
    <w:rsid w:val="003767B2"/>
    <w:rsid w:val="00382856"/>
    <w:rsid w:val="003869DD"/>
    <w:rsid w:val="003A0A52"/>
    <w:rsid w:val="00407022"/>
    <w:rsid w:val="004426CB"/>
    <w:rsid w:val="00467231"/>
    <w:rsid w:val="00495160"/>
    <w:rsid w:val="004E5B24"/>
    <w:rsid w:val="00505AFD"/>
    <w:rsid w:val="00560F10"/>
    <w:rsid w:val="005674BD"/>
    <w:rsid w:val="005A3937"/>
    <w:rsid w:val="005A482C"/>
    <w:rsid w:val="005C431A"/>
    <w:rsid w:val="005D4A08"/>
    <w:rsid w:val="005E7C7E"/>
    <w:rsid w:val="00622A78"/>
    <w:rsid w:val="00633988"/>
    <w:rsid w:val="00686572"/>
    <w:rsid w:val="006B0DE7"/>
    <w:rsid w:val="0070707D"/>
    <w:rsid w:val="00731A04"/>
    <w:rsid w:val="00744A63"/>
    <w:rsid w:val="0077001F"/>
    <w:rsid w:val="007F2514"/>
    <w:rsid w:val="007F73A8"/>
    <w:rsid w:val="008039A6"/>
    <w:rsid w:val="00804768"/>
    <w:rsid w:val="00840615"/>
    <w:rsid w:val="00864F47"/>
    <w:rsid w:val="00871BEB"/>
    <w:rsid w:val="008920A6"/>
    <w:rsid w:val="008C4BA4"/>
    <w:rsid w:val="008E2975"/>
    <w:rsid w:val="008F70A0"/>
    <w:rsid w:val="00905B0E"/>
    <w:rsid w:val="00920428"/>
    <w:rsid w:val="00922546"/>
    <w:rsid w:val="009417DB"/>
    <w:rsid w:val="0094748C"/>
    <w:rsid w:val="00973079"/>
    <w:rsid w:val="0097609B"/>
    <w:rsid w:val="00976C04"/>
    <w:rsid w:val="00983DEC"/>
    <w:rsid w:val="00984E7B"/>
    <w:rsid w:val="00991170"/>
    <w:rsid w:val="00992CAE"/>
    <w:rsid w:val="009C1D4B"/>
    <w:rsid w:val="009C2462"/>
    <w:rsid w:val="009C2D5E"/>
    <w:rsid w:val="009C4518"/>
    <w:rsid w:val="009D04BB"/>
    <w:rsid w:val="009D0745"/>
    <w:rsid w:val="009D6BA3"/>
    <w:rsid w:val="00A166B4"/>
    <w:rsid w:val="00A35987"/>
    <w:rsid w:val="00A552D0"/>
    <w:rsid w:val="00A71EEA"/>
    <w:rsid w:val="00A963C4"/>
    <w:rsid w:val="00AA3764"/>
    <w:rsid w:val="00AA411E"/>
    <w:rsid w:val="00AB3883"/>
    <w:rsid w:val="00AB501A"/>
    <w:rsid w:val="00AB6FC0"/>
    <w:rsid w:val="00AE0363"/>
    <w:rsid w:val="00B054ED"/>
    <w:rsid w:val="00B14FE7"/>
    <w:rsid w:val="00B24520"/>
    <w:rsid w:val="00B275DD"/>
    <w:rsid w:val="00B7047D"/>
    <w:rsid w:val="00BA562E"/>
    <w:rsid w:val="00BC1C4B"/>
    <w:rsid w:val="00BF5A34"/>
    <w:rsid w:val="00C3654B"/>
    <w:rsid w:val="00C50D77"/>
    <w:rsid w:val="00C5283F"/>
    <w:rsid w:val="00C578FD"/>
    <w:rsid w:val="00C80163"/>
    <w:rsid w:val="00CA24B4"/>
    <w:rsid w:val="00CA2CD7"/>
    <w:rsid w:val="00CA5CB1"/>
    <w:rsid w:val="00CB0805"/>
    <w:rsid w:val="00CC59D8"/>
    <w:rsid w:val="00CE2923"/>
    <w:rsid w:val="00CF50A5"/>
    <w:rsid w:val="00D04AA4"/>
    <w:rsid w:val="00D11C91"/>
    <w:rsid w:val="00D431A0"/>
    <w:rsid w:val="00D4682D"/>
    <w:rsid w:val="00D64D34"/>
    <w:rsid w:val="00D73083"/>
    <w:rsid w:val="00DF7EAC"/>
    <w:rsid w:val="00E03080"/>
    <w:rsid w:val="00E1776A"/>
    <w:rsid w:val="00E23A67"/>
    <w:rsid w:val="00E27226"/>
    <w:rsid w:val="00E447C5"/>
    <w:rsid w:val="00E479FF"/>
    <w:rsid w:val="00E90BAF"/>
    <w:rsid w:val="00E935FB"/>
    <w:rsid w:val="00E96457"/>
    <w:rsid w:val="00EA6A8F"/>
    <w:rsid w:val="00EE532B"/>
    <w:rsid w:val="00F15FBF"/>
    <w:rsid w:val="00F17CF9"/>
    <w:rsid w:val="00F42B84"/>
    <w:rsid w:val="00F6485C"/>
    <w:rsid w:val="00F65F3C"/>
    <w:rsid w:val="00F86EC4"/>
    <w:rsid w:val="00FB2D6A"/>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17AF"/>
  <w15:chartTrackingRefBased/>
  <w15:docId w15:val="{9F26E46E-3F09-4F59-8635-72820A8E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B5"/>
    <w:pPr>
      <w:spacing w:line="259" w:lineRule="auto"/>
    </w:pPr>
    <w:rPr>
      <w:sz w:val="22"/>
      <w:szCs w:val="22"/>
    </w:rPr>
  </w:style>
  <w:style w:type="paragraph" w:styleId="Heading1">
    <w:name w:val="heading 1"/>
    <w:basedOn w:val="Normal"/>
    <w:next w:val="Normal"/>
    <w:link w:val="Heading1Char"/>
    <w:uiPriority w:val="9"/>
    <w:qFormat/>
    <w:rsid w:val="00B05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05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05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054E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054E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054E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4ED"/>
    <w:rPr>
      <w:rFonts w:eastAsiaTheme="majorEastAsia" w:cstheme="majorBidi"/>
      <w:color w:val="272727" w:themeColor="text1" w:themeTint="D8"/>
    </w:rPr>
  </w:style>
  <w:style w:type="paragraph" w:styleId="Title">
    <w:name w:val="Title"/>
    <w:basedOn w:val="Normal"/>
    <w:next w:val="Normal"/>
    <w:link w:val="TitleChar"/>
    <w:uiPriority w:val="10"/>
    <w:qFormat/>
    <w:rsid w:val="00B05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4E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4E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054ED"/>
    <w:rPr>
      <w:i/>
      <w:iCs/>
      <w:color w:val="404040" w:themeColor="text1" w:themeTint="BF"/>
    </w:rPr>
  </w:style>
  <w:style w:type="paragraph" w:styleId="ListParagraph">
    <w:name w:val="List Paragraph"/>
    <w:basedOn w:val="Normal"/>
    <w:uiPriority w:val="34"/>
    <w:qFormat/>
    <w:rsid w:val="00B054ED"/>
    <w:pPr>
      <w:spacing w:line="278" w:lineRule="auto"/>
      <w:ind w:left="720"/>
      <w:contextualSpacing/>
    </w:pPr>
    <w:rPr>
      <w:sz w:val="24"/>
      <w:szCs w:val="24"/>
    </w:rPr>
  </w:style>
  <w:style w:type="character" w:styleId="IntenseEmphasis">
    <w:name w:val="Intense Emphasis"/>
    <w:basedOn w:val="DefaultParagraphFont"/>
    <w:uiPriority w:val="21"/>
    <w:qFormat/>
    <w:rsid w:val="00B054ED"/>
    <w:rPr>
      <w:i/>
      <w:iCs/>
      <w:color w:val="0F4761" w:themeColor="accent1" w:themeShade="BF"/>
    </w:rPr>
  </w:style>
  <w:style w:type="paragraph" w:styleId="IntenseQuote">
    <w:name w:val="Intense Quote"/>
    <w:basedOn w:val="Normal"/>
    <w:next w:val="Normal"/>
    <w:link w:val="IntenseQuoteChar"/>
    <w:uiPriority w:val="30"/>
    <w:qFormat/>
    <w:rsid w:val="00B05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054ED"/>
    <w:rPr>
      <w:i/>
      <w:iCs/>
      <w:color w:val="0F4761" w:themeColor="accent1" w:themeShade="BF"/>
    </w:rPr>
  </w:style>
  <w:style w:type="character" w:styleId="IntenseReference">
    <w:name w:val="Intense Reference"/>
    <w:basedOn w:val="DefaultParagraphFont"/>
    <w:uiPriority w:val="32"/>
    <w:qFormat/>
    <w:rsid w:val="00B054ED"/>
    <w:rPr>
      <w:b/>
      <w:bCs/>
      <w:smallCaps/>
      <w:color w:val="0F4761" w:themeColor="accent1" w:themeShade="BF"/>
      <w:spacing w:val="5"/>
    </w:rPr>
  </w:style>
  <w:style w:type="paragraph" w:customStyle="1" w:styleId="Figure">
    <w:name w:val="Figure"/>
    <w:basedOn w:val="Caption"/>
    <w:link w:val="FigureChar"/>
    <w:qFormat/>
    <w:rsid w:val="000137B5"/>
    <w:pPr>
      <w:spacing w:line="480" w:lineRule="auto"/>
      <w:jc w:val="both"/>
    </w:pPr>
    <w:rPr>
      <w:rFonts w:ascii="Times New Roman" w:hAnsi="Times New Roman" w:cs="Times New Roman"/>
      <w:i w:val="0"/>
      <w:iCs w:val="0"/>
      <w:color w:val="000000" w:themeColor="text1"/>
      <w:sz w:val="22"/>
      <w:szCs w:val="22"/>
    </w:rPr>
  </w:style>
  <w:style w:type="paragraph" w:customStyle="1" w:styleId="Maintext">
    <w:name w:val="Main text"/>
    <w:basedOn w:val="Normal"/>
    <w:qFormat/>
    <w:rsid w:val="000137B5"/>
    <w:pPr>
      <w:spacing w:before="120" w:after="120" w:line="480" w:lineRule="auto"/>
      <w:jc w:val="both"/>
    </w:pPr>
    <w:rPr>
      <w:rFonts w:ascii="Times New Roman" w:hAnsi="Times New Roman" w:cs="Times New Roman"/>
    </w:rPr>
  </w:style>
  <w:style w:type="paragraph" w:customStyle="1" w:styleId="Level1">
    <w:name w:val="Level_1"/>
    <w:basedOn w:val="Normal"/>
    <w:qFormat/>
    <w:rsid w:val="000137B5"/>
    <w:pPr>
      <w:spacing w:before="120" w:after="120" w:line="360" w:lineRule="auto"/>
      <w:outlineLvl w:val="0"/>
    </w:pPr>
    <w:rPr>
      <w:rFonts w:ascii="Times New Roman" w:hAnsi="Times New Roman" w:cs="Times New Roman"/>
      <w:b/>
      <w:bCs/>
      <w:sz w:val="24"/>
      <w:szCs w:val="24"/>
    </w:rPr>
  </w:style>
  <w:style w:type="character" w:customStyle="1" w:styleId="FigureChar">
    <w:name w:val="Figure Char"/>
    <w:basedOn w:val="DefaultParagraphFont"/>
    <w:link w:val="Figure"/>
    <w:rsid w:val="000137B5"/>
    <w:rPr>
      <w:rFonts w:ascii="Times New Roman" w:hAnsi="Times New Roman" w:cs="Times New Roman"/>
      <w:color w:val="000000" w:themeColor="text1"/>
      <w:sz w:val="22"/>
      <w:szCs w:val="22"/>
    </w:rPr>
  </w:style>
  <w:style w:type="paragraph" w:styleId="Caption">
    <w:name w:val="caption"/>
    <w:basedOn w:val="Normal"/>
    <w:next w:val="Normal"/>
    <w:uiPriority w:val="35"/>
    <w:unhideWhenUsed/>
    <w:qFormat/>
    <w:rsid w:val="000137B5"/>
    <w:pPr>
      <w:spacing w:after="200" w:line="240" w:lineRule="auto"/>
    </w:pPr>
    <w:rPr>
      <w:i/>
      <w:iCs/>
      <w:color w:val="0E2841" w:themeColor="text2"/>
      <w:sz w:val="18"/>
      <w:szCs w:val="18"/>
    </w:rPr>
  </w:style>
  <w:style w:type="character" w:styleId="LineNumber">
    <w:name w:val="line number"/>
    <w:basedOn w:val="DefaultParagraphFont"/>
    <w:uiPriority w:val="99"/>
    <w:semiHidden/>
    <w:unhideWhenUsed/>
    <w:rsid w:val="000137B5"/>
  </w:style>
  <w:style w:type="character" w:styleId="UnresolvedMention">
    <w:name w:val="Unresolved Mention"/>
    <w:basedOn w:val="DefaultParagraphFont"/>
    <w:uiPriority w:val="99"/>
    <w:semiHidden/>
    <w:unhideWhenUsed/>
    <w:rsid w:val="00920428"/>
    <w:rPr>
      <w:color w:val="605E5C"/>
      <w:shd w:val="clear" w:color="auto" w:fill="E1DFDD"/>
    </w:rPr>
  </w:style>
  <w:style w:type="paragraph" w:styleId="TOCHeading">
    <w:name w:val="TOC Heading"/>
    <w:basedOn w:val="Heading1"/>
    <w:next w:val="Normal"/>
    <w:uiPriority w:val="39"/>
    <w:unhideWhenUsed/>
    <w:qFormat/>
    <w:rsid w:val="00BC1C4B"/>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9D04BB"/>
    <w:pPr>
      <w:tabs>
        <w:tab w:val="right" w:leader="dot" w:pos="9350"/>
      </w:tabs>
      <w:spacing w:after="100"/>
    </w:pPr>
    <w:rPr>
      <w:rFonts w:ascii="Times New Roman" w:hAnsi="Times New Roman" w:cs="Times New Roman"/>
      <w:b/>
      <w:bCs/>
      <w:noProof/>
      <w:color w:val="000000" w:themeColor="text1"/>
      <w:kern w:val="36"/>
    </w:rPr>
  </w:style>
  <w:style w:type="paragraph" w:styleId="TOC2">
    <w:name w:val="toc 2"/>
    <w:basedOn w:val="Normal"/>
    <w:next w:val="Normal"/>
    <w:autoRedefine/>
    <w:uiPriority w:val="39"/>
    <w:unhideWhenUsed/>
    <w:rsid w:val="00BC1C4B"/>
    <w:pPr>
      <w:spacing w:after="100"/>
      <w:ind w:left="220"/>
    </w:pPr>
  </w:style>
  <w:style w:type="character" w:styleId="Hyperlink">
    <w:name w:val="Hyperlink"/>
    <w:basedOn w:val="DefaultParagraphFont"/>
    <w:uiPriority w:val="99"/>
    <w:unhideWhenUsed/>
    <w:rsid w:val="00BC1C4B"/>
    <w:rPr>
      <w:color w:val="467886" w:themeColor="hyperlink"/>
      <w:u w:val="single"/>
    </w:rPr>
  </w:style>
  <w:style w:type="table" w:styleId="TableGrid">
    <w:name w:val="Table Grid"/>
    <w:basedOn w:val="TableNormal"/>
    <w:uiPriority w:val="39"/>
    <w:rsid w:val="00C5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A67"/>
    <w:rPr>
      <w:rFonts w:ascii="Segoe UI" w:hAnsi="Segoe UI" w:cs="Segoe UI"/>
      <w:sz w:val="18"/>
      <w:szCs w:val="18"/>
    </w:rPr>
  </w:style>
  <w:style w:type="character" w:styleId="CommentReference">
    <w:name w:val="annotation reference"/>
    <w:basedOn w:val="DefaultParagraphFont"/>
    <w:uiPriority w:val="99"/>
    <w:semiHidden/>
    <w:unhideWhenUsed/>
    <w:rsid w:val="00245697"/>
    <w:rPr>
      <w:sz w:val="16"/>
      <w:szCs w:val="16"/>
    </w:rPr>
  </w:style>
  <w:style w:type="paragraph" w:styleId="CommentText">
    <w:name w:val="annotation text"/>
    <w:basedOn w:val="Normal"/>
    <w:link w:val="CommentTextChar"/>
    <w:uiPriority w:val="99"/>
    <w:unhideWhenUsed/>
    <w:rsid w:val="00245697"/>
    <w:pPr>
      <w:spacing w:line="240" w:lineRule="auto"/>
    </w:pPr>
    <w:rPr>
      <w:sz w:val="20"/>
      <w:szCs w:val="20"/>
    </w:rPr>
  </w:style>
  <w:style w:type="character" w:customStyle="1" w:styleId="CommentTextChar">
    <w:name w:val="Comment Text Char"/>
    <w:basedOn w:val="DefaultParagraphFont"/>
    <w:link w:val="CommentText"/>
    <w:uiPriority w:val="99"/>
    <w:rsid w:val="00245697"/>
    <w:rPr>
      <w:sz w:val="20"/>
      <w:szCs w:val="20"/>
    </w:rPr>
  </w:style>
  <w:style w:type="paragraph" w:styleId="CommentSubject">
    <w:name w:val="annotation subject"/>
    <w:basedOn w:val="CommentText"/>
    <w:next w:val="CommentText"/>
    <w:link w:val="CommentSubjectChar"/>
    <w:uiPriority w:val="99"/>
    <w:semiHidden/>
    <w:unhideWhenUsed/>
    <w:rsid w:val="00991170"/>
    <w:rPr>
      <w:b/>
      <w:bCs/>
    </w:rPr>
  </w:style>
  <w:style w:type="character" w:customStyle="1" w:styleId="CommentSubjectChar">
    <w:name w:val="Comment Subject Char"/>
    <w:basedOn w:val="CommentTextChar"/>
    <w:link w:val="CommentSubject"/>
    <w:uiPriority w:val="99"/>
    <w:semiHidden/>
    <w:rsid w:val="00991170"/>
    <w:rPr>
      <w:b/>
      <w:bCs/>
      <w:sz w:val="20"/>
      <w:szCs w:val="20"/>
    </w:rPr>
  </w:style>
  <w:style w:type="paragraph" w:styleId="Revision">
    <w:name w:val="Revision"/>
    <w:hidden/>
    <w:uiPriority w:val="99"/>
    <w:semiHidden/>
    <w:rsid w:val="00CA2CD7"/>
    <w:pPr>
      <w:spacing w:after="0" w:line="240" w:lineRule="auto"/>
    </w:pPr>
    <w:rPr>
      <w:sz w:val="22"/>
      <w:szCs w:val="22"/>
    </w:rPr>
  </w:style>
  <w:style w:type="paragraph" w:styleId="Header">
    <w:name w:val="header"/>
    <w:basedOn w:val="Normal"/>
    <w:link w:val="HeaderChar"/>
    <w:uiPriority w:val="99"/>
    <w:unhideWhenUsed/>
    <w:rsid w:val="001A0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8EF"/>
    <w:rPr>
      <w:sz w:val="22"/>
      <w:szCs w:val="22"/>
    </w:rPr>
  </w:style>
  <w:style w:type="paragraph" w:styleId="Footer">
    <w:name w:val="footer"/>
    <w:basedOn w:val="Normal"/>
    <w:link w:val="FooterChar"/>
    <w:uiPriority w:val="99"/>
    <w:unhideWhenUsed/>
    <w:rsid w:val="001A0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8EF"/>
    <w:rPr>
      <w:sz w:val="22"/>
      <w:szCs w:val="22"/>
    </w:rPr>
  </w:style>
  <w:style w:type="paragraph" w:customStyle="1" w:styleId="EndNoteBibliography">
    <w:name w:val="EndNote Bibliography"/>
    <w:basedOn w:val="Normal"/>
    <w:link w:val="EndNoteBibliographyChar"/>
    <w:rsid w:val="00382856"/>
    <w:pPr>
      <w:spacing w:after="0" w:line="240" w:lineRule="auto"/>
    </w:pPr>
    <w:rPr>
      <w:rFonts w:ascii="Times New Roman" w:eastAsia="Times New Roman" w:hAnsi="Times New Roman" w:cs="Times New Roman"/>
      <w:noProof/>
      <w:kern w:val="0"/>
      <w:sz w:val="24"/>
      <w:szCs w:val="24"/>
      <w14:ligatures w14:val="none"/>
    </w:rPr>
  </w:style>
  <w:style w:type="character" w:customStyle="1" w:styleId="EndNoteBibliographyChar">
    <w:name w:val="EndNote Bibliography Char"/>
    <w:basedOn w:val="DefaultParagraphFont"/>
    <w:link w:val="EndNoteBibliography"/>
    <w:rsid w:val="00382856"/>
    <w:rPr>
      <w:rFonts w:ascii="Times New Roman" w:eastAsia="Times New Roman" w:hAnsi="Times New Roman"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437530">
      <w:bodyDiv w:val="1"/>
      <w:marLeft w:val="0"/>
      <w:marRight w:val="0"/>
      <w:marTop w:val="0"/>
      <w:marBottom w:val="0"/>
      <w:divBdr>
        <w:top w:val="none" w:sz="0" w:space="0" w:color="auto"/>
        <w:left w:val="none" w:sz="0" w:space="0" w:color="auto"/>
        <w:bottom w:val="none" w:sz="0" w:space="0" w:color="auto"/>
        <w:right w:val="none" w:sz="0" w:space="0" w:color="auto"/>
      </w:divBdr>
    </w:div>
    <w:div w:id="8050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4B02-D55D-4705-ACBA-06584992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940</Words>
  <Characters>5700</Characters>
  <Application>Microsoft Office Word</Application>
  <DocSecurity>0</DocSecurity>
  <Lines>100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Fengchao</dc:creator>
  <cp:keywords/>
  <dc:description/>
  <cp:lastModifiedBy>Sun, Fengchao</cp:lastModifiedBy>
  <cp:revision>7</cp:revision>
  <dcterms:created xsi:type="dcterms:W3CDTF">2025-11-27T14:36:00Z</dcterms:created>
  <dcterms:modified xsi:type="dcterms:W3CDTF">2025-11-27T15:06:00Z</dcterms:modified>
</cp:coreProperties>
</file>