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8BB36" w14:textId="77777777" w:rsidR="00284144" w:rsidRDefault="00284144" w:rsidP="00284144">
      <w:pPr>
        <w:pStyle w:val="NoSpacing"/>
        <w:jc w:val="both"/>
        <w:rPr>
          <w:rFonts w:eastAsia="Cambria" w:cs="Times New Roman"/>
          <w:b/>
          <w:sz w:val="20"/>
          <w:szCs w:val="20"/>
        </w:rPr>
      </w:pPr>
      <w:r w:rsidRPr="00C857D2">
        <w:rPr>
          <w:rFonts w:eastAsia="Cambria" w:cs="Times New Roman"/>
          <w:b/>
          <w:sz w:val="20"/>
          <w:szCs w:val="20"/>
        </w:rPr>
        <w:t>Supplementary Figures</w:t>
      </w:r>
    </w:p>
    <w:p w14:paraId="1842C124" w14:textId="77777777" w:rsidR="00284144" w:rsidRDefault="00284144" w:rsidP="00284144">
      <w:pPr>
        <w:pStyle w:val="NoSpacing"/>
        <w:jc w:val="both"/>
        <w:rPr>
          <w:rFonts w:cs="Times New Roman"/>
          <w:i/>
          <w:sz w:val="20"/>
          <w:szCs w:val="20"/>
        </w:rPr>
      </w:pPr>
    </w:p>
    <w:p w14:paraId="53F8303C" w14:textId="77777777" w:rsidR="00284144" w:rsidRPr="00A16BA0" w:rsidRDefault="00284144" w:rsidP="00284144">
      <w:pPr>
        <w:pStyle w:val="NoSpacing"/>
        <w:jc w:val="both"/>
        <w:rPr>
          <w:rFonts w:cs="Times New Roman"/>
          <w:i/>
          <w:sz w:val="20"/>
          <w:szCs w:val="20"/>
        </w:rPr>
      </w:pPr>
      <w:r>
        <w:rPr>
          <w:rFonts w:cs="Times New Roman"/>
          <w:i/>
          <w:noProof/>
          <w:sz w:val="20"/>
          <w:szCs w:val="20"/>
          <w:lang w:val="de-DE" w:eastAsia="de-DE"/>
        </w:rPr>
        <w:drawing>
          <wp:inline distT="0" distB="0" distL="0" distR="0" wp14:anchorId="1501F324" wp14:editId="16964A4C">
            <wp:extent cx="4498848" cy="6288024"/>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1_19.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98848" cy="6288024"/>
                    </a:xfrm>
                    <a:prstGeom prst="rect">
                      <a:avLst/>
                    </a:prstGeom>
                  </pic:spPr>
                </pic:pic>
              </a:graphicData>
            </a:graphic>
          </wp:inline>
        </w:drawing>
      </w:r>
    </w:p>
    <w:p w14:paraId="735F5A71" w14:textId="77777777" w:rsidR="00284144" w:rsidRDefault="00284144" w:rsidP="00284144">
      <w:pPr>
        <w:pStyle w:val="NoSpacing"/>
        <w:jc w:val="both"/>
        <w:rPr>
          <w:rFonts w:cs="Times New Roman"/>
          <w:i/>
          <w:sz w:val="20"/>
          <w:szCs w:val="20"/>
        </w:rPr>
      </w:pPr>
      <w:r>
        <w:rPr>
          <w:rFonts w:cs="Times New Roman"/>
          <w:b/>
          <w:i/>
          <w:sz w:val="20"/>
          <w:szCs w:val="20"/>
        </w:rPr>
        <w:t>Supplementary Fig.</w:t>
      </w:r>
      <w:r w:rsidRPr="0087695B">
        <w:rPr>
          <w:rFonts w:cs="Times New Roman"/>
          <w:b/>
          <w:i/>
          <w:sz w:val="20"/>
          <w:szCs w:val="20"/>
        </w:rPr>
        <w:t xml:space="preserve"> 1</w:t>
      </w:r>
      <w:r w:rsidRPr="00A16BA0">
        <w:rPr>
          <w:rFonts w:cs="Times New Roman"/>
          <w:i/>
          <w:sz w:val="20"/>
          <w:szCs w:val="20"/>
        </w:rPr>
        <w:t xml:space="preserve"> Analysis of transcriptional changes in the developing airway epithelium and its morphology (respective n=1). </w:t>
      </w:r>
      <w:r>
        <w:rPr>
          <w:rFonts w:cs="Times New Roman"/>
          <w:b/>
          <w:i/>
          <w:sz w:val="20"/>
          <w:szCs w:val="20"/>
        </w:rPr>
        <w:t>a</w:t>
      </w:r>
      <w:r w:rsidRPr="00A16BA0">
        <w:rPr>
          <w:rFonts w:cs="Times New Roman"/>
          <w:b/>
          <w:i/>
          <w:sz w:val="20"/>
          <w:szCs w:val="20"/>
        </w:rPr>
        <w:t>)</w:t>
      </w:r>
      <w:r w:rsidRPr="00A16BA0">
        <w:rPr>
          <w:rFonts w:cs="Times New Roman"/>
          <w:i/>
          <w:sz w:val="20"/>
          <w:szCs w:val="20"/>
        </w:rPr>
        <w:t xml:space="preserve"> After 21 days of differentiation, a marked upregulation of the transcription factor FoxJ1, responsible for ciliogenesis, and of the tight junction protein claudin1 (CLDN1) can be observed in both NS and SP cells compared to day zero. </w:t>
      </w:r>
      <w:r>
        <w:rPr>
          <w:rFonts w:cs="Times New Roman"/>
          <w:b/>
          <w:i/>
          <w:sz w:val="20"/>
          <w:szCs w:val="20"/>
        </w:rPr>
        <w:t>b</w:t>
      </w:r>
      <w:r w:rsidRPr="00A16BA0">
        <w:rPr>
          <w:rFonts w:cs="Times New Roman"/>
          <w:b/>
          <w:i/>
          <w:sz w:val="20"/>
          <w:szCs w:val="20"/>
        </w:rPr>
        <w:t>)</w:t>
      </w:r>
      <w:r w:rsidRPr="00A16BA0">
        <w:rPr>
          <w:rFonts w:cs="Times New Roman"/>
          <w:i/>
          <w:sz w:val="20"/>
          <w:szCs w:val="20"/>
        </w:rPr>
        <w:t xml:space="preserve"> Microscopic characterization of ALI cultures using HE staining. Cross-sections of respiratory epithelium differentiated on ALI membranes for 21 days reveal a well-organized, pseudostratified structure with ciliated cells in NS-derived cultures, whereas SP-derived ALI cultures display stunted and irregular cilia formation (Welch´s test, two Tailed, 95 % confidence interval, ** p&lt; 0.01, *** p&lt;0.001, ****P&lt;0.0001,).</w:t>
      </w:r>
    </w:p>
    <w:p w14:paraId="2C1D896D" w14:textId="77777777" w:rsidR="00284144" w:rsidRDefault="00284144" w:rsidP="00284144">
      <w:pPr>
        <w:pStyle w:val="NoSpacing"/>
        <w:jc w:val="both"/>
        <w:rPr>
          <w:rFonts w:cs="Times New Roman"/>
          <w:i/>
          <w:sz w:val="20"/>
          <w:szCs w:val="20"/>
        </w:rPr>
      </w:pPr>
    </w:p>
    <w:p w14:paraId="042DF57D" w14:textId="77777777" w:rsidR="00284144" w:rsidRPr="00A16BA0" w:rsidRDefault="00284144" w:rsidP="00284144">
      <w:pPr>
        <w:pStyle w:val="NoSpacing"/>
        <w:jc w:val="both"/>
        <w:rPr>
          <w:rFonts w:cs="Times New Roman"/>
          <w:i/>
          <w:sz w:val="20"/>
          <w:szCs w:val="20"/>
        </w:rPr>
      </w:pPr>
      <w:r>
        <w:rPr>
          <w:rFonts w:cs="Times New Roman"/>
          <w:i/>
          <w:noProof/>
          <w:sz w:val="20"/>
          <w:szCs w:val="20"/>
          <w:lang w:val="de-DE" w:eastAsia="de-DE"/>
        </w:rPr>
        <w:lastRenderedPageBreak/>
        <w:drawing>
          <wp:inline distT="0" distB="0" distL="0" distR="0" wp14:anchorId="5BE04002" wp14:editId="45046A89">
            <wp:extent cx="4264616" cy="3394488"/>
            <wp:effectExtent l="0" t="0" r="317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EER SP long.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76252" cy="3403750"/>
                    </a:xfrm>
                    <a:prstGeom prst="rect">
                      <a:avLst/>
                    </a:prstGeom>
                  </pic:spPr>
                </pic:pic>
              </a:graphicData>
            </a:graphic>
          </wp:inline>
        </w:drawing>
      </w:r>
    </w:p>
    <w:p w14:paraId="722F7C8C" w14:textId="77777777" w:rsidR="00284144" w:rsidRDefault="00284144" w:rsidP="00284144">
      <w:pPr>
        <w:pStyle w:val="NoSpacing"/>
        <w:jc w:val="both"/>
        <w:rPr>
          <w:rFonts w:cs="Times New Roman"/>
          <w:i/>
          <w:sz w:val="20"/>
          <w:szCs w:val="20"/>
        </w:rPr>
      </w:pPr>
      <w:r>
        <w:rPr>
          <w:rFonts w:cs="Times New Roman"/>
          <w:b/>
          <w:i/>
          <w:sz w:val="20"/>
          <w:szCs w:val="20"/>
        </w:rPr>
        <w:t>Supplementary Fig. 2</w:t>
      </w:r>
      <w:r w:rsidRPr="00A16BA0">
        <w:rPr>
          <w:rFonts w:cs="Times New Roman"/>
          <w:i/>
          <w:sz w:val="20"/>
          <w:szCs w:val="20"/>
        </w:rPr>
        <w:t xml:space="preserve"> Evaluation of the physical epithelial barrier by TEER measurements. Depicted are the TEER measurements of SPALI-culture (n=1) showing particularly slow differentiation behavior. The TEER measurement of differentiation started on day 21 after induction and the measurement was continued until day 48.</w:t>
      </w:r>
      <w:r w:rsidRPr="00A16BA0">
        <w:rPr>
          <w:sz w:val="20"/>
          <w:szCs w:val="20"/>
        </w:rPr>
        <w:t xml:space="preserve"> </w:t>
      </w:r>
      <w:r w:rsidRPr="00A16BA0">
        <w:rPr>
          <w:rFonts w:cs="Times New Roman"/>
          <w:i/>
          <w:sz w:val="20"/>
          <w:szCs w:val="20"/>
        </w:rPr>
        <w:t>Each point represents one measurement of all wells of the respecti</w:t>
      </w:r>
      <w:r>
        <w:rPr>
          <w:rFonts w:cs="Times New Roman"/>
          <w:i/>
          <w:sz w:val="20"/>
          <w:szCs w:val="20"/>
        </w:rPr>
        <w:t>ve ALI culture at one timepoint. The ALI c</w:t>
      </w:r>
      <w:r w:rsidRPr="00A16BA0">
        <w:rPr>
          <w:rFonts w:cs="Times New Roman"/>
          <w:i/>
          <w:sz w:val="20"/>
          <w:szCs w:val="20"/>
        </w:rPr>
        <w:t xml:space="preserve">ulture reveals a decrease starting at day 26 and settles on a constant resistance of 800-200 Ω/cm2 from day 30-48 onwards.  </w:t>
      </w:r>
    </w:p>
    <w:p w14:paraId="22C9F348" w14:textId="77777777" w:rsidR="00284144" w:rsidRDefault="00284144" w:rsidP="00284144">
      <w:pPr>
        <w:pStyle w:val="NoSpacing"/>
        <w:jc w:val="both"/>
        <w:rPr>
          <w:rFonts w:cs="Times New Roman"/>
          <w:i/>
          <w:sz w:val="20"/>
          <w:szCs w:val="20"/>
        </w:rPr>
      </w:pPr>
    </w:p>
    <w:p w14:paraId="3886E4B4" w14:textId="77777777" w:rsidR="00284144" w:rsidRPr="00A16BA0" w:rsidRDefault="00284144" w:rsidP="00284144">
      <w:pPr>
        <w:pStyle w:val="NoSpacing"/>
        <w:rPr>
          <w:rFonts w:cs="Times New Roman"/>
          <w:i/>
          <w:sz w:val="20"/>
          <w:szCs w:val="20"/>
        </w:rPr>
      </w:pPr>
      <w:r>
        <w:rPr>
          <w:rFonts w:cs="Times New Roman"/>
          <w:i/>
          <w:noProof/>
          <w:sz w:val="20"/>
          <w:szCs w:val="20"/>
          <w:lang w:val="de-DE" w:eastAsia="de-DE"/>
        </w:rPr>
        <w:lastRenderedPageBreak/>
        <w:drawing>
          <wp:inline distT="0" distB="0" distL="0" distR="0" wp14:anchorId="5577F37E" wp14:editId="75C50DEC">
            <wp:extent cx="5760720" cy="492188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f. Figure versch. IL4 IL13 Konz.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921885"/>
                    </a:xfrm>
                    <a:prstGeom prst="rect">
                      <a:avLst/>
                    </a:prstGeom>
                  </pic:spPr>
                </pic:pic>
              </a:graphicData>
            </a:graphic>
          </wp:inline>
        </w:drawing>
      </w:r>
    </w:p>
    <w:p w14:paraId="2A00952C" w14:textId="77777777" w:rsidR="00284144" w:rsidRDefault="00284144" w:rsidP="00284144">
      <w:pPr>
        <w:pStyle w:val="NoSpacing"/>
        <w:jc w:val="both"/>
        <w:rPr>
          <w:rFonts w:cs="Times New Roman"/>
          <w:i/>
          <w:sz w:val="20"/>
          <w:szCs w:val="20"/>
        </w:rPr>
      </w:pPr>
      <w:r>
        <w:rPr>
          <w:rFonts w:cs="Times New Roman"/>
          <w:b/>
          <w:i/>
          <w:sz w:val="20"/>
          <w:szCs w:val="20"/>
        </w:rPr>
        <w:t>Supplementary Fig.</w:t>
      </w:r>
      <w:r w:rsidRPr="0087695B">
        <w:rPr>
          <w:rFonts w:cs="Times New Roman"/>
          <w:b/>
          <w:i/>
          <w:sz w:val="20"/>
          <w:szCs w:val="20"/>
        </w:rPr>
        <w:t xml:space="preserve"> 3</w:t>
      </w:r>
      <w:r w:rsidRPr="00A16BA0">
        <w:rPr>
          <w:rFonts w:cs="Times New Roman"/>
          <w:i/>
          <w:sz w:val="20"/>
          <w:szCs w:val="20"/>
        </w:rPr>
        <w:t xml:space="preserve"> Stimulation of SPDF (n=3) with various concentrations of IL-4 and IL-13 (1ng/mL, 10ng/mL and 50ng/mL) to determine the optimal stimulation concentration. Fibroblasts were allowed to grow to confluence, weaned for 24h under serum-free conditions, and then treated for 24h. The expression changes of POSTN, CCL11 and CCL26 normalized to GAPDH were examined. For further experiments, a concentration of 1ng/mL was used for IL-4 and 10ng/mL for IL-13 (Welch´s test, two Tailed, 95 % confidence interval, ** p&lt; 0.01, *** p&lt;0.001, ****p&lt;0.0001 compared to MC).</w:t>
      </w:r>
    </w:p>
    <w:p w14:paraId="73679345" w14:textId="77777777" w:rsidR="00284144" w:rsidRDefault="00284144" w:rsidP="00284144">
      <w:pPr>
        <w:pStyle w:val="NoSpacing"/>
        <w:jc w:val="both"/>
        <w:rPr>
          <w:rFonts w:cs="Times New Roman"/>
          <w:i/>
          <w:sz w:val="20"/>
          <w:szCs w:val="20"/>
        </w:rPr>
      </w:pPr>
    </w:p>
    <w:p w14:paraId="6789B98C" w14:textId="77777777" w:rsidR="00284144" w:rsidRPr="00A16BA0" w:rsidRDefault="00284144" w:rsidP="00284144">
      <w:pPr>
        <w:pStyle w:val="NoSpacing"/>
        <w:jc w:val="both"/>
        <w:rPr>
          <w:rFonts w:cs="Times New Roman"/>
          <w:i/>
          <w:sz w:val="20"/>
          <w:szCs w:val="20"/>
        </w:rPr>
      </w:pPr>
      <w:r>
        <w:rPr>
          <w:rFonts w:cs="Times New Roman"/>
          <w:i/>
          <w:noProof/>
          <w:sz w:val="20"/>
          <w:szCs w:val="20"/>
          <w:lang w:val="de-DE" w:eastAsia="de-DE"/>
        </w:rPr>
        <w:lastRenderedPageBreak/>
        <w:drawing>
          <wp:inline distT="0" distB="0" distL="0" distR="0" wp14:anchorId="23B41F2E" wp14:editId="501CF8B5">
            <wp:extent cx="5184755" cy="7082745"/>
            <wp:effectExtent l="0" t="0" r="0" b="444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 Figur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5925" cy="7084343"/>
                    </a:xfrm>
                    <a:prstGeom prst="rect">
                      <a:avLst/>
                    </a:prstGeom>
                  </pic:spPr>
                </pic:pic>
              </a:graphicData>
            </a:graphic>
          </wp:inline>
        </w:drawing>
      </w:r>
    </w:p>
    <w:p w14:paraId="29A016E3" w14:textId="77777777" w:rsidR="00284144" w:rsidRDefault="00284144" w:rsidP="00284144">
      <w:pPr>
        <w:pStyle w:val="NoSpacing"/>
        <w:jc w:val="both"/>
        <w:rPr>
          <w:rFonts w:cs="Times New Roman"/>
          <w:i/>
          <w:sz w:val="20"/>
          <w:szCs w:val="20"/>
        </w:rPr>
      </w:pPr>
      <w:r>
        <w:rPr>
          <w:rFonts w:cs="Times New Roman"/>
          <w:b/>
          <w:i/>
          <w:sz w:val="20"/>
          <w:szCs w:val="20"/>
        </w:rPr>
        <w:t>Supplementary Fig. 4</w:t>
      </w:r>
      <w:r w:rsidRPr="00A16BA0">
        <w:rPr>
          <w:rFonts w:cs="Times New Roman"/>
          <w:i/>
          <w:sz w:val="20"/>
          <w:szCs w:val="20"/>
        </w:rPr>
        <w:t xml:space="preserve"> Evaluation of growth, differentiation and migration-associated genes in NSDF (n=3) and SPDF (n=3).  A) Growth experiments of NSDF (n=3) and SPDF (n=3) on average demonstrated no statistically significant differences in cell division (p=0.513) or proliferation regarding Ki-67 expression (p=0.63). B) Investigations regarding differentiation status revealed no significant differences in the expression of vimentin (p=0.258) and COL1A (p=0.29). </w:t>
      </w:r>
      <w:r w:rsidRPr="00A16BA0">
        <w:rPr>
          <w:rFonts w:cs="Times New Roman"/>
          <w:b/>
          <w:i/>
          <w:sz w:val="20"/>
          <w:szCs w:val="20"/>
        </w:rPr>
        <w:t>C)</w:t>
      </w:r>
      <w:r w:rsidRPr="00A16BA0">
        <w:rPr>
          <w:rFonts w:cs="Times New Roman"/>
          <w:i/>
          <w:sz w:val="20"/>
          <w:szCs w:val="20"/>
        </w:rPr>
        <w:t xml:space="preserve"> Analysis MMPs expression revealed that NSDFs have significantly higher baseline expression on average of MMP2 compared to SPDFs (p=0.008). However, MMP9 did not exhibited </w:t>
      </w:r>
      <w:r w:rsidRPr="00A16BA0">
        <w:rPr>
          <w:rFonts w:cs="Times New Roman"/>
          <w:i/>
          <w:sz w:val="20"/>
          <w:szCs w:val="20"/>
        </w:rPr>
        <w:lastRenderedPageBreak/>
        <w:t>statistically higher expression in NSDF (p=0.076). All expressions were normalized to GAPDH (Welch´s test, two Tailed, 95 % confidence interval, ** p&lt; 0.01).</w:t>
      </w:r>
    </w:p>
    <w:p w14:paraId="7D9AD2EF" w14:textId="77777777" w:rsidR="00284144" w:rsidRDefault="00284144" w:rsidP="00284144">
      <w:pPr>
        <w:pStyle w:val="NoSpacing"/>
        <w:jc w:val="both"/>
        <w:rPr>
          <w:rFonts w:cs="Times New Roman"/>
          <w:i/>
          <w:sz w:val="20"/>
          <w:szCs w:val="20"/>
        </w:rPr>
      </w:pPr>
    </w:p>
    <w:p w14:paraId="379B1E2D" w14:textId="77777777" w:rsidR="00284144" w:rsidRDefault="00284144" w:rsidP="00284144">
      <w:pPr>
        <w:pStyle w:val="NoSpacing"/>
        <w:jc w:val="both"/>
        <w:rPr>
          <w:rFonts w:cs="Times New Roman"/>
          <w:i/>
          <w:sz w:val="20"/>
          <w:szCs w:val="20"/>
        </w:rPr>
      </w:pPr>
    </w:p>
    <w:p w14:paraId="54E167DB" w14:textId="77777777" w:rsidR="00284144" w:rsidRDefault="00284144" w:rsidP="00284144">
      <w:pPr>
        <w:pStyle w:val="NoSpacing"/>
        <w:jc w:val="both"/>
        <w:rPr>
          <w:rFonts w:cs="Times New Roman"/>
          <w:i/>
          <w:sz w:val="20"/>
          <w:szCs w:val="20"/>
        </w:rPr>
      </w:pPr>
    </w:p>
    <w:p w14:paraId="665A2FA5" w14:textId="77777777" w:rsidR="00284144" w:rsidRDefault="00284144" w:rsidP="00284144">
      <w:pPr>
        <w:pStyle w:val="NoSpacing"/>
        <w:jc w:val="both"/>
        <w:rPr>
          <w:rFonts w:cs="Times New Roman"/>
          <w:i/>
          <w:sz w:val="20"/>
          <w:szCs w:val="20"/>
        </w:rPr>
      </w:pPr>
    </w:p>
    <w:p w14:paraId="2CE2CD25" w14:textId="77777777" w:rsidR="00284144" w:rsidRDefault="00284144" w:rsidP="00284144">
      <w:pPr>
        <w:pStyle w:val="NoSpacing"/>
        <w:jc w:val="both"/>
        <w:rPr>
          <w:rFonts w:cs="Times New Roman"/>
          <w:i/>
          <w:sz w:val="20"/>
          <w:szCs w:val="20"/>
        </w:rPr>
      </w:pPr>
    </w:p>
    <w:p w14:paraId="13E4D61E" w14:textId="77777777" w:rsidR="00284144" w:rsidRDefault="00284144" w:rsidP="00284144">
      <w:pPr>
        <w:pStyle w:val="NoSpacing"/>
        <w:jc w:val="both"/>
        <w:rPr>
          <w:rFonts w:cs="Times New Roman"/>
          <w:i/>
          <w:sz w:val="20"/>
          <w:szCs w:val="20"/>
        </w:rPr>
      </w:pPr>
      <w:r>
        <w:rPr>
          <w:rFonts w:cs="Times New Roman"/>
          <w:i/>
          <w:noProof/>
          <w:sz w:val="20"/>
          <w:szCs w:val="20"/>
          <w:lang w:val="de-DE" w:eastAsia="de-DE"/>
        </w:rPr>
        <w:drawing>
          <wp:inline distT="0" distB="0" distL="0" distR="0" wp14:anchorId="027E1F29" wp14:editId="3B7E0E7C">
            <wp:extent cx="5760720" cy="5237480"/>
            <wp:effectExtent l="0" t="0" r="0" b="127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PS und LTA_TSLP_IL25_IL33_1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5237480"/>
                    </a:xfrm>
                    <a:prstGeom prst="rect">
                      <a:avLst/>
                    </a:prstGeom>
                  </pic:spPr>
                </pic:pic>
              </a:graphicData>
            </a:graphic>
          </wp:inline>
        </w:drawing>
      </w:r>
    </w:p>
    <w:p w14:paraId="4CF6EFED" w14:textId="77777777" w:rsidR="00284144" w:rsidRPr="00A16BA0" w:rsidRDefault="00284144" w:rsidP="00284144">
      <w:pPr>
        <w:pStyle w:val="NoSpacing"/>
        <w:jc w:val="both"/>
        <w:rPr>
          <w:rFonts w:cs="Times New Roman"/>
          <w:i/>
          <w:sz w:val="20"/>
          <w:szCs w:val="20"/>
        </w:rPr>
      </w:pPr>
    </w:p>
    <w:p w14:paraId="385F2553" w14:textId="77777777" w:rsidR="00284144" w:rsidRDefault="00284144" w:rsidP="00284144">
      <w:pPr>
        <w:pStyle w:val="NoSpacing"/>
        <w:jc w:val="both"/>
        <w:rPr>
          <w:rFonts w:cs="Times New Roman"/>
          <w:i/>
          <w:sz w:val="20"/>
          <w:szCs w:val="20"/>
        </w:rPr>
      </w:pPr>
      <w:r>
        <w:rPr>
          <w:rFonts w:cs="Times New Roman"/>
          <w:b/>
          <w:i/>
          <w:sz w:val="20"/>
          <w:szCs w:val="20"/>
        </w:rPr>
        <w:t>Supplementary Fig.</w:t>
      </w:r>
      <w:r w:rsidRPr="0087695B">
        <w:rPr>
          <w:rFonts w:cs="Times New Roman"/>
          <w:b/>
          <w:i/>
          <w:sz w:val="20"/>
          <w:szCs w:val="20"/>
        </w:rPr>
        <w:t xml:space="preserve"> 5</w:t>
      </w:r>
      <w:r w:rsidRPr="00A16BA0">
        <w:rPr>
          <w:rFonts w:cs="Times New Roman"/>
          <w:i/>
          <w:sz w:val="20"/>
          <w:szCs w:val="20"/>
        </w:rPr>
        <w:t xml:space="preserve"> Expression of key Th1 and Th2 mediators in ALI cultures derived from the respiratory epithelium of CRSsNP (n=2) and CRSwNP (n=2),</w:t>
      </w:r>
      <w:r w:rsidRPr="00A16BA0">
        <w:rPr>
          <w:sz w:val="20"/>
          <w:szCs w:val="20"/>
        </w:rPr>
        <w:t xml:space="preserve"> </w:t>
      </w:r>
      <w:r w:rsidRPr="00A16BA0">
        <w:rPr>
          <w:rFonts w:cs="Times New Roman"/>
          <w:i/>
          <w:sz w:val="20"/>
          <w:szCs w:val="20"/>
        </w:rPr>
        <w:t xml:space="preserve">normalized to GAPDH. </w:t>
      </w:r>
      <w:r>
        <w:rPr>
          <w:rFonts w:cs="Times New Roman"/>
          <w:b/>
          <w:i/>
          <w:sz w:val="20"/>
          <w:szCs w:val="20"/>
        </w:rPr>
        <w:t>a</w:t>
      </w:r>
      <w:r w:rsidRPr="00A16BA0">
        <w:rPr>
          <w:rFonts w:cs="Times New Roman"/>
          <w:b/>
          <w:i/>
          <w:sz w:val="20"/>
          <w:szCs w:val="20"/>
        </w:rPr>
        <w:t>)</w:t>
      </w:r>
      <w:r w:rsidRPr="00A16BA0">
        <w:rPr>
          <w:rFonts w:cs="Times New Roman"/>
          <w:i/>
          <w:sz w:val="20"/>
          <w:szCs w:val="20"/>
        </w:rPr>
        <w:t xml:space="preserve"> Neither LPS (TLR4 agonist) nor LTA (TLR2-agonist) were able to induce a consistent upregulation of the TSLP, IL-25 and IL-33 genes. In contrast, a partial downregulation of these genes was observed in both cell types, NSDF and SPDF.</w:t>
      </w:r>
      <w:r>
        <w:rPr>
          <w:rFonts w:cs="Times New Roman"/>
          <w:i/>
          <w:sz w:val="20"/>
          <w:szCs w:val="20"/>
        </w:rPr>
        <w:t xml:space="preserve"> </w:t>
      </w:r>
      <w:r>
        <w:rPr>
          <w:rFonts w:cs="Times New Roman"/>
          <w:b/>
          <w:i/>
          <w:sz w:val="20"/>
          <w:szCs w:val="20"/>
        </w:rPr>
        <w:t>b</w:t>
      </w:r>
      <w:r w:rsidRPr="00A16BA0">
        <w:rPr>
          <w:rFonts w:cs="Times New Roman"/>
          <w:b/>
          <w:i/>
          <w:sz w:val="20"/>
          <w:szCs w:val="20"/>
        </w:rPr>
        <w:t>)</w:t>
      </w:r>
      <w:r w:rsidRPr="00A16BA0">
        <w:rPr>
          <w:rFonts w:cs="Times New Roman"/>
          <w:i/>
          <w:sz w:val="20"/>
          <w:szCs w:val="20"/>
        </w:rPr>
        <w:t xml:space="preserve"> Treatments with 10ng/mL LPS resulted in no reproducible upregulation of either TNF-alpha and INF-gamma or IL-8 in CRSsNP and CRSwNP derived ALI cultures. (Welch's test, two Tailed, 95 % confidence interval, * p&lt;0.05, ** p&lt; 0.01).</w:t>
      </w:r>
    </w:p>
    <w:p w14:paraId="3527ACE8" w14:textId="77777777" w:rsidR="00284144" w:rsidRDefault="00284144" w:rsidP="00284144">
      <w:pPr>
        <w:pStyle w:val="NoSpacing"/>
        <w:jc w:val="both"/>
        <w:rPr>
          <w:rFonts w:cs="Times New Roman"/>
          <w:i/>
          <w:sz w:val="20"/>
          <w:szCs w:val="20"/>
        </w:rPr>
      </w:pPr>
    </w:p>
    <w:p w14:paraId="4E210C42" w14:textId="77777777" w:rsidR="00284144" w:rsidRDefault="00284144" w:rsidP="00284144">
      <w:pPr>
        <w:pStyle w:val="NoSpacing"/>
        <w:jc w:val="both"/>
        <w:rPr>
          <w:rFonts w:cs="Times New Roman"/>
          <w:i/>
          <w:sz w:val="20"/>
          <w:szCs w:val="20"/>
        </w:rPr>
      </w:pPr>
    </w:p>
    <w:p w14:paraId="64E020DB" w14:textId="77777777" w:rsidR="00284144" w:rsidRPr="00A16BA0" w:rsidRDefault="00284144" w:rsidP="00284144">
      <w:pPr>
        <w:pStyle w:val="NoSpacing"/>
        <w:jc w:val="both"/>
        <w:rPr>
          <w:rFonts w:cs="Times New Roman"/>
          <w:i/>
          <w:sz w:val="20"/>
          <w:szCs w:val="20"/>
        </w:rPr>
      </w:pPr>
      <w:r>
        <w:rPr>
          <w:rFonts w:cs="Times New Roman"/>
          <w:i/>
          <w:noProof/>
          <w:sz w:val="20"/>
          <w:szCs w:val="20"/>
          <w:lang w:val="de-DE" w:eastAsia="de-DE"/>
        </w:rPr>
        <w:lastRenderedPageBreak/>
        <w:drawing>
          <wp:inline distT="0" distB="0" distL="0" distR="0" wp14:anchorId="6DFE736D" wp14:editId="559F1F46">
            <wp:extent cx="5760720" cy="434784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LR_LPS_LTA_Poly.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4347845"/>
                    </a:xfrm>
                    <a:prstGeom prst="rect">
                      <a:avLst/>
                    </a:prstGeom>
                  </pic:spPr>
                </pic:pic>
              </a:graphicData>
            </a:graphic>
          </wp:inline>
        </w:drawing>
      </w:r>
    </w:p>
    <w:p w14:paraId="05596C72" w14:textId="77777777" w:rsidR="00284144" w:rsidRDefault="00284144" w:rsidP="00284144">
      <w:pPr>
        <w:pStyle w:val="NoSpacing"/>
        <w:jc w:val="both"/>
        <w:rPr>
          <w:rFonts w:cs="Times New Roman"/>
          <w:i/>
          <w:sz w:val="20"/>
          <w:szCs w:val="20"/>
        </w:rPr>
      </w:pPr>
      <w:r>
        <w:rPr>
          <w:rFonts w:cs="Times New Roman"/>
          <w:b/>
          <w:i/>
          <w:sz w:val="20"/>
          <w:szCs w:val="20"/>
        </w:rPr>
        <w:t>Supplementary Fig.</w:t>
      </w:r>
      <w:r w:rsidRPr="0087695B">
        <w:rPr>
          <w:rFonts w:cs="Times New Roman"/>
          <w:b/>
          <w:i/>
          <w:sz w:val="20"/>
          <w:szCs w:val="20"/>
        </w:rPr>
        <w:t xml:space="preserve"> 6</w:t>
      </w:r>
      <w:r w:rsidRPr="00A16BA0">
        <w:rPr>
          <w:rFonts w:cs="Times New Roman"/>
          <w:i/>
          <w:sz w:val="20"/>
          <w:szCs w:val="20"/>
        </w:rPr>
        <w:t xml:space="preserve"> The expression of TLRs from NS (n=2)  and SP (n=2) derived ALI cultures of nasal epithelial cells, normalized to GAPDH. The cells were treated with 10ng/mL LTA (TLR2 agonist), Poly(I:C) (TLR3 agonist) or LPS (TLR4 agonist) for 24 hours and the expression of the respective receptors was analyzed. In NS- and SP-ALI, neither LTA nor LPS are able to upregulate their respective TLR, whereas </w:t>
      </w:r>
      <w:r>
        <w:rPr>
          <w:rFonts w:cs="Times New Roman"/>
          <w:i/>
          <w:sz w:val="20"/>
          <w:szCs w:val="20"/>
        </w:rPr>
        <w:t>P</w:t>
      </w:r>
      <w:r w:rsidRPr="00A16BA0">
        <w:rPr>
          <w:rFonts w:cs="Times New Roman"/>
          <w:i/>
          <w:sz w:val="20"/>
          <w:szCs w:val="20"/>
        </w:rPr>
        <w:t>oly(I:C) is capable of upregulating TLR3 in SP-ALI. (Welch's test, two Tailed, 95 % confidence interval, * p&lt;0.05, ** p&lt; 0.01).</w:t>
      </w:r>
    </w:p>
    <w:p w14:paraId="52A200B1" w14:textId="77777777" w:rsidR="00284144" w:rsidRDefault="00284144" w:rsidP="00284144">
      <w:pPr>
        <w:pStyle w:val="NoSpacing"/>
        <w:jc w:val="both"/>
        <w:rPr>
          <w:rFonts w:cs="Times New Roman"/>
          <w:i/>
          <w:sz w:val="20"/>
          <w:szCs w:val="20"/>
        </w:rPr>
      </w:pPr>
    </w:p>
    <w:p w14:paraId="2C0177BE" w14:textId="77777777" w:rsidR="00284144" w:rsidRDefault="00284144" w:rsidP="00284144">
      <w:pPr>
        <w:pStyle w:val="NoSpacing"/>
        <w:jc w:val="both"/>
        <w:rPr>
          <w:rFonts w:cs="Times New Roman"/>
          <w:i/>
          <w:sz w:val="20"/>
          <w:szCs w:val="20"/>
        </w:rPr>
      </w:pPr>
    </w:p>
    <w:p w14:paraId="4F5B8E03" w14:textId="77777777" w:rsidR="00284144" w:rsidRDefault="00284144" w:rsidP="00284144">
      <w:pPr>
        <w:pStyle w:val="NoSpacing"/>
        <w:jc w:val="both"/>
        <w:rPr>
          <w:rFonts w:cs="Times New Roman"/>
          <w:i/>
          <w:sz w:val="20"/>
          <w:szCs w:val="20"/>
        </w:rPr>
      </w:pPr>
    </w:p>
    <w:p w14:paraId="0663E8B4" w14:textId="77777777" w:rsidR="00284144" w:rsidRDefault="00284144" w:rsidP="00284144">
      <w:pPr>
        <w:pStyle w:val="NoSpacing"/>
        <w:jc w:val="both"/>
        <w:rPr>
          <w:rFonts w:cs="Times New Roman"/>
          <w:i/>
          <w:sz w:val="20"/>
          <w:szCs w:val="20"/>
        </w:rPr>
      </w:pPr>
    </w:p>
    <w:p w14:paraId="41E2EC2D" w14:textId="77777777" w:rsidR="00284144" w:rsidRDefault="00284144" w:rsidP="00284144">
      <w:pPr>
        <w:pStyle w:val="NoSpacing"/>
        <w:jc w:val="both"/>
        <w:rPr>
          <w:rFonts w:cs="Times New Roman"/>
          <w:i/>
          <w:sz w:val="20"/>
          <w:szCs w:val="20"/>
        </w:rPr>
      </w:pPr>
    </w:p>
    <w:p w14:paraId="398B4953" w14:textId="77777777" w:rsidR="00284144" w:rsidRDefault="00284144" w:rsidP="00284144">
      <w:pPr>
        <w:pStyle w:val="NoSpacing"/>
        <w:jc w:val="both"/>
        <w:rPr>
          <w:rFonts w:cs="Times New Roman"/>
          <w:i/>
          <w:sz w:val="20"/>
          <w:szCs w:val="20"/>
        </w:rPr>
      </w:pPr>
    </w:p>
    <w:p w14:paraId="2F88B9DD" w14:textId="77777777" w:rsidR="00284144" w:rsidRPr="0087695B" w:rsidRDefault="00284144" w:rsidP="00284144">
      <w:pPr>
        <w:pStyle w:val="NoSpacing"/>
        <w:jc w:val="both"/>
        <w:rPr>
          <w:rFonts w:cs="Times New Roman"/>
          <w:b/>
          <w:i/>
          <w:sz w:val="20"/>
          <w:szCs w:val="20"/>
        </w:rPr>
      </w:pPr>
      <w:r>
        <w:rPr>
          <w:rFonts w:cs="Times New Roman"/>
          <w:b/>
          <w:i/>
          <w:noProof/>
          <w:sz w:val="20"/>
          <w:szCs w:val="20"/>
          <w:lang w:val="de-DE" w:eastAsia="de-DE"/>
        </w:rPr>
        <w:lastRenderedPageBreak/>
        <w:drawing>
          <wp:inline distT="0" distB="0" distL="0" distR="0" wp14:anchorId="547F91E0" wp14:editId="3D0C2939">
            <wp:extent cx="5001577" cy="3362502"/>
            <wp:effectExtent l="0" t="0" r="889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L4R.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05269" cy="3364984"/>
                    </a:xfrm>
                    <a:prstGeom prst="rect">
                      <a:avLst/>
                    </a:prstGeom>
                  </pic:spPr>
                </pic:pic>
              </a:graphicData>
            </a:graphic>
          </wp:inline>
        </w:drawing>
      </w:r>
    </w:p>
    <w:p w14:paraId="2B4F1C6B" w14:textId="77777777" w:rsidR="00284144" w:rsidRPr="00A16BA0" w:rsidRDefault="00284144" w:rsidP="00284144">
      <w:pPr>
        <w:pStyle w:val="NoSpacing"/>
        <w:jc w:val="both"/>
        <w:rPr>
          <w:rFonts w:cs="Times New Roman"/>
          <w:i/>
          <w:sz w:val="20"/>
          <w:szCs w:val="20"/>
        </w:rPr>
      </w:pPr>
      <w:r w:rsidRPr="0087695B">
        <w:rPr>
          <w:rFonts w:cs="Times New Roman"/>
          <w:b/>
          <w:i/>
          <w:sz w:val="20"/>
          <w:szCs w:val="20"/>
        </w:rPr>
        <w:t>Supplementary Fig. 7</w:t>
      </w:r>
      <w:r>
        <w:rPr>
          <w:rFonts w:cs="Times New Roman"/>
          <w:b/>
          <w:i/>
          <w:sz w:val="20"/>
          <w:szCs w:val="20"/>
        </w:rPr>
        <w:t xml:space="preserve"> </w:t>
      </w:r>
      <w:r w:rsidRPr="00A16BA0">
        <w:rPr>
          <w:rFonts w:cs="Times New Roman"/>
          <w:i/>
          <w:sz w:val="20"/>
          <w:szCs w:val="20"/>
        </w:rPr>
        <w:t>Investigation of IL4R expression of NSDF (n=4) and SPDF (n=4) by treatment with IL-4 and IL-13. Overall, SPDF exhibited increased and more consistent expression of this receptor subunit, while no increases was observed in NSDF (Welch's test, two Tailed, 95 % confidence interval, * p&lt;0.05, ** p&lt; 0.01)</w:t>
      </w:r>
      <w:r>
        <w:rPr>
          <w:rFonts w:cs="Times New Roman"/>
          <w:i/>
          <w:sz w:val="20"/>
          <w:szCs w:val="20"/>
        </w:rPr>
        <w:t>.</w:t>
      </w:r>
    </w:p>
    <w:p w14:paraId="2299DFA5"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144"/>
    <w:rsid w:val="00284144"/>
    <w:rsid w:val="003C2EF4"/>
    <w:rsid w:val="00446799"/>
    <w:rsid w:val="006A7E07"/>
    <w:rsid w:val="00701021"/>
    <w:rsid w:val="00A369AD"/>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94DE4"/>
  <w15:chartTrackingRefBased/>
  <w15:docId w15:val="{F7F7FDD9-4A1A-4254-976B-63A243D2F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41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41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41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41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41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41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41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41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41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41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41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41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41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41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41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41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41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4144"/>
    <w:rPr>
      <w:rFonts w:eastAsiaTheme="majorEastAsia" w:cstheme="majorBidi"/>
      <w:color w:val="272727" w:themeColor="text1" w:themeTint="D8"/>
    </w:rPr>
  </w:style>
  <w:style w:type="paragraph" w:styleId="Title">
    <w:name w:val="Title"/>
    <w:basedOn w:val="Normal"/>
    <w:next w:val="Normal"/>
    <w:link w:val="TitleChar"/>
    <w:uiPriority w:val="10"/>
    <w:qFormat/>
    <w:rsid w:val="002841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41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41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41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4144"/>
    <w:pPr>
      <w:spacing w:before="160"/>
      <w:jc w:val="center"/>
    </w:pPr>
    <w:rPr>
      <w:i/>
      <w:iCs/>
      <w:color w:val="404040" w:themeColor="text1" w:themeTint="BF"/>
    </w:rPr>
  </w:style>
  <w:style w:type="character" w:customStyle="1" w:styleId="QuoteChar">
    <w:name w:val="Quote Char"/>
    <w:basedOn w:val="DefaultParagraphFont"/>
    <w:link w:val="Quote"/>
    <w:uiPriority w:val="29"/>
    <w:rsid w:val="00284144"/>
    <w:rPr>
      <w:i/>
      <w:iCs/>
      <w:color w:val="404040" w:themeColor="text1" w:themeTint="BF"/>
    </w:rPr>
  </w:style>
  <w:style w:type="paragraph" w:styleId="ListParagraph">
    <w:name w:val="List Paragraph"/>
    <w:basedOn w:val="Normal"/>
    <w:uiPriority w:val="34"/>
    <w:qFormat/>
    <w:rsid w:val="00284144"/>
    <w:pPr>
      <w:ind w:left="720"/>
      <w:contextualSpacing/>
    </w:pPr>
  </w:style>
  <w:style w:type="character" w:styleId="IntenseEmphasis">
    <w:name w:val="Intense Emphasis"/>
    <w:basedOn w:val="DefaultParagraphFont"/>
    <w:uiPriority w:val="21"/>
    <w:qFormat/>
    <w:rsid w:val="00284144"/>
    <w:rPr>
      <w:i/>
      <w:iCs/>
      <w:color w:val="0F4761" w:themeColor="accent1" w:themeShade="BF"/>
    </w:rPr>
  </w:style>
  <w:style w:type="paragraph" w:styleId="IntenseQuote">
    <w:name w:val="Intense Quote"/>
    <w:basedOn w:val="Normal"/>
    <w:next w:val="Normal"/>
    <w:link w:val="IntenseQuoteChar"/>
    <w:uiPriority w:val="30"/>
    <w:qFormat/>
    <w:rsid w:val="002841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4144"/>
    <w:rPr>
      <w:i/>
      <w:iCs/>
      <w:color w:val="0F4761" w:themeColor="accent1" w:themeShade="BF"/>
    </w:rPr>
  </w:style>
  <w:style w:type="character" w:styleId="IntenseReference">
    <w:name w:val="Intense Reference"/>
    <w:basedOn w:val="DefaultParagraphFont"/>
    <w:uiPriority w:val="32"/>
    <w:qFormat/>
    <w:rsid w:val="00284144"/>
    <w:rPr>
      <w:b/>
      <w:bCs/>
      <w:smallCaps/>
      <w:color w:val="0F4761" w:themeColor="accent1" w:themeShade="BF"/>
      <w:spacing w:val="5"/>
    </w:rPr>
  </w:style>
  <w:style w:type="paragraph" w:styleId="NoSpacing">
    <w:name w:val="No Spacing"/>
    <w:uiPriority w:val="99"/>
    <w:unhideWhenUsed/>
    <w:qFormat/>
    <w:rsid w:val="00284144"/>
    <w:pPr>
      <w:spacing w:after="0" w:line="240" w:lineRule="auto"/>
    </w:pPr>
    <w:rPr>
      <w:rFonts w:ascii="Times New Roman" w:hAnsi="Times New Roman"/>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jpg"/><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632</Words>
  <Characters>3641</Characters>
  <Application>Microsoft Office Word</Application>
  <DocSecurity>0</DocSecurity>
  <Lines>56</Lines>
  <Paragraphs>16</Paragraphs>
  <ScaleCrop>false</ScaleCrop>
  <Company>Springer Nature</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2025-12-03T07:39:00Z</dcterms:created>
  <dcterms:modified xsi:type="dcterms:W3CDTF">2025-12-03T07:40:00Z</dcterms:modified>
</cp:coreProperties>
</file>