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C841" w14:textId="47E08FA5" w:rsidR="00271DDB" w:rsidRPr="003F1ADA" w:rsidRDefault="00271DDB" w:rsidP="00CB3970">
      <w:pPr>
        <w:spacing w:after="0"/>
        <w:jc w:val="both"/>
        <w:rPr>
          <w:rFonts w:ascii="Calibri" w:hAnsi="Calibri" w:cs="Calibri"/>
          <w:b/>
          <w:bCs/>
          <w:sz w:val="28"/>
          <w:szCs w:val="28"/>
        </w:rPr>
      </w:pPr>
      <w:bookmarkStart w:id="0" w:name="_Hlk121847833"/>
      <w:r w:rsidRPr="003F1ADA">
        <w:rPr>
          <w:rFonts w:ascii="Calibri" w:hAnsi="Calibri" w:cs="Calibri"/>
          <w:b/>
          <w:bCs/>
          <w:sz w:val="28"/>
          <w:szCs w:val="28"/>
        </w:rPr>
        <w:t xml:space="preserve">Scenario-based Inventory Modelling for Prospective Life Cycle Assessment of Mineral </w:t>
      </w:r>
      <w:r w:rsidR="00655C90">
        <w:rPr>
          <w:rFonts w:ascii="Calibri" w:hAnsi="Calibri" w:cs="Calibri"/>
          <w:b/>
          <w:bCs/>
          <w:sz w:val="28"/>
          <w:szCs w:val="28"/>
        </w:rPr>
        <w:t>Raw Materials</w:t>
      </w:r>
      <w:r w:rsidRPr="003F1ADA">
        <w:rPr>
          <w:rFonts w:ascii="Calibri" w:hAnsi="Calibri" w:cs="Calibri"/>
          <w:b/>
          <w:bCs/>
          <w:sz w:val="28"/>
          <w:szCs w:val="28"/>
        </w:rPr>
        <w:t xml:space="preserve"> (SIMPL-Minerals)</w:t>
      </w:r>
    </w:p>
    <w:p w14:paraId="26E316EB" w14:textId="77777777" w:rsidR="00271DDB" w:rsidRPr="003F1ADA" w:rsidRDefault="00271DDB" w:rsidP="00CB3970">
      <w:pPr>
        <w:spacing w:after="0"/>
        <w:jc w:val="both"/>
        <w:rPr>
          <w:rFonts w:ascii="Calibri" w:hAnsi="Calibri" w:cs="Calibri"/>
          <w:b/>
          <w:bCs/>
          <w:sz w:val="20"/>
          <w:szCs w:val="20"/>
        </w:rPr>
      </w:pPr>
    </w:p>
    <w:p w14:paraId="70F2FCC6" w14:textId="059B836F" w:rsidR="00271DDB" w:rsidRDefault="00271DDB" w:rsidP="00CB3970">
      <w:pPr>
        <w:spacing w:after="0"/>
        <w:jc w:val="both"/>
        <w:rPr>
          <w:rFonts w:ascii="Calibri" w:hAnsi="Calibri" w:cs="Calibri"/>
          <w:sz w:val="20"/>
          <w:szCs w:val="20"/>
          <w:vertAlign w:val="superscript"/>
        </w:rPr>
      </w:pPr>
      <w:bookmarkStart w:id="1" w:name="_Hlk121847845"/>
      <w:bookmarkEnd w:id="0"/>
      <w:r w:rsidRPr="003F1ADA">
        <w:rPr>
          <w:rFonts w:ascii="Calibri" w:hAnsi="Calibri" w:cs="Calibri"/>
          <w:sz w:val="20"/>
          <w:szCs w:val="20"/>
        </w:rPr>
        <w:t>Jonas Klimt</w:t>
      </w:r>
      <w:r w:rsidRPr="003F1ADA">
        <w:rPr>
          <w:rFonts w:ascii="Calibri" w:hAnsi="Calibri" w:cs="Calibri"/>
          <w:sz w:val="20"/>
          <w:szCs w:val="20"/>
          <w:vertAlign w:val="superscript"/>
        </w:rPr>
        <w:t>1</w:t>
      </w:r>
      <w:bookmarkEnd w:id="1"/>
      <w:r w:rsidRPr="003F1ADA">
        <w:rPr>
          <w:rFonts w:ascii="Calibri" w:hAnsi="Calibri" w:cs="Calibri"/>
          <w:sz w:val="20"/>
          <w:szCs w:val="20"/>
          <w:vertAlign w:val="superscript"/>
        </w:rPr>
        <w:t>,*</w:t>
      </w:r>
      <w:r w:rsidRPr="003F1ADA">
        <w:rPr>
          <w:rFonts w:ascii="Calibri" w:hAnsi="Calibri" w:cs="Calibri"/>
          <w:sz w:val="20"/>
          <w:szCs w:val="20"/>
        </w:rPr>
        <w:t>, Robert Istrate</w:t>
      </w:r>
      <w:r w:rsidRPr="003F1ADA">
        <w:rPr>
          <w:rFonts w:ascii="Calibri" w:hAnsi="Calibri" w:cs="Calibri"/>
          <w:sz w:val="20"/>
          <w:szCs w:val="20"/>
          <w:vertAlign w:val="superscript"/>
        </w:rPr>
        <w:t>1</w:t>
      </w:r>
      <w:r w:rsidRPr="003F1ADA">
        <w:rPr>
          <w:rFonts w:ascii="Calibri" w:hAnsi="Calibri" w:cs="Calibri"/>
          <w:sz w:val="20"/>
          <w:szCs w:val="20"/>
        </w:rPr>
        <w:t>, Valerio Barbarossa</w:t>
      </w:r>
      <w:r w:rsidRPr="003F1ADA">
        <w:rPr>
          <w:rFonts w:ascii="Calibri" w:hAnsi="Calibri" w:cs="Calibri"/>
          <w:sz w:val="20"/>
          <w:szCs w:val="20"/>
          <w:vertAlign w:val="superscript"/>
        </w:rPr>
        <w:t>1</w:t>
      </w:r>
      <w:r w:rsidRPr="003F1ADA">
        <w:rPr>
          <w:rFonts w:ascii="Calibri" w:hAnsi="Calibri" w:cs="Calibri"/>
          <w:sz w:val="20"/>
          <w:szCs w:val="20"/>
        </w:rPr>
        <w:t>, Antoine Beylot</w:t>
      </w:r>
      <w:r w:rsidRPr="003F1ADA">
        <w:rPr>
          <w:rFonts w:ascii="Calibri" w:hAnsi="Calibri" w:cs="Calibri"/>
          <w:sz w:val="20"/>
          <w:szCs w:val="20"/>
          <w:vertAlign w:val="superscript"/>
        </w:rPr>
        <w:t>2</w:t>
      </w:r>
      <w:r w:rsidRPr="003F1ADA">
        <w:rPr>
          <w:rFonts w:ascii="Calibri" w:hAnsi="Calibri" w:cs="Calibri"/>
          <w:sz w:val="20"/>
          <w:szCs w:val="20"/>
        </w:rPr>
        <w:t>, Frederic Lai</w:t>
      </w:r>
      <w:r w:rsidRPr="003F1ADA">
        <w:rPr>
          <w:rFonts w:ascii="Calibri" w:hAnsi="Calibri" w:cs="Calibri"/>
          <w:sz w:val="20"/>
          <w:szCs w:val="20"/>
          <w:vertAlign w:val="superscript"/>
        </w:rPr>
        <w:t>2</w:t>
      </w:r>
      <w:r w:rsidR="00B6121D">
        <w:rPr>
          <w:rFonts w:ascii="Calibri" w:hAnsi="Calibri" w:cs="Calibri"/>
          <w:sz w:val="20"/>
          <w:szCs w:val="20"/>
        </w:rPr>
        <w:t xml:space="preserve">, </w:t>
      </w:r>
      <w:r w:rsidR="00B6121D" w:rsidRPr="003F1ADA">
        <w:rPr>
          <w:rFonts w:ascii="Calibri" w:hAnsi="Calibri" w:cs="Calibri"/>
          <w:sz w:val="20"/>
          <w:szCs w:val="20"/>
        </w:rPr>
        <w:t>Bernhard Steubing</w:t>
      </w:r>
      <w:r w:rsidR="00B6121D" w:rsidRPr="003F1ADA">
        <w:rPr>
          <w:rFonts w:ascii="Calibri" w:hAnsi="Calibri" w:cs="Calibri"/>
          <w:sz w:val="20"/>
          <w:szCs w:val="20"/>
          <w:vertAlign w:val="superscript"/>
        </w:rPr>
        <w:t>1</w:t>
      </w:r>
    </w:p>
    <w:p w14:paraId="6A829355" w14:textId="77777777" w:rsidR="0030160E" w:rsidRPr="003F1ADA" w:rsidRDefault="0030160E" w:rsidP="00CB3970">
      <w:pPr>
        <w:spacing w:after="0"/>
        <w:jc w:val="both"/>
        <w:rPr>
          <w:rFonts w:ascii="Calibri" w:hAnsi="Calibri" w:cs="Calibri"/>
          <w:sz w:val="20"/>
          <w:szCs w:val="20"/>
        </w:rPr>
      </w:pPr>
    </w:p>
    <w:p w14:paraId="34D83C1B" w14:textId="77777777" w:rsidR="00271DDB" w:rsidRPr="003F1ADA" w:rsidRDefault="00271DDB" w:rsidP="00CB3970">
      <w:pPr>
        <w:spacing w:after="0"/>
        <w:jc w:val="both"/>
        <w:rPr>
          <w:rFonts w:ascii="Calibri" w:hAnsi="Calibri" w:cs="Calibri"/>
          <w:sz w:val="20"/>
          <w:szCs w:val="20"/>
        </w:rPr>
      </w:pPr>
      <w:r w:rsidRPr="003F1ADA">
        <w:rPr>
          <w:rFonts w:ascii="Calibri" w:hAnsi="Calibri" w:cs="Calibri"/>
          <w:sz w:val="20"/>
          <w:szCs w:val="20"/>
          <w:vertAlign w:val="superscript"/>
        </w:rPr>
        <w:t xml:space="preserve">1 </w:t>
      </w:r>
      <w:r w:rsidRPr="003F1ADA">
        <w:rPr>
          <w:rFonts w:ascii="Calibri" w:hAnsi="Calibri" w:cs="Calibri"/>
          <w:sz w:val="20"/>
          <w:szCs w:val="20"/>
        </w:rPr>
        <w:t>Institute of Environmental Sciences (CML), Leiden University, 2333 CC Leiden, The Netherlands</w:t>
      </w:r>
    </w:p>
    <w:p w14:paraId="66869B2B" w14:textId="10C99E05" w:rsidR="00271DDB" w:rsidRPr="003F1ADA" w:rsidRDefault="00271DDB" w:rsidP="00CB3970">
      <w:pPr>
        <w:spacing w:after="0"/>
        <w:jc w:val="both"/>
        <w:rPr>
          <w:rFonts w:ascii="Calibri" w:hAnsi="Calibri" w:cs="Calibri"/>
          <w:sz w:val="20"/>
          <w:szCs w:val="20"/>
        </w:rPr>
      </w:pPr>
      <w:r w:rsidRPr="003F1ADA">
        <w:rPr>
          <w:rFonts w:ascii="Calibri" w:hAnsi="Calibri" w:cs="Calibri"/>
          <w:sz w:val="20"/>
          <w:szCs w:val="20"/>
          <w:vertAlign w:val="superscript"/>
        </w:rPr>
        <w:t>2</w:t>
      </w:r>
      <w:r w:rsidRPr="003F1ADA">
        <w:rPr>
          <w:rFonts w:ascii="Calibri" w:hAnsi="Calibri" w:cs="Calibri"/>
          <w:sz w:val="20"/>
          <w:szCs w:val="20"/>
        </w:rPr>
        <w:t xml:space="preserve"> </w:t>
      </w:r>
      <w:r w:rsidR="0030160E" w:rsidRPr="00940026">
        <w:rPr>
          <w:rFonts w:asciiTheme="majorHAnsi" w:hAnsiTheme="majorHAnsi" w:cstheme="majorHAnsi"/>
          <w:sz w:val="20"/>
          <w:szCs w:val="20"/>
          <w:lang w:val="fr-FR"/>
        </w:rPr>
        <w:t>BRGM, F-45060 Orléans, France</w:t>
      </w:r>
    </w:p>
    <w:p w14:paraId="54FBA5C6" w14:textId="2A948054" w:rsidR="00271DDB" w:rsidRPr="003F1ADA" w:rsidRDefault="00271DDB" w:rsidP="00CB3970">
      <w:pPr>
        <w:spacing w:after="0"/>
        <w:jc w:val="both"/>
        <w:rPr>
          <w:rFonts w:ascii="Calibri" w:hAnsi="Calibri" w:cs="Calibri"/>
          <w:sz w:val="20"/>
          <w:szCs w:val="20"/>
        </w:rPr>
      </w:pPr>
      <w:r w:rsidRPr="003F1ADA">
        <w:rPr>
          <w:rFonts w:ascii="Calibri" w:hAnsi="Calibri" w:cs="Calibri"/>
          <w:sz w:val="20"/>
          <w:szCs w:val="20"/>
        </w:rPr>
        <w:t>* Correspondence</w:t>
      </w:r>
      <w:r w:rsidR="00A01703" w:rsidRPr="003F1ADA">
        <w:rPr>
          <w:rFonts w:ascii="Calibri" w:hAnsi="Calibri" w:cs="Calibri"/>
          <w:sz w:val="20"/>
          <w:szCs w:val="20"/>
        </w:rPr>
        <w:t xml:space="preserve">: </w:t>
      </w:r>
      <w:hyperlink r:id="rId11" w:history="1">
        <w:r w:rsidR="00A01703" w:rsidRPr="003F1ADA">
          <w:rPr>
            <w:rStyle w:val="Hyperlink"/>
            <w:rFonts w:ascii="Calibri" w:hAnsi="Calibri" w:cs="Calibri"/>
            <w:sz w:val="20"/>
            <w:szCs w:val="20"/>
          </w:rPr>
          <w:t>j.b.j.klimt@cml.leidenuniv.nl</w:t>
        </w:r>
      </w:hyperlink>
      <w:r w:rsidR="00A01703" w:rsidRPr="003F1ADA">
        <w:rPr>
          <w:rFonts w:ascii="Calibri" w:hAnsi="Calibri" w:cs="Calibri"/>
          <w:sz w:val="20"/>
          <w:szCs w:val="20"/>
        </w:rPr>
        <w:t xml:space="preserve"> </w:t>
      </w:r>
    </w:p>
    <w:p w14:paraId="4302F40F" w14:textId="77777777" w:rsidR="000C01AA" w:rsidRPr="003F1ADA" w:rsidRDefault="000C01AA" w:rsidP="00CB3970">
      <w:pPr>
        <w:spacing w:after="0"/>
        <w:jc w:val="both"/>
        <w:rPr>
          <w:rFonts w:ascii="Calibri" w:hAnsi="Calibri" w:cs="Calibri"/>
          <w:sz w:val="20"/>
          <w:szCs w:val="20"/>
        </w:rPr>
      </w:pPr>
    </w:p>
    <w:p w14:paraId="44C4E3CE" w14:textId="77777777" w:rsidR="00507823" w:rsidRPr="003F1ADA" w:rsidRDefault="00507823" w:rsidP="00507823">
      <w:pPr>
        <w:spacing w:after="0"/>
        <w:jc w:val="both"/>
        <w:rPr>
          <w:rFonts w:ascii="Calibri" w:hAnsi="Calibri" w:cs="Calibri"/>
          <w:b/>
          <w:bCs/>
          <w:sz w:val="20"/>
          <w:szCs w:val="20"/>
        </w:rPr>
      </w:pPr>
      <w:r w:rsidRPr="003F1ADA">
        <w:rPr>
          <w:rFonts w:ascii="Calibri" w:hAnsi="Calibri" w:cs="Calibri"/>
          <w:b/>
          <w:bCs/>
          <w:sz w:val="20"/>
          <w:szCs w:val="20"/>
        </w:rPr>
        <w:t>Supplementary Information 3</w:t>
      </w:r>
    </w:p>
    <w:p w14:paraId="794D43C3" w14:textId="12101044" w:rsidR="00F5215B" w:rsidRPr="003F1ADA" w:rsidRDefault="0041700E" w:rsidP="00CB3970">
      <w:pPr>
        <w:pStyle w:val="Heading1"/>
        <w:spacing w:after="0"/>
        <w:jc w:val="both"/>
        <w:rPr>
          <w:rFonts w:cs="Calibri"/>
        </w:rPr>
      </w:pPr>
      <w:r w:rsidRPr="003F1ADA">
        <w:rPr>
          <w:rFonts w:cs="Calibri"/>
        </w:rPr>
        <w:t xml:space="preserve">SI3.1 </w:t>
      </w:r>
      <w:r w:rsidR="00BE54CD" w:rsidRPr="003F1ADA">
        <w:rPr>
          <w:rFonts w:cs="Calibri"/>
        </w:rPr>
        <w:t>Extended results from the SIMPL-Minerals approach</w:t>
      </w:r>
    </w:p>
    <w:p w14:paraId="410A1997" w14:textId="4A076091" w:rsidR="00D2601C" w:rsidRPr="003F1ADA" w:rsidRDefault="00D2601C" w:rsidP="00CB3970">
      <w:pPr>
        <w:pStyle w:val="Heading2"/>
        <w:spacing w:after="0"/>
        <w:jc w:val="both"/>
        <w:rPr>
          <w:rFonts w:cs="Calibri"/>
        </w:rPr>
      </w:pPr>
      <w:r w:rsidRPr="003F1ADA">
        <w:rPr>
          <w:rFonts w:cs="Calibri"/>
        </w:rPr>
        <w:t>PESTEL checklist</w:t>
      </w:r>
    </w:p>
    <w:p w14:paraId="0B8BC6D2" w14:textId="7938AD53" w:rsidR="00F16746" w:rsidRDefault="000F5919" w:rsidP="00CB3970">
      <w:pPr>
        <w:spacing w:after="0"/>
        <w:jc w:val="both"/>
        <w:rPr>
          <w:rFonts w:ascii="Calibri" w:hAnsi="Calibri" w:cs="Calibri"/>
          <w:sz w:val="20"/>
          <w:szCs w:val="20"/>
        </w:rPr>
      </w:pPr>
      <w:r w:rsidRPr="000F5919">
        <w:rPr>
          <w:rFonts w:ascii="Calibri" w:hAnsi="Calibri" w:cs="Calibri"/>
          <w:sz w:val="20"/>
          <w:szCs w:val="20"/>
        </w:rPr>
        <w:t>Table 1 presents the completed PESTEL checklist, which was used to identify key factors influencing the future development of generic mineral value chains. To maintain a concise overview, certain elements, such as mineral commodity prices, have been intentionally excluded. When applying the PESTEL checklist to a specific case study, practitioners are encouraged to adapt it by adding or removing factors to better reflect the characteristics of the respective mineral value chain. It is important to note that each listed factor is influenced by multiple underlying background drivers that are not explicitly included in the table. For example, the factor social acceptance of mining can be affected by the distance between the mine and nearby urban areas, the type of surface cover in the extraction zone, and the nature and extent of information shared by mining companies with the public, among other considerations. A similar evaluation can be conducted for any factor on the list. Practitioners are therefore encouraged to reflect on and incorporate such background influences where relevant to their specific context.</w:t>
      </w:r>
    </w:p>
    <w:p w14:paraId="23A9BA55" w14:textId="77777777" w:rsidR="000F5919" w:rsidRPr="003F1ADA" w:rsidRDefault="000F5919" w:rsidP="00CB3970">
      <w:pPr>
        <w:spacing w:after="0"/>
        <w:jc w:val="both"/>
        <w:rPr>
          <w:rFonts w:ascii="Calibri" w:hAnsi="Calibri" w:cs="Calibri"/>
          <w:sz w:val="20"/>
          <w:szCs w:val="20"/>
        </w:rPr>
      </w:pPr>
    </w:p>
    <w:p w14:paraId="33BF993D" w14:textId="028EB688" w:rsidR="00C43048" w:rsidRPr="003F1ADA" w:rsidRDefault="00C43048" w:rsidP="00CB3970">
      <w:pPr>
        <w:pStyle w:val="Caption"/>
        <w:spacing w:after="0"/>
        <w:rPr>
          <w:rFonts w:ascii="Calibri" w:hAnsi="Calibri" w:cs="Calibri"/>
        </w:rPr>
      </w:pPr>
      <w:r w:rsidRPr="003F1ADA">
        <w:rPr>
          <w:rFonts w:ascii="Calibri" w:hAnsi="Calibri" w:cs="Calibri"/>
        </w:rPr>
        <w:t xml:space="preserve">Table </w:t>
      </w:r>
      <w:r w:rsidRPr="003F1ADA">
        <w:rPr>
          <w:rFonts w:ascii="Calibri" w:hAnsi="Calibri" w:cs="Calibri"/>
        </w:rPr>
        <w:fldChar w:fldCharType="begin"/>
      </w:r>
      <w:r w:rsidRPr="003F1ADA">
        <w:rPr>
          <w:rFonts w:ascii="Calibri" w:hAnsi="Calibri" w:cs="Calibri"/>
        </w:rPr>
        <w:instrText xml:space="preserve"> SEQ Table \* ARABIC </w:instrText>
      </w:r>
      <w:r w:rsidRPr="003F1ADA">
        <w:rPr>
          <w:rFonts w:ascii="Calibri" w:hAnsi="Calibri" w:cs="Calibri"/>
        </w:rPr>
        <w:fldChar w:fldCharType="separate"/>
      </w:r>
      <w:r w:rsidR="005C2D52">
        <w:rPr>
          <w:rFonts w:ascii="Calibri" w:hAnsi="Calibri" w:cs="Calibri"/>
          <w:noProof/>
        </w:rPr>
        <w:t>1</w:t>
      </w:r>
      <w:r w:rsidRPr="003F1ADA">
        <w:rPr>
          <w:rFonts w:ascii="Calibri" w:hAnsi="Calibri" w:cs="Calibri"/>
        </w:rPr>
        <w:fldChar w:fldCharType="end"/>
      </w:r>
      <w:r w:rsidRPr="003F1ADA">
        <w:rPr>
          <w:rFonts w:ascii="Calibri" w:hAnsi="Calibri" w:cs="Calibri"/>
        </w:rPr>
        <w:t xml:space="preserve">  Factor identification using the PESTEL che</w:t>
      </w:r>
      <w:r w:rsidR="00FD443C" w:rsidRPr="003F1ADA">
        <w:rPr>
          <w:rFonts w:ascii="Calibri" w:hAnsi="Calibri" w:cs="Calibri"/>
        </w:rPr>
        <w:t>c</w:t>
      </w:r>
      <w:r w:rsidRPr="003F1ADA">
        <w:rPr>
          <w:rFonts w:ascii="Calibri" w:hAnsi="Calibri" w:cs="Calibri"/>
        </w:rPr>
        <w:t>klist</w:t>
      </w:r>
    </w:p>
    <w:tbl>
      <w:tblPr>
        <w:tblStyle w:val="PlainTable2"/>
        <w:tblW w:w="0" w:type="auto"/>
        <w:tblLook w:val="0420" w:firstRow="1" w:lastRow="0" w:firstColumn="0" w:lastColumn="0" w:noHBand="0" w:noVBand="1"/>
      </w:tblPr>
      <w:tblGrid>
        <w:gridCol w:w="2357"/>
        <w:gridCol w:w="1607"/>
        <w:gridCol w:w="5916"/>
      </w:tblGrid>
      <w:tr w:rsidR="00250A57" w:rsidRPr="003F1ADA" w14:paraId="40B8A8A0" w14:textId="77777777" w:rsidTr="00D731A3">
        <w:trPr>
          <w:cnfStyle w:val="100000000000" w:firstRow="1" w:lastRow="0" w:firstColumn="0" w:lastColumn="0" w:oddVBand="0" w:evenVBand="0" w:oddHBand="0" w:evenHBand="0" w:firstRowFirstColumn="0" w:firstRowLastColumn="0" w:lastRowFirstColumn="0" w:lastRowLastColumn="0"/>
        </w:trPr>
        <w:tc>
          <w:tcPr>
            <w:tcW w:w="2357" w:type="dxa"/>
          </w:tcPr>
          <w:p w14:paraId="2418DD6E" w14:textId="2865589D" w:rsidR="00250A57" w:rsidRPr="003F1ADA" w:rsidRDefault="005062AB" w:rsidP="00CB3970">
            <w:pPr>
              <w:jc w:val="both"/>
              <w:rPr>
                <w:rFonts w:ascii="Calibri" w:hAnsi="Calibri" w:cs="Calibri"/>
                <w:b w:val="0"/>
                <w:sz w:val="20"/>
                <w:szCs w:val="20"/>
              </w:rPr>
            </w:pPr>
            <w:r w:rsidRPr="003F1ADA">
              <w:rPr>
                <w:rFonts w:ascii="Calibri" w:hAnsi="Calibri" w:cs="Calibri"/>
                <w:sz w:val="20"/>
                <w:szCs w:val="20"/>
              </w:rPr>
              <w:t>PESTEL</w:t>
            </w:r>
          </w:p>
        </w:tc>
        <w:tc>
          <w:tcPr>
            <w:tcW w:w="1607" w:type="dxa"/>
          </w:tcPr>
          <w:p w14:paraId="68F39AD4" w14:textId="1EC6B35B" w:rsidR="00250A57" w:rsidRPr="003F1ADA" w:rsidRDefault="00D2601C" w:rsidP="00CB3970">
            <w:pPr>
              <w:jc w:val="both"/>
              <w:rPr>
                <w:rFonts w:ascii="Calibri" w:hAnsi="Calibri" w:cs="Calibri"/>
                <w:b w:val="0"/>
                <w:bCs w:val="0"/>
                <w:sz w:val="20"/>
                <w:szCs w:val="20"/>
              </w:rPr>
            </w:pPr>
            <w:r w:rsidRPr="003F1ADA">
              <w:rPr>
                <w:rFonts w:ascii="Calibri" w:hAnsi="Calibri" w:cs="Calibri"/>
                <w:sz w:val="20"/>
                <w:szCs w:val="20"/>
              </w:rPr>
              <w:t>F</w:t>
            </w:r>
            <w:r w:rsidR="00250A57" w:rsidRPr="003F1ADA">
              <w:rPr>
                <w:rFonts w:ascii="Calibri" w:hAnsi="Calibri" w:cs="Calibri"/>
                <w:sz w:val="20"/>
                <w:szCs w:val="20"/>
              </w:rPr>
              <w:t>actor</w:t>
            </w:r>
          </w:p>
        </w:tc>
        <w:tc>
          <w:tcPr>
            <w:tcW w:w="5916" w:type="dxa"/>
          </w:tcPr>
          <w:p w14:paraId="648796FF" w14:textId="77777777" w:rsidR="00250A57" w:rsidRPr="003F1ADA" w:rsidRDefault="00250A57" w:rsidP="00CB3970">
            <w:pPr>
              <w:jc w:val="both"/>
              <w:rPr>
                <w:rFonts w:ascii="Calibri" w:hAnsi="Calibri" w:cs="Calibri"/>
                <w:b w:val="0"/>
                <w:bCs w:val="0"/>
                <w:sz w:val="20"/>
                <w:szCs w:val="20"/>
              </w:rPr>
            </w:pPr>
            <w:r w:rsidRPr="003F1ADA">
              <w:rPr>
                <w:rFonts w:ascii="Calibri" w:hAnsi="Calibri" w:cs="Calibri"/>
                <w:sz w:val="20"/>
                <w:szCs w:val="20"/>
              </w:rPr>
              <w:t>Description</w:t>
            </w:r>
          </w:p>
        </w:tc>
      </w:tr>
      <w:tr w:rsidR="00250A57" w:rsidRPr="003F1ADA" w14:paraId="3DD95227"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val="restart"/>
          </w:tcPr>
          <w:p w14:paraId="0729E2DC" w14:textId="77777777" w:rsidR="00250A57" w:rsidRPr="003F1ADA" w:rsidRDefault="00250A57" w:rsidP="00CB3970">
            <w:pPr>
              <w:jc w:val="both"/>
              <w:rPr>
                <w:rFonts w:ascii="Calibri" w:hAnsi="Calibri" w:cs="Calibri"/>
                <w:sz w:val="20"/>
                <w:szCs w:val="20"/>
              </w:rPr>
            </w:pPr>
            <w:r w:rsidRPr="003F1ADA">
              <w:rPr>
                <w:rFonts w:ascii="Calibri" w:hAnsi="Calibri" w:cs="Calibri"/>
                <w:b/>
                <w:bCs/>
                <w:sz w:val="20"/>
                <w:szCs w:val="20"/>
              </w:rPr>
              <w:t>P</w:t>
            </w:r>
            <w:r w:rsidRPr="003F1ADA">
              <w:rPr>
                <w:rFonts w:ascii="Calibri" w:hAnsi="Calibri" w:cs="Calibri"/>
                <w:sz w:val="20"/>
                <w:szCs w:val="20"/>
              </w:rPr>
              <w:t>olitical</w:t>
            </w:r>
          </w:p>
        </w:tc>
        <w:tc>
          <w:tcPr>
            <w:tcW w:w="1607" w:type="dxa"/>
          </w:tcPr>
          <w:p w14:paraId="6CF0D880"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Environmental policy</w:t>
            </w:r>
          </w:p>
        </w:tc>
        <w:tc>
          <w:tcPr>
            <w:tcW w:w="5916" w:type="dxa"/>
          </w:tcPr>
          <w:p w14:paraId="6EAEAABF"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Policy to protect the environment and to favor less harmful practices, e.g., mineral specific (emission targets for primary commodity supply, phase out of less environmentally friendly production routes, etc…) and general policies aiming at decarbonizing economic activities (chemical production, fuel production, etc…)</w:t>
            </w:r>
          </w:p>
        </w:tc>
      </w:tr>
      <w:tr w:rsidR="00250A57" w:rsidRPr="003F1ADA" w14:paraId="694FBE2A" w14:textId="77777777" w:rsidTr="00D731A3">
        <w:tc>
          <w:tcPr>
            <w:tcW w:w="2357" w:type="dxa"/>
            <w:vMerge/>
          </w:tcPr>
          <w:p w14:paraId="55318A3E" w14:textId="77777777" w:rsidR="00250A57" w:rsidRPr="003F1ADA" w:rsidRDefault="00250A57" w:rsidP="00CB3970">
            <w:pPr>
              <w:jc w:val="both"/>
              <w:rPr>
                <w:rFonts w:ascii="Calibri" w:hAnsi="Calibri" w:cs="Calibri"/>
                <w:b/>
                <w:bCs/>
                <w:sz w:val="20"/>
                <w:szCs w:val="20"/>
              </w:rPr>
            </w:pPr>
          </w:p>
        </w:tc>
        <w:tc>
          <w:tcPr>
            <w:tcW w:w="1607" w:type="dxa"/>
          </w:tcPr>
          <w:p w14:paraId="689151D3"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Circular economy policies</w:t>
            </w:r>
          </w:p>
        </w:tc>
        <w:tc>
          <w:tcPr>
            <w:tcW w:w="5916" w:type="dxa"/>
          </w:tcPr>
          <w:p w14:paraId="29FCFBAC"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Policies encouraging to maintain, repair, reuse, refurbish, and remanufacture products, as well as favoring recycling routes over primary extraction</w:t>
            </w:r>
          </w:p>
        </w:tc>
      </w:tr>
      <w:tr w:rsidR="00250A57" w:rsidRPr="003F1ADA" w14:paraId="24E64EF6"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tcPr>
          <w:p w14:paraId="333F3271" w14:textId="77777777" w:rsidR="00250A57" w:rsidRPr="003F1ADA" w:rsidRDefault="00250A57" w:rsidP="00CB3970">
            <w:pPr>
              <w:jc w:val="both"/>
              <w:rPr>
                <w:rFonts w:ascii="Calibri" w:hAnsi="Calibri" w:cs="Calibri"/>
                <w:b/>
                <w:bCs/>
                <w:sz w:val="20"/>
                <w:szCs w:val="20"/>
              </w:rPr>
            </w:pPr>
          </w:p>
        </w:tc>
        <w:tc>
          <w:tcPr>
            <w:tcW w:w="1607" w:type="dxa"/>
          </w:tcPr>
          <w:p w14:paraId="1A7EE315"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Primary supply policies</w:t>
            </w:r>
          </w:p>
        </w:tc>
        <w:tc>
          <w:tcPr>
            <w:tcW w:w="5916" w:type="dxa"/>
          </w:tcPr>
          <w:p w14:paraId="10DA61CA"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Policies aiming at increasing primary supply, domestic production, or diversifying supply</w:t>
            </w:r>
          </w:p>
        </w:tc>
      </w:tr>
      <w:tr w:rsidR="00250A57" w:rsidRPr="003F1ADA" w14:paraId="55EB9FEB" w14:textId="77777777" w:rsidTr="00D731A3">
        <w:tc>
          <w:tcPr>
            <w:tcW w:w="2357" w:type="dxa"/>
            <w:vMerge/>
          </w:tcPr>
          <w:p w14:paraId="326FFF45" w14:textId="77777777" w:rsidR="00250A57" w:rsidRPr="003F1ADA" w:rsidRDefault="00250A57" w:rsidP="00CB3970">
            <w:pPr>
              <w:jc w:val="both"/>
              <w:rPr>
                <w:rFonts w:ascii="Calibri" w:hAnsi="Calibri" w:cs="Calibri"/>
                <w:b/>
                <w:bCs/>
                <w:sz w:val="20"/>
                <w:szCs w:val="20"/>
              </w:rPr>
            </w:pPr>
          </w:p>
        </w:tc>
        <w:tc>
          <w:tcPr>
            <w:tcW w:w="1607" w:type="dxa"/>
          </w:tcPr>
          <w:p w14:paraId="0DA0D3FC"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Demand side reduction measures</w:t>
            </w:r>
          </w:p>
        </w:tc>
        <w:tc>
          <w:tcPr>
            <w:tcW w:w="5916" w:type="dxa"/>
          </w:tcPr>
          <w:p w14:paraId="6DF11CD2"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Measures introduced by policies to reduce RM demand, e.g., sharing economy or other policy proposals of degrowth scholars</w:t>
            </w:r>
          </w:p>
        </w:tc>
      </w:tr>
      <w:tr w:rsidR="0028669E" w:rsidRPr="003F1ADA" w14:paraId="25E99A77"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val="restart"/>
          </w:tcPr>
          <w:p w14:paraId="4B62EF7C" w14:textId="77777777" w:rsidR="0028669E" w:rsidRPr="003F1ADA" w:rsidRDefault="0028669E" w:rsidP="00CB3970">
            <w:pPr>
              <w:jc w:val="both"/>
              <w:rPr>
                <w:rFonts w:ascii="Calibri" w:hAnsi="Calibri" w:cs="Calibri"/>
                <w:b/>
                <w:bCs/>
                <w:sz w:val="20"/>
                <w:szCs w:val="20"/>
              </w:rPr>
            </w:pPr>
            <w:r w:rsidRPr="003F1ADA">
              <w:rPr>
                <w:rFonts w:ascii="Calibri" w:hAnsi="Calibri" w:cs="Calibri"/>
                <w:b/>
                <w:bCs/>
                <w:sz w:val="20"/>
                <w:szCs w:val="20"/>
              </w:rPr>
              <w:t>E</w:t>
            </w:r>
            <w:r w:rsidRPr="003F1ADA">
              <w:rPr>
                <w:rFonts w:ascii="Calibri" w:hAnsi="Calibri" w:cs="Calibri"/>
                <w:sz w:val="20"/>
                <w:szCs w:val="20"/>
              </w:rPr>
              <w:t>conomical</w:t>
            </w:r>
          </w:p>
        </w:tc>
        <w:tc>
          <w:tcPr>
            <w:tcW w:w="1607" w:type="dxa"/>
          </w:tcPr>
          <w:p w14:paraId="2D8A3E37" w14:textId="77777777" w:rsidR="0028669E" w:rsidRPr="003F1ADA" w:rsidRDefault="0028669E" w:rsidP="00CB3970">
            <w:pPr>
              <w:jc w:val="both"/>
              <w:rPr>
                <w:rFonts w:ascii="Calibri" w:hAnsi="Calibri" w:cs="Calibri"/>
                <w:sz w:val="20"/>
                <w:szCs w:val="20"/>
              </w:rPr>
            </w:pPr>
            <w:r w:rsidRPr="003F1ADA">
              <w:rPr>
                <w:rFonts w:ascii="Calibri" w:hAnsi="Calibri" w:cs="Calibri"/>
                <w:sz w:val="20"/>
                <w:szCs w:val="20"/>
              </w:rPr>
              <w:t>Primary RM supply</w:t>
            </w:r>
          </w:p>
        </w:tc>
        <w:tc>
          <w:tcPr>
            <w:tcW w:w="5916" w:type="dxa"/>
          </w:tcPr>
          <w:p w14:paraId="2B81997A" w14:textId="77777777" w:rsidR="0028669E" w:rsidRPr="003F1ADA" w:rsidRDefault="0028669E" w:rsidP="00CB3970">
            <w:pPr>
              <w:jc w:val="both"/>
              <w:rPr>
                <w:rFonts w:ascii="Calibri" w:hAnsi="Calibri" w:cs="Calibri"/>
                <w:sz w:val="20"/>
                <w:szCs w:val="20"/>
              </w:rPr>
            </w:pPr>
            <w:r w:rsidRPr="003F1ADA">
              <w:rPr>
                <w:rFonts w:ascii="Calibri" w:hAnsi="Calibri" w:cs="Calibri"/>
                <w:sz w:val="20"/>
                <w:szCs w:val="20"/>
              </w:rPr>
              <w:t>RM supply from mining and concentration stages</w:t>
            </w:r>
          </w:p>
        </w:tc>
      </w:tr>
      <w:tr w:rsidR="0028669E" w:rsidRPr="003F1ADA" w14:paraId="03D21FD9" w14:textId="77777777" w:rsidTr="00D731A3">
        <w:tc>
          <w:tcPr>
            <w:tcW w:w="2357" w:type="dxa"/>
            <w:vMerge/>
          </w:tcPr>
          <w:p w14:paraId="0DD7831A" w14:textId="77777777" w:rsidR="0028669E" w:rsidRPr="003F1ADA" w:rsidRDefault="0028669E" w:rsidP="00CB3970">
            <w:pPr>
              <w:jc w:val="both"/>
              <w:rPr>
                <w:rFonts w:ascii="Calibri" w:hAnsi="Calibri" w:cs="Calibri"/>
                <w:b/>
                <w:bCs/>
                <w:sz w:val="20"/>
                <w:szCs w:val="20"/>
              </w:rPr>
            </w:pPr>
          </w:p>
        </w:tc>
        <w:tc>
          <w:tcPr>
            <w:tcW w:w="1607" w:type="dxa"/>
          </w:tcPr>
          <w:p w14:paraId="1FCD34F2" w14:textId="77777777" w:rsidR="0028669E" w:rsidRPr="003F1ADA" w:rsidRDefault="0028669E" w:rsidP="00CB3970">
            <w:pPr>
              <w:jc w:val="both"/>
              <w:rPr>
                <w:rFonts w:ascii="Calibri" w:hAnsi="Calibri" w:cs="Calibri"/>
                <w:sz w:val="20"/>
                <w:szCs w:val="20"/>
              </w:rPr>
            </w:pPr>
            <w:r w:rsidRPr="003F1ADA">
              <w:rPr>
                <w:rFonts w:ascii="Calibri" w:hAnsi="Calibri" w:cs="Calibri"/>
                <w:sz w:val="20"/>
                <w:szCs w:val="20"/>
              </w:rPr>
              <w:t>Secondary RM supply</w:t>
            </w:r>
          </w:p>
        </w:tc>
        <w:tc>
          <w:tcPr>
            <w:tcW w:w="5916" w:type="dxa"/>
          </w:tcPr>
          <w:p w14:paraId="1E74D9BE" w14:textId="77777777" w:rsidR="0028669E" w:rsidRPr="003F1ADA" w:rsidRDefault="0028669E" w:rsidP="00CB3970">
            <w:pPr>
              <w:jc w:val="both"/>
              <w:rPr>
                <w:rFonts w:ascii="Calibri" w:hAnsi="Calibri" w:cs="Calibri"/>
                <w:sz w:val="20"/>
                <w:szCs w:val="20"/>
              </w:rPr>
            </w:pPr>
            <w:r w:rsidRPr="003F1ADA">
              <w:rPr>
                <w:rFonts w:ascii="Calibri" w:hAnsi="Calibri" w:cs="Calibri"/>
                <w:sz w:val="20"/>
                <w:szCs w:val="20"/>
              </w:rPr>
              <w:t>RM supply from collection and pre-treatment stages</w:t>
            </w:r>
          </w:p>
        </w:tc>
      </w:tr>
      <w:tr w:rsidR="0028669E" w:rsidRPr="003F1ADA" w14:paraId="29D6C0B8"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tcPr>
          <w:p w14:paraId="2F1C88CC" w14:textId="77777777" w:rsidR="0028669E" w:rsidRPr="003F1ADA" w:rsidRDefault="0028669E" w:rsidP="00CB3970">
            <w:pPr>
              <w:jc w:val="both"/>
              <w:rPr>
                <w:rFonts w:ascii="Calibri" w:hAnsi="Calibri" w:cs="Calibri"/>
                <w:b/>
                <w:bCs/>
                <w:sz w:val="20"/>
                <w:szCs w:val="20"/>
              </w:rPr>
            </w:pPr>
          </w:p>
        </w:tc>
        <w:tc>
          <w:tcPr>
            <w:tcW w:w="1607" w:type="dxa"/>
          </w:tcPr>
          <w:p w14:paraId="74B8C017" w14:textId="291F3928" w:rsidR="0028669E" w:rsidRPr="003F1ADA" w:rsidRDefault="0028669E" w:rsidP="00CB3970">
            <w:pPr>
              <w:jc w:val="both"/>
              <w:rPr>
                <w:rFonts w:ascii="Calibri" w:hAnsi="Calibri" w:cs="Calibri"/>
                <w:sz w:val="20"/>
                <w:szCs w:val="20"/>
              </w:rPr>
            </w:pPr>
            <w:r w:rsidRPr="003F1ADA">
              <w:rPr>
                <w:rFonts w:ascii="Calibri" w:hAnsi="Calibri" w:cs="Calibri"/>
                <w:sz w:val="20"/>
                <w:szCs w:val="20"/>
              </w:rPr>
              <w:t>Commodity demand</w:t>
            </w:r>
          </w:p>
        </w:tc>
        <w:tc>
          <w:tcPr>
            <w:tcW w:w="5916" w:type="dxa"/>
          </w:tcPr>
          <w:p w14:paraId="6EAE2538" w14:textId="77777777" w:rsidR="0028669E" w:rsidRPr="003F1ADA" w:rsidRDefault="0028669E" w:rsidP="00CB3970">
            <w:pPr>
              <w:jc w:val="both"/>
              <w:rPr>
                <w:rFonts w:ascii="Calibri" w:hAnsi="Calibri" w:cs="Calibri"/>
                <w:sz w:val="20"/>
                <w:szCs w:val="20"/>
              </w:rPr>
            </w:pPr>
            <w:r w:rsidRPr="003F1ADA">
              <w:rPr>
                <w:rFonts w:ascii="Calibri" w:hAnsi="Calibri" w:cs="Calibri"/>
                <w:sz w:val="20"/>
                <w:szCs w:val="20"/>
              </w:rPr>
              <w:t>Total RM demand which implicitly considers overarching macro factors such as population growth and GDP development</w:t>
            </w:r>
          </w:p>
        </w:tc>
      </w:tr>
      <w:tr w:rsidR="0028669E" w:rsidRPr="003F1ADA" w14:paraId="20C6699E" w14:textId="77777777" w:rsidTr="00D731A3">
        <w:tc>
          <w:tcPr>
            <w:tcW w:w="2357" w:type="dxa"/>
            <w:vMerge/>
          </w:tcPr>
          <w:p w14:paraId="2EAC118F" w14:textId="77777777" w:rsidR="0028669E" w:rsidRPr="003F1ADA" w:rsidRDefault="0028669E" w:rsidP="00CB3970">
            <w:pPr>
              <w:jc w:val="both"/>
              <w:rPr>
                <w:rFonts w:ascii="Calibri" w:hAnsi="Calibri" w:cs="Calibri"/>
                <w:b/>
                <w:bCs/>
                <w:sz w:val="20"/>
                <w:szCs w:val="20"/>
              </w:rPr>
            </w:pPr>
          </w:p>
        </w:tc>
        <w:tc>
          <w:tcPr>
            <w:tcW w:w="1607" w:type="dxa"/>
          </w:tcPr>
          <w:p w14:paraId="1A2A7611" w14:textId="77777777" w:rsidR="0028669E" w:rsidRPr="003F1ADA" w:rsidRDefault="0028669E" w:rsidP="00CB3970">
            <w:pPr>
              <w:jc w:val="both"/>
              <w:rPr>
                <w:rFonts w:ascii="Calibri" w:hAnsi="Calibri" w:cs="Calibri"/>
                <w:sz w:val="20"/>
                <w:szCs w:val="20"/>
              </w:rPr>
            </w:pPr>
            <w:r w:rsidRPr="003F1ADA">
              <w:rPr>
                <w:rFonts w:ascii="Calibri" w:hAnsi="Calibri" w:cs="Calibri"/>
                <w:sz w:val="20"/>
                <w:szCs w:val="20"/>
              </w:rPr>
              <w:t>Primary supply cost</w:t>
            </w:r>
          </w:p>
        </w:tc>
        <w:tc>
          <w:tcPr>
            <w:tcW w:w="5916" w:type="dxa"/>
          </w:tcPr>
          <w:p w14:paraId="6A0018DB" w14:textId="77777777" w:rsidR="0028669E" w:rsidRPr="003F1ADA" w:rsidRDefault="0028669E" w:rsidP="00CB3970">
            <w:pPr>
              <w:jc w:val="both"/>
              <w:rPr>
                <w:rFonts w:ascii="Calibri" w:hAnsi="Calibri" w:cs="Calibri"/>
                <w:sz w:val="20"/>
                <w:szCs w:val="20"/>
              </w:rPr>
            </w:pPr>
            <w:r w:rsidRPr="003F1ADA">
              <w:rPr>
                <w:rFonts w:ascii="Calibri" w:hAnsi="Calibri" w:cs="Calibri"/>
                <w:sz w:val="20"/>
                <w:szCs w:val="20"/>
              </w:rPr>
              <w:t>Cost of mining, concentration, purification and refining</w:t>
            </w:r>
          </w:p>
        </w:tc>
      </w:tr>
      <w:tr w:rsidR="0028669E" w:rsidRPr="003F1ADA" w14:paraId="0A2F52AD"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tcPr>
          <w:p w14:paraId="76CEA6FD" w14:textId="77777777" w:rsidR="0028669E" w:rsidRPr="003F1ADA" w:rsidRDefault="0028669E" w:rsidP="00CB3970">
            <w:pPr>
              <w:jc w:val="both"/>
              <w:rPr>
                <w:rFonts w:ascii="Calibri" w:hAnsi="Calibri" w:cs="Calibri"/>
                <w:b/>
                <w:bCs/>
                <w:sz w:val="20"/>
                <w:szCs w:val="20"/>
              </w:rPr>
            </w:pPr>
          </w:p>
        </w:tc>
        <w:tc>
          <w:tcPr>
            <w:tcW w:w="1607" w:type="dxa"/>
          </w:tcPr>
          <w:p w14:paraId="70E93AE2" w14:textId="77777777" w:rsidR="0028669E" w:rsidRPr="003F1ADA" w:rsidRDefault="0028669E" w:rsidP="00CB3970">
            <w:pPr>
              <w:jc w:val="both"/>
              <w:rPr>
                <w:rFonts w:ascii="Calibri" w:hAnsi="Calibri" w:cs="Calibri"/>
                <w:sz w:val="20"/>
                <w:szCs w:val="20"/>
              </w:rPr>
            </w:pPr>
            <w:r w:rsidRPr="003F1ADA">
              <w:rPr>
                <w:rFonts w:ascii="Calibri" w:hAnsi="Calibri" w:cs="Calibri"/>
                <w:sz w:val="20"/>
                <w:szCs w:val="20"/>
              </w:rPr>
              <w:t>Secondary supply cost</w:t>
            </w:r>
          </w:p>
        </w:tc>
        <w:tc>
          <w:tcPr>
            <w:tcW w:w="5916" w:type="dxa"/>
          </w:tcPr>
          <w:p w14:paraId="3E84DD6C" w14:textId="77777777" w:rsidR="0028669E" w:rsidRPr="003F1ADA" w:rsidRDefault="0028669E" w:rsidP="00CB3970">
            <w:pPr>
              <w:jc w:val="both"/>
              <w:rPr>
                <w:rFonts w:ascii="Calibri" w:hAnsi="Calibri" w:cs="Calibri"/>
                <w:sz w:val="20"/>
                <w:szCs w:val="20"/>
              </w:rPr>
            </w:pPr>
            <w:r w:rsidRPr="003F1ADA">
              <w:rPr>
                <w:rFonts w:ascii="Calibri" w:hAnsi="Calibri" w:cs="Calibri"/>
                <w:sz w:val="20"/>
                <w:szCs w:val="20"/>
              </w:rPr>
              <w:t>Cost of collection, pre-treatment, purification and refining</w:t>
            </w:r>
          </w:p>
        </w:tc>
      </w:tr>
      <w:tr w:rsidR="0028669E" w:rsidRPr="003F1ADA" w14:paraId="463675F1" w14:textId="77777777" w:rsidTr="00D731A3">
        <w:tc>
          <w:tcPr>
            <w:tcW w:w="2357" w:type="dxa"/>
            <w:vMerge/>
          </w:tcPr>
          <w:p w14:paraId="2F09D866" w14:textId="77777777" w:rsidR="0028669E" w:rsidRPr="003F1ADA" w:rsidRDefault="0028669E" w:rsidP="00CB3970">
            <w:pPr>
              <w:jc w:val="both"/>
              <w:rPr>
                <w:rFonts w:ascii="Calibri" w:hAnsi="Calibri" w:cs="Calibri"/>
                <w:b/>
                <w:bCs/>
                <w:sz w:val="20"/>
                <w:szCs w:val="20"/>
              </w:rPr>
            </w:pPr>
          </w:p>
        </w:tc>
        <w:tc>
          <w:tcPr>
            <w:tcW w:w="1607" w:type="dxa"/>
          </w:tcPr>
          <w:p w14:paraId="27BF80AC" w14:textId="5B6968F7" w:rsidR="0028669E" w:rsidRPr="003F1ADA" w:rsidRDefault="0028669E" w:rsidP="00CB3970">
            <w:pPr>
              <w:jc w:val="both"/>
              <w:rPr>
                <w:rFonts w:ascii="Calibri" w:hAnsi="Calibri" w:cs="Calibri"/>
                <w:sz w:val="20"/>
                <w:szCs w:val="20"/>
              </w:rPr>
            </w:pPr>
            <w:r>
              <w:rPr>
                <w:rFonts w:ascii="Calibri" w:hAnsi="Calibri" w:cs="Calibri"/>
                <w:sz w:val="20"/>
                <w:szCs w:val="20"/>
              </w:rPr>
              <w:t>RM price</w:t>
            </w:r>
          </w:p>
        </w:tc>
        <w:tc>
          <w:tcPr>
            <w:tcW w:w="5916" w:type="dxa"/>
          </w:tcPr>
          <w:p w14:paraId="78B80220" w14:textId="58E4B481" w:rsidR="0028669E" w:rsidRPr="003F1ADA" w:rsidRDefault="0028669E" w:rsidP="00CB3970">
            <w:pPr>
              <w:jc w:val="both"/>
              <w:rPr>
                <w:rFonts w:ascii="Calibri" w:hAnsi="Calibri" w:cs="Calibri"/>
                <w:sz w:val="20"/>
                <w:szCs w:val="20"/>
              </w:rPr>
            </w:pPr>
            <w:r>
              <w:rPr>
                <w:rFonts w:ascii="Calibri" w:hAnsi="Calibri" w:cs="Calibri"/>
                <w:sz w:val="20"/>
                <w:szCs w:val="20"/>
              </w:rPr>
              <w:t xml:space="preserve">The price of </w:t>
            </w:r>
            <w:r w:rsidR="00ED6A19">
              <w:rPr>
                <w:rFonts w:ascii="Calibri" w:hAnsi="Calibri" w:cs="Calibri"/>
                <w:sz w:val="20"/>
                <w:szCs w:val="20"/>
              </w:rPr>
              <w:t>the RM for both primary and secondary supply</w:t>
            </w:r>
          </w:p>
        </w:tc>
      </w:tr>
      <w:tr w:rsidR="00250A57" w:rsidRPr="003F1ADA" w14:paraId="43E2B029"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tcPr>
          <w:p w14:paraId="5483738A" w14:textId="77777777" w:rsidR="00250A57" w:rsidRPr="003F1ADA" w:rsidRDefault="00250A57" w:rsidP="00CB3970">
            <w:pPr>
              <w:jc w:val="both"/>
              <w:rPr>
                <w:rFonts w:ascii="Calibri" w:hAnsi="Calibri" w:cs="Calibri"/>
                <w:sz w:val="20"/>
                <w:szCs w:val="20"/>
              </w:rPr>
            </w:pPr>
            <w:r w:rsidRPr="003F1ADA">
              <w:rPr>
                <w:rFonts w:ascii="Calibri" w:hAnsi="Calibri" w:cs="Calibri"/>
                <w:b/>
                <w:bCs/>
                <w:sz w:val="20"/>
                <w:szCs w:val="20"/>
              </w:rPr>
              <w:lastRenderedPageBreak/>
              <w:t>S</w:t>
            </w:r>
            <w:r w:rsidRPr="003F1ADA">
              <w:rPr>
                <w:rFonts w:ascii="Calibri" w:hAnsi="Calibri" w:cs="Calibri"/>
                <w:sz w:val="20"/>
                <w:szCs w:val="20"/>
              </w:rPr>
              <w:t>ociocultural</w:t>
            </w:r>
          </w:p>
        </w:tc>
        <w:tc>
          <w:tcPr>
            <w:tcW w:w="1607" w:type="dxa"/>
          </w:tcPr>
          <w:p w14:paraId="51F453EB"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Social acceptance of mining</w:t>
            </w:r>
          </w:p>
        </w:tc>
        <w:tc>
          <w:tcPr>
            <w:tcW w:w="5916" w:type="dxa"/>
          </w:tcPr>
          <w:p w14:paraId="25442F98"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Societies view on mining practices and willingness to resist mining activities</w:t>
            </w:r>
          </w:p>
        </w:tc>
      </w:tr>
      <w:tr w:rsidR="00250A57" w:rsidRPr="003F1ADA" w14:paraId="5B8F98C1" w14:textId="77777777" w:rsidTr="00D731A3">
        <w:tc>
          <w:tcPr>
            <w:tcW w:w="2357" w:type="dxa"/>
            <w:vMerge w:val="restart"/>
          </w:tcPr>
          <w:p w14:paraId="6A8CFBD8" w14:textId="77777777" w:rsidR="00250A57" w:rsidRPr="003F1ADA" w:rsidRDefault="00250A57" w:rsidP="00CB3970">
            <w:pPr>
              <w:jc w:val="both"/>
              <w:rPr>
                <w:rFonts w:ascii="Calibri" w:hAnsi="Calibri" w:cs="Calibri"/>
                <w:b/>
                <w:bCs/>
                <w:sz w:val="20"/>
                <w:szCs w:val="20"/>
              </w:rPr>
            </w:pPr>
            <w:r w:rsidRPr="003F1ADA">
              <w:rPr>
                <w:rFonts w:ascii="Calibri" w:hAnsi="Calibri" w:cs="Calibri"/>
                <w:b/>
                <w:bCs/>
                <w:sz w:val="20"/>
                <w:szCs w:val="20"/>
              </w:rPr>
              <w:t>T</w:t>
            </w:r>
            <w:r w:rsidRPr="003F1ADA">
              <w:rPr>
                <w:rFonts w:ascii="Calibri" w:hAnsi="Calibri" w:cs="Calibri"/>
                <w:sz w:val="20"/>
                <w:szCs w:val="20"/>
              </w:rPr>
              <w:t>echnological</w:t>
            </w:r>
          </w:p>
        </w:tc>
        <w:tc>
          <w:tcPr>
            <w:tcW w:w="1607" w:type="dxa"/>
          </w:tcPr>
          <w:p w14:paraId="3DA67D56"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Decarbonization</w:t>
            </w:r>
          </w:p>
        </w:tc>
        <w:tc>
          <w:tcPr>
            <w:tcW w:w="5916" w:type="dxa"/>
          </w:tcPr>
          <w:p w14:paraId="37232D5A"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Decarbonization of the entire economy through renewable energy technologies</w:t>
            </w:r>
          </w:p>
        </w:tc>
      </w:tr>
      <w:tr w:rsidR="00250A57" w:rsidRPr="003F1ADA" w14:paraId="5EE2FC5F"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tcPr>
          <w:p w14:paraId="2EE413C2" w14:textId="77777777" w:rsidR="00250A57" w:rsidRPr="003F1ADA" w:rsidRDefault="00250A57" w:rsidP="00CB3970">
            <w:pPr>
              <w:jc w:val="both"/>
              <w:rPr>
                <w:rFonts w:ascii="Calibri" w:hAnsi="Calibri" w:cs="Calibri"/>
                <w:b/>
                <w:bCs/>
                <w:sz w:val="20"/>
                <w:szCs w:val="20"/>
              </w:rPr>
            </w:pPr>
          </w:p>
        </w:tc>
        <w:tc>
          <w:tcPr>
            <w:tcW w:w="1607" w:type="dxa"/>
          </w:tcPr>
          <w:p w14:paraId="7ED6C5AD"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Digitalization</w:t>
            </w:r>
          </w:p>
        </w:tc>
        <w:tc>
          <w:tcPr>
            <w:tcW w:w="5916" w:type="dxa"/>
          </w:tcPr>
          <w:p w14:paraId="106A73A3"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Digitalization of the entire economy</w:t>
            </w:r>
          </w:p>
        </w:tc>
      </w:tr>
      <w:tr w:rsidR="00250A57" w:rsidRPr="003F1ADA" w14:paraId="6ED3DF0B" w14:textId="77777777" w:rsidTr="00D731A3">
        <w:tc>
          <w:tcPr>
            <w:tcW w:w="2357" w:type="dxa"/>
            <w:vMerge/>
          </w:tcPr>
          <w:p w14:paraId="44F89F47" w14:textId="77777777" w:rsidR="00250A57" w:rsidRPr="003F1ADA" w:rsidRDefault="00250A57" w:rsidP="00CB3970">
            <w:pPr>
              <w:jc w:val="both"/>
              <w:rPr>
                <w:rFonts w:ascii="Calibri" w:hAnsi="Calibri" w:cs="Calibri"/>
                <w:sz w:val="20"/>
                <w:szCs w:val="20"/>
              </w:rPr>
            </w:pPr>
          </w:p>
        </w:tc>
        <w:tc>
          <w:tcPr>
            <w:tcW w:w="1607" w:type="dxa"/>
          </w:tcPr>
          <w:p w14:paraId="11034DAC"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R&amp;D</w:t>
            </w:r>
          </w:p>
        </w:tc>
        <w:tc>
          <w:tcPr>
            <w:tcW w:w="5916" w:type="dxa"/>
          </w:tcPr>
          <w:p w14:paraId="46C78205"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Research and development into advancing mining, recycling and metallurgical technologies</w:t>
            </w:r>
          </w:p>
        </w:tc>
      </w:tr>
      <w:tr w:rsidR="00250A57" w:rsidRPr="003F1ADA" w14:paraId="2A7966B9"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tcPr>
          <w:p w14:paraId="5120920B" w14:textId="77777777" w:rsidR="00250A57" w:rsidRPr="003F1ADA" w:rsidRDefault="00250A57" w:rsidP="00CB3970">
            <w:pPr>
              <w:jc w:val="both"/>
              <w:rPr>
                <w:rFonts w:ascii="Calibri" w:hAnsi="Calibri" w:cs="Calibri"/>
                <w:b/>
                <w:bCs/>
                <w:sz w:val="20"/>
                <w:szCs w:val="20"/>
              </w:rPr>
            </w:pPr>
          </w:p>
        </w:tc>
        <w:tc>
          <w:tcPr>
            <w:tcW w:w="1607" w:type="dxa"/>
          </w:tcPr>
          <w:p w14:paraId="698FA34F"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Substitutability</w:t>
            </w:r>
          </w:p>
        </w:tc>
        <w:tc>
          <w:tcPr>
            <w:tcW w:w="5916" w:type="dxa"/>
          </w:tcPr>
          <w:p w14:paraId="4678FC71"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Substitutability of the RM under study</w:t>
            </w:r>
          </w:p>
        </w:tc>
      </w:tr>
      <w:tr w:rsidR="00250A57" w:rsidRPr="003F1ADA" w14:paraId="369292A9" w14:textId="77777777" w:rsidTr="00D731A3">
        <w:tc>
          <w:tcPr>
            <w:tcW w:w="2357" w:type="dxa"/>
            <w:vMerge/>
          </w:tcPr>
          <w:p w14:paraId="0E66A1B9" w14:textId="77777777" w:rsidR="00250A57" w:rsidRPr="003F1ADA" w:rsidRDefault="00250A57" w:rsidP="00CB3970">
            <w:pPr>
              <w:jc w:val="both"/>
              <w:rPr>
                <w:rFonts w:ascii="Calibri" w:hAnsi="Calibri" w:cs="Calibri"/>
                <w:b/>
                <w:bCs/>
                <w:sz w:val="20"/>
                <w:szCs w:val="20"/>
              </w:rPr>
            </w:pPr>
          </w:p>
        </w:tc>
        <w:tc>
          <w:tcPr>
            <w:tcW w:w="1607" w:type="dxa"/>
          </w:tcPr>
          <w:p w14:paraId="1256F9DF"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Final product alternatives</w:t>
            </w:r>
          </w:p>
        </w:tc>
        <w:tc>
          <w:tcPr>
            <w:tcW w:w="5916" w:type="dxa"/>
          </w:tcPr>
          <w:p w14:paraId="2DBC9450"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Over time alternatives using less or none of the RM in the same technology might penetrate the market, e.g., different battery types</w:t>
            </w:r>
          </w:p>
        </w:tc>
      </w:tr>
      <w:tr w:rsidR="00250A57" w:rsidRPr="003F1ADA" w14:paraId="499B2BB3"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tcPr>
          <w:p w14:paraId="30112FD1" w14:textId="77777777" w:rsidR="00250A57" w:rsidRPr="003F1ADA" w:rsidRDefault="00250A57" w:rsidP="00CB3970">
            <w:pPr>
              <w:jc w:val="both"/>
              <w:rPr>
                <w:rFonts w:ascii="Calibri" w:hAnsi="Calibri" w:cs="Calibri"/>
                <w:b/>
                <w:bCs/>
                <w:sz w:val="20"/>
                <w:szCs w:val="20"/>
              </w:rPr>
            </w:pPr>
          </w:p>
        </w:tc>
        <w:tc>
          <w:tcPr>
            <w:tcW w:w="1607" w:type="dxa"/>
          </w:tcPr>
          <w:p w14:paraId="1E643746" w14:textId="14D9A548" w:rsidR="00250A57" w:rsidRPr="003F1ADA" w:rsidRDefault="00831A1C" w:rsidP="00CB3970">
            <w:pPr>
              <w:jc w:val="both"/>
              <w:rPr>
                <w:rFonts w:ascii="Calibri" w:hAnsi="Calibri" w:cs="Calibri"/>
                <w:sz w:val="20"/>
                <w:szCs w:val="20"/>
              </w:rPr>
            </w:pPr>
            <w:r w:rsidRPr="003F1ADA">
              <w:rPr>
                <w:rFonts w:ascii="Calibri" w:hAnsi="Calibri" w:cs="Calibri"/>
                <w:sz w:val="20"/>
                <w:szCs w:val="20"/>
              </w:rPr>
              <w:t>Primary supply</w:t>
            </w:r>
            <w:r w:rsidR="00250A57" w:rsidRPr="003F1ADA">
              <w:rPr>
                <w:rFonts w:ascii="Calibri" w:hAnsi="Calibri" w:cs="Calibri"/>
                <w:sz w:val="20"/>
                <w:szCs w:val="20"/>
              </w:rPr>
              <w:t xml:space="preserve"> capacity</w:t>
            </w:r>
          </w:p>
        </w:tc>
        <w:tc>
          <w:tcPr>
            <w:tcW w:w="5916" w:type="dxa"/>
          </w:tcPr>
          <w:p w14:paraId="05A943D0"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The total possible mineral extraction rate over a given time horizon. An increase or decrease can be a change in production from existing infrastructure or a change in site numbers, which is closely related to exploration</w:t>
            </w:r>
          </w:p>
        </w:tc>
      </w:tr>
      <w:tr w:rsidR="00250A57" w:rsidRPr="003F1ADA" w14:paraId="4E5559F1" w14:textId="77777777" w:rsidTr="00D731A3">
        <w:tc>
          <w:tcPr>
            <w:tcW w:w="2357" w:type="dxa"/>
            <w:vMerge/>
          </w:tcPr>
          <w:p w14:paraId="60E84126" w14:textId="77777777" w:rsidR="00250A57" w:rsidRPr="003F1ADA" w:rsidRDefault="00250A57" w:rsidP="00CB3970">
            <w:pPr>
              <w:jc w:val="both"/>
              <w:rPr>
                <w:rFonts w:ascii="Calibri" w:hAnsi="Calibri" w:cs="Calibri"/>
                <w:b/>
                <w:bCs/>
                <w:sz w:val="20"/>
                <w:szCs w:val="20"/>
              </w:rPr>
            </w:pPr>
          </w:p>
        </w:tc>
        <w:tc>
          <w:tcPr>
            <w:tcW w:w="1607" w:type="dxa"/>
          </w:tcPr>
          <w:p w14:paraId="491847D0"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Product lifetime</w:t>
            </w:r>
          </w:p>
        </w:tc>
        <w:tc>
          <w:tcPr>
            <w:tcW w:w="5916" w:type="dxa"/>
          </w:tcPr>
          <w:p w14:paraId="4387DDD0"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Lifetime of the product containing the RM, which is available as waste and the EoL of the respective product</w:t>
            </w:r>
          </w:p>
        </w:tc>
      </w:tr>
      <w:tr w:rsidR="00250A57" w:rsidRPr="003F1ADA" w14:paraId="0BA6509E"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tcPr>
          <w:p w14:paraId="3B68432D" w14:textId="77777777" w:rsidR="00250A57" w:rsidRPr="003F1ADA" w:rsidRDefault="00250A57" w:rsidP="00CB3970">
            <w:pPr>
              <w:jc w:val="both"/>
              <w:rPr>
                <w:rFonts w:ascii="Calibri" w:hAnsi="Calibri" w:cs="Calibri"/>
                <w:b/>
                <w:bCs/>
                <w:sz w:val="20"/>
                <w:szCs w:val="20"/>
              </w:rPr>
            </w:pPr>
          </w:p>
        </w:tc>
        <w:tc>
          <w:tcPr>
            <w:tcW w:w="1607" w:type="dxa"/>
          </w:tcPr>
          <w:p w14:paraId="29E5D9E9" w14:textId="64E73455" w:rsidR="00250A57" w:rsidRPr="003F1ADA" w:rsidRDefault="00831A1C" w:rsidP="00CB3970">
            <w:pPr>
              <w:jc w:val="both"/>
              <w:rPr>
                <w:rFonts w:ascii="Calibri" w:hAnsi="Calibri" w:cs="Calibri"/>
                <w:sz w:val="20"/>
                <w:szCs w:val="20"/>
              </w:rPr>
            </w:pPr>
            <w:r w:rsidRPr="003F1ADA">
              <w:rPr>
                <w:rFonts w:ascii="Calibri" w:hAnsi="Calibri" w:cs="Calibri"/>
                <w:sz w:val="20"/>
                <w:szCs w:val="20"/>
              </w:rPr>
              <w:t>Secondary supply</w:t>
            </w:r>
            <w:r w:rsidR="00250A57" w:rsidRPr="003F1ADA">
              <w:rPr>
                <w:rFonts w:ascii="Calibri" w:hAnsi="Calibri" w:cs="Calibri"/>
                <w:sz w:val="20"/>
                <w:szCs w:val="20"/>
              </w:rPr>
              <w:t xml:space="preserve"> capacity</w:t>
            </w:r>
          </w:p>
        </w:tc>
        <w:tc>
          <w:tcPr>
            <w:tcW w:w="5916" w:type="dxa"/>
          </w:tcPr>
          <w:p w14:paraId="71E57AD6"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Similar to mining capacity but relating to the amount of waste material that can be processed in recycling infrastructure</w:t>
            </w:r>
          </w:p>
        </w:tc>
      </w:tr>
      <w:tr w:rsidR="00250A57" w:rsidRPr="003F1ADA" w14:paraId="11D58859" w14:textId="77777777" w:rsidTr="00D731A3">
        <w:tc>
          <w:tcPr>
            <w:tcW w:w="2357" w:type="dxa"/>
            <w:vMerge w:val="restart"/>
          </w:tcPr>
          <w:p w14:paraId="066F6E08" w14:textId="77777777" w:rsidR="00250A57" w:rsidRPr="003F1ADA" w:rsidRDefault="00250A57" w:rsidP="00CB3970">
            <w:pPr>
              <w:jc w:val="both"/>
              <w:rPr>
                <w:rFonts w:ascii="Calibri" w:hAnsi="Calibri" w:cs="Calibri"/>
                <w:sz w:val="20"/>
                <w:szCs w:val="20"/>
              </w:rPr>
            </w:pPr>
            <w:r w:rsidRPr="003F1ADA">
              <w:rPr>
                <w:rFonts w:ascii="Calibri" w:hAnsi="Calibri" w:cs="Calibri"/>
                <w:b/>
                <w:bCs/>
                <w:sz w:val="20"/>
                <w:szCs w:val="20"/>
              </w:rPr>
              <w:t>E</w:t>
            </w:r>
            <w:r w:rsidRPr="003F1ADA">
              <w:rPr>
                <w:rFonts w:ascii="Calibri" w:hAnsi="Calibri" w:cs="Calibri"/>
                <w:sz w:val="20"/>
                <w:szCs w:val="20"/>
              </w:rPr>
              <w:t>nvironmental</w:t>
            </w:r>
          </w:p>
        </w:tc>
        <w:tc>
          <w:tcPr>
            <w:tcW w:w="1607" w:type="dxa"/>
          </w:tcPr>
          <w:p w14:paraId="7BDCD7F5"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Deposit quality</w:t>
            </w:r>
          </w:p>
        </w:tc>
        <w:tc>
          <w:tcPr>
            <w:tcW w:w="5916" w:type="dxa"/>
          </w:tcPr>
          <w:p w14:paraId="6255D4E7"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Generic deposit quality measure encompassing all deposit characteristics parameters (e.g., ore grade, strip ratio, impurities, etc.)</w:t>
            </w:r>
          </w:p>
        </w:tc>
      </w:tr>
      <w:tr w:rsidR="00250A57" w:rsidRPr="003F1ADA" w14:paraId="7736BC12" w14:textId="77777777" w:rsidTr="00D731A3">
        <w:trPr>
          <w:cnfStyle w:val="000000100000" w:firstRow="0" w:lastRow="0" w:firstColumn="0" w:lastColumn="0" w:oddVBand="0" w:evenVBand="0" w:oddHBand="1" w:evenHBand="0" w:firstRowFirstColumn="0" w:firstRowLastColumn="0" w:lastRowFirstColumn="0" w:lastRowLastColumn="0"/>
        </w:trPr>
        <w:tc>
          <w:tcPr>
            <w:tcW w:w="2357" w:type="dxa"/>
            <w:vMerge/>
          </w:tcPr>
          <w:p w14:paraId="47DC7D6C" w14:textId="77777777" w:rsidR="00250A57" w:rsidRPr="003F1ADA" w:rsidRDefault="00250A57" w:rsidP="00CB3970">
            <w:pPr>
              <w:jc w:val="both"/>
              <w:rPr>
                <w:rFonts w:ascii="Calibri" w:hAnsi="Calibri" w:cs="Calibri"/>
                <w:b/>
                <w:bCs/>
                <w:sz w:val="20"/>
                <w:szCs w:val="20"/>
              </w:rPr>
            </w:pPr>
          </w:p>
        </w:tc>
        <w:tc>
          <w:tcPr>
            <w:tcW w:w="1607" w:type="dxa"/>
          </w:tcPr>
          <w:p w14:paraId="70C46FD3"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Available reserves</w:t>
            </w:r>
          </w:p>
        </w:tc>
        <w:tc>
          <w:tcPr>
            <w:tcW w:w="5916" w:type="dxa"/>
          </w:tcPr>
          <w:p w14:paraId="3B02D874"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Known economically recoverable ore bodies</w:t>
            </w:r>
          </w:p>
        </w:tc>
      </w:tr>
      <w:tr w:rsidR="00250A57" w:rsidRPr="003F1ADA" w14:paraId="23AEEB40" w14:textId="77777777" w:rsidTr="00D731A3">
        <w:tc>
          <w:tcPr>
            <w:tcW w:w="2357" w:type="dxa"/>
          </w:tcPr>
          <w:p w14:paraId="09D9E7E4" w14:textId="77777777" w:rsidR="00250A57" w:rsidRPr="003F1ADA" w:rsidRDefault="00250A57" w:rsidP="00CB3970">
            <w:pPr>
              <w:jc w:val="both"/>
              <w:rPr>
                <w:rFonts w:ascii="Calibri" w:hAnsi="Calibri" w:cs="Calibri"/>
                <w:sz w:val="20"/>
                <w:szCs w:val="20"/>
              </w:rPr>
            </w:pPr>
            <w:r w:rsidRPr="003F1ADA">
              <w:rPr>
                <w:rFonts w:ascii="Calibri" w:hAnsi="Calibri" w:cs="Calibri"/>
                <w:b/>
                <w:bCs/>
                <w:sz w:val="20"/>
                <w:szCs w:val="20"/>
              </w:rPr>
              <w:t>L</w:t>
            </w:r>
            <w:r w:rsidRPr="003F1ADA">
              <w:rPr>
                <w:rFonts w:ascii="Calibri" w:hAnsi="Calibri" w:cs="Calibri"/>
                <w:sz w:val="20"/>
                <w:szCs w:val="20"/>
              </w:rPr>
              <w:t>egal</w:t>
            </w:r>
          </w:p>
        </w:tc>
        <w:tc>
          <w:tcPr>
            <w:tcW w:w="1607" w:type="dxa"/>
          </w:tcPr>
          <w:p w14:paraId="07A1D84B"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Environmental legislation</w:t>
            </w:r>
          </w:p>
        </w:tc>
        <w:tc>
          <w:tcPr>
            <w:tcW w:w="5916" w:type="dxa"/>
          </w:tcPr>
          <w:p w14:paraId="66F36D24" w14:textId="77777777" w:rsidR="00250A57" w:rsidRPr="003F1ADA" w:rsidRDefault="00250A57" w:rsidP="00CB3970">
            <w:pPr>
              <w:jc w:val="both"/>
              <w:rPr>
                <w:rFonts w:ascii="Calibri" w:hAnsi="Calibri" w:cs="Calibri"/>
                <w:sz w:val="20"/>
                <w:szCs w:val="20"/>
              </w:rPr>
            </w:pPr>
            <w:r w:rsidRPr="003F1ADA">
              <w:rPr>
                <w:rFonts w:ascii="Calibri" w:hAnsi="Calibri" w:cs="Calibri"/>
                <w:sz w:val="20"/>
                <w:szCs w:val="20"/>
              </w:rPr>
              <w:t>Legislation to protect the environment, e.g., permittance of deposit exploitation, prohibition of tailings disposal into water bodies</w:t>
            </w:r>
          </w:p>
        </w:tc>
      </w:tr>
    </w:tbl>
    <w:p w14:paraId="0240F03A" w14:textId="77777777" w:rsidR="00F5215B" w:rsidRPr="003F1ADA" w:rsidRDefault="00F5215B" w:rsidP="00CB3970">
      <w:pPr>
        <w:spacing w:after="0"/>
        <w:jc w:val="both"/>
        <w:rPr>
          <w:rFonts w:ascii="Calibri" w:hAnsi="Calibri" w:cs="Calibri"/>
          <w:sz w:val="20"/>
          <w:szCs w:val="20"/>
        </w:rPr>
      </w:pPr>
    </w:p>
    <w:p w14:paraId="3262762E" w14:textId="76E60D21" w:rsidR="006127AF" w:rsidRPr="003F1ADA" w:rsidRDefault="006127AF" w:rsidP="00CB3970">
      <w:pPr>
        <w:pStyle w:val="Heading2"/>
        <w:spacing w:after="0"/>
        <w:rPr>
          <w:rFonts w:cs="Calibri"/>
        </w:rPr>
      </w:pPr>
      <w:r w:rsidRPr="003F1ADA">
        <w:rPr>
          <w:rFonts w:cs="Calibri"/>
        </w:rPr>
        <w:t>Modelling granularity</w:t>
      </w:r>
    </w:p>
    <w:p w14:paraId="00E0FDAC" w14:textId="4BE2118F" w:rsidR="004B131D" w:rsidRPr="004B131D" w:rsidRDefault="004B131D" w:rsidP="004B131D">
      <w:pPr>
        <w:spacing w:after="0"/>
        <w:jc w:val="both"/>
        <w:rPr>
          <w:rFonts w:ascii="Calibri" w:hAnsi="Calibri" w:cs="Calibri"/>
          <w:sz w:val="20"/>
          <w:szCs w:val="20"/>
          <w:lang w:val="en-NL"/>
        </w:rPr>
      </w:pPr>
      <w:r w:rsidRPr="004B131D">
        <w:rPr>
          <w:rFonts w:ascii="Calibri" w:hAnsi="Calibri" w:cs="Calibri"/>
          <w:sz w:val="20"/>
          <w:szCs w:val="20"/>
          <w:lang w:val="en-NL"/>
        </w:rPr>
        <w:t>Modelling granularity should be considered hierarchically based on data availability (Figure 1). The preferred approach is to use site-specific data for all sites included in the study. If such data are unavailable, average production pathway data should be used. Production pathways can be characterized by a combination of distinct deposit types, ore grades, processing technologies, and countries or regions. For case studies focused on a single site or company, there is a strong preference for site-specific data (e.g., Khakmardan et al., 2025). If secondary data are required to fill gaps, they should ideally correspond to the same deposit type, similar ore grade, processing technology, and country or region as the site under study.</w:t>
      </w:r>
      <w:r>
        <w:rPr>
          <w:rFonts w:ascii="Calibri" w:hAnsi="Calibri" w:cs="Calibri"/>
          <w:sz w:val="20"/>
          <w:szCs w:val="20"/>
          <w:lang w:val="en-NL"/>
        </w:rPr>
        <w:t xml:space="preserve"> </w:t>
      </w:r>
      <w:r w:rsidRPr="004B131D">
        <w:rPr>
          <w:rFonts w:ascii="Calibri" w:hAnsi="Calibri" w:cs="Calibri"/>
          <w:sz w:val="20"/>
          <w:szCs w:val="20"/>
          <w:lang w:val="en-NL"/>
        </w:rPr>
        <w:t>For analyses with a regional or global scope, site-specific data from all relevant sites should be used wherever possible. Regional or global assessments typically rely on company reports and other secondary sources (Eckelman, 2010; Northey et al., 2013; Schenker &amp; Pfister, 2025; Weng et al., 2016). If site-specific data are unavailable, the value chain should be disaggregated into multiple distinct production pathways (Figure 3). For example, Ambrose and Kendall (2020) performed a pLCA for lithium using a combination of deposit types (brine/pegmatite) and ore grade categories (low/medium/high). Similarly, van der Meide et al. (2022) conducted a pLCA on cobalt, disaggregating the global value chain by cobalt from copper, nickel laterite, and nickel sulfate production, as well as hydro- and pyrometallurgical treatment of Li-ion battery waste.</w:t>
      </w:r>
    </w:p>
    <w:p w14:paraId="187302D2" w14:textId="77777777" w:rsidR="00CB3970" w:rsidRPr="003F1ADA" w:rsidRDefault="00CB3970" w:rsidP="00CB3970">
      <w:pPr>
        <w:spacing w:after="0"/>
        <w:jc w:val="both"/>
        <w:rPr>
          <w:rFonts w:ascii="Calibri" w:hAnsi="Calibri" w:cs="Calibri"/>
          <w:sz w:val="20"/>
          <w:szCs w:val="20"/>
        </w:rPr>
      </w:pPr>
    </w:p>
    <w:p w14:paraId="05E118CD" w14:textId="77777777" w:rsidR="005A3035" w:rsidRPr="003F1ADA" w:rsidRDefault="006F14C8" w:rsidP="00CB3970">
      <w:pPr>
        <w:keepNext/>
        <w:spacing w:after="0"/>
        <w:jc w:val="center"/>
        <w:rPr>
          <w:rFonts w:ascii="Calibri" w:hAnsi="Calibri" w:cs="Calibri"/>
        </w:rPr>
      </w:pPr>
      <w:r w:rsidRPr="003F1ADA">
        <w:rPr>
          <w:rFonts w:ascii="Calibri" w:hAnsi="Calibri" w:cs="Calibri"/>
          <w:noProof/>
          <w:sz w:val="20"/>
          <w:szCs w:val="20"/>
        </w:rPr>
        <w:lastRenderedPageBreak/>
        <w:drawing>
          <wp:inline distT="0" distB="0" distL="0" distR="0" wp14:anchorId="509BBCA8" wp14:editId="01A161EF">
            <wp:extent cx="4416724" cy="2163256"/>
            <wp:effectExtent l="0" t="0" r="3175" b="8890"/>
            <wp:docPr id="554193975" name="Picture 1"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9195" name="Picture 1" descr="A diagram of a pyramid&#10;&#10;AI-generated content may be incorrect."/>
                    <pic:cNvPicPr/>
                  </pic:nvPicPr>
                  <pic:blipFill>
                    <a:blip r:embed="rId12"/>
                    <a:stretch>
                      <a:fillRect/>
                    </a:stretch>
                  </pic:blipFill>
                  <pic:spPr>
                    <a:xfrm>
                      <a:off x="0" y="0"/>
                      <a:ext cx="4433772" cy="2171606"/>
                    </a:xfrm>
                    <a:prstGeom prst="rect">
                      <a:avLst/>
                    </a:prstGeom>
                  </pic:spPr>
                </pic:pic>
              </a:graphicData>
            </a:graphic>
          </wp:inline>
        </w:drawing>
      </w:r>
    </w:p>
    <w:p w14:paraId="64F2ADF3" w14:textId="76C3A6A1" w:rsidR="006F14C8" w:rsidRPr="003F1ADA" w:rsidRDefault="005A3035" w:rsidP="00CB3970">
      <w:pPr>
        <w:pStyle w:val="Caption"/>
        <w:spacing w:after="0"/>
        <w:jc w:val="center"/>
        <w:rPr>
          <w:rFonts w:ascii="Calibri" w:hAnsi="Calibri" w:cs="Calibri"/>
          <w:sz w:val="20"/>
          <w:szCs w:val="20"/>
        </w:rPr>
      </w:pPr>
      <w:r w:rsidRPr="003F1ADA">
        <w:rPr>
          <w:rFonts w:ascii="Calibri" w:hAnsi="Calibri" w:cs="Calibri"/>
          <w:b/>
          <w:bCs/>
        </w:rPr>
        <w:t xml:space="preserve">Fig </w:t>
      </w:r>
      <w:r w:rsidRPr="003F1ADA">
        <w:rPr>
          <w:rFonts w:ascii="Calibri" w:hAnsi="Calibri" w:cs="Calibri"/>
          <w:b/>
          <w:bCs/>
        </w:rPr>
        <w:fldChar w:fldCharType="begin"/>
      </w:r>
      <w:r w:rsidRPr="003F1ADA">
        <w:rPr>
          <w:rFonts w:ascii="Calibri" w:hAnsi="Calibri" w:cs="Calibri"/>
          <w:b/>
          <w:bCs/>
        </w:rPr>
        <w:instrText xml:space="preserve"> SEQ Fig \* ARABIC </w:instrText>
      </w:r>
      <w:r w:rsidRPr="003F1ADA">
        <w:rPr>
          <w:rFonts w:ascii="Calibri" w:hAnsi="Calibri" w:cs="Calibri"/>
          <w:b/>
          <w:bCs/>
        </w:rPr>
        <w:fldChar w:fldCharType="separate"/>
      </w:r>
      <w:r w:rsidRPr="003F1ADA">
        <w:rPr>
          <w:rFonts w:ascii="Calibri" w:hAnsi="Calibri" w:cs="Calibri"/>
          <w:b/>
          <w:bCs/>
          <w:noProof/>
        </w:rPr>
        <w:t>1</w:t>
      </w:r>
      <w:r w:rsidRPr="003F1ADA">
        <w:rPr>
          <w:rFonts w:ascii="Calibri" w:hAnsi="Calibri" w:cs="Calibri"/>
          <w:b/>
          <w:bCs/>
        </w:rPr>
        <w:fldChar w:fldCharType="end"/>
      </w:r>
      <w:r w:rsidRPr="003F1ADA">
        <w:rPr>
          <w:rFonts w:ascii="Calibri" w:hAnsi="Calibri" w:cs="Calibri"/>
        </w:rPr>
        <w:t xml:space="preserve">  Hierarchy of modelling granularities to be used for constructing the inventory.</w:t>
      </w:r>
    </w:p>
    <w:p w14:paraId="66D71A6B" w14:textId="77777777" w:rsidR="00F5215B" w:rsidRDefault="00F5215B" w:rsidP="00CB3970">
      <w:pPr>
        <w:spacing w:after="0"/>
        <w:jc w:val="both"/>
        <w:rPr>
          <w:rFonts w:ascii="Calibri" w:hAnsi="Calibri" w:cs="Calibri"/>
          <w:b/>
          <w:bCs/>
          <w:sz w:val="20"/>
          <w:szCs w:val="20"/>
        </w:rPr>
      </w:pPr>
    </w:p>
    <w:p w14:paraId="57FF5E87" w14:textId="24A9C1EA" w:rsidR="00F972E9" w:rsidRDefault="00F972E9" w:rsidP="00712FFD">
      <w:pPr>
        <w:pStyle w:val="Heading2"/>
      </w:pPr>
      <w:r>
        <w:t>RQ archetypes</w:t>
      </w:r>
    </w:p>
    <w:p w14:paraId="5DE4330E" w14:textId="1456E140" w:rsidR="004D1E9E" w:rsidRDefault="00712FFD" w:rsidP="005C2D52">
      <w:pPr>
        <w:spacing w:after="0"/>
        <w:jc w:val="both"/>
        <w:rPr>
          <w:rFonts w:ascii="Calibri" w:hAnsi="Calibri" w:cs="Calibri"/>
          <w:sz w:val="20"/>
          <w:szCs w:val="20"/>
        </w:rPr>
      </w:pPr>
      <w:r w:rsidRPr="103B5495">
        <w:rPr>
          <w:rFonts w:ascii="Calibri" w:hAnsi="Calibri" w:cs="Calibri"/>
          <w:sz w:val="20"/>
          <w:szCs w:val="20"/>
        </w:rPr>
        <w:t xml:space="preserve">Table </w:t>
      </w:r>
      <w:r w:rsidR="005C2D52" w:rsidRPr="103B5495">
        <w:rPr>
          <w:rFonts w:ascii="Calibri" w:hAnsi="Calibri" w:cs="Calibri"/>
          <w:sz w:val="20"/>
          <w:szCs w:val="20"/>
        </w:rPr>
        <w:t xml:space="preserve">2 </w:t>
      </w:r>
      <w:r w:rsidR="00F65FA6" w:rsidRPr="103B5495">
        <w:rPr>
          <w:rFonts w:ascii="Calibri" w:hAnsi="Calibri" w:cs="Calibri"/>
          <w:sz w:val="20"/>
          <w:szCs w:val="20"/>
        </w:rPr>
        <w:t>provides examples of RQ</w:t>
      </w:r>
      <w:r w:rsidR="00DC5341" w:rsidRPr="103B5495">
        <w:rPr>
          <w:rFonts w:ascii="Calibri" w:hAnsi="Calibri" w:cs="Calibri"/>
          <w:sz w:val="20"/>
          <w:szCs w:val="20"/>
        </w:rPr>
        <w:t xml:space="preserve"> archetypes</w:t>
      </w:r>
      <w:r w:rsidR="00F65FA6" w:rsidRPr="103B5495">
        <w:rPr>
          <w:rFonts w:ascii="Calibri" w:hAnsi="Calibri" w:cs="Calibri"/>
          <w:sz w:val="20"/>
          <w:szCs w:val="20"/>
        </w:rPr>
        <w:t>, w</w:t>
      </w:r>
      <w:r w:rsidR="000F06C6">
        <w:rPr>
          <w:rFonts w:ascii="Calibri" w:hAnsi="Calibri" w:cs="Calibri"/>
          <w:sz w:val="20"/>
          <w:szCs w:val="20"/>
        </w:rPr>
        <w:t xml:space="preserve">hich </w:t>
      </w:r>
      <w:r w:rsidR="00F65FA6" w:rsidRPr="103B5495">
        <w:rPr>
          <w:rFonts w:ascii="Calibri" w:hAnsi="Calibri" w:cs="Calibri"/>
          <w:sz w:val="20"/>
          <w:szCs w:val="20"/>
        </w:rPr>
        <w:t>focus they have</w:t>
      </w:r>
      <w:r w:rsidR="00DC5341" w:rsidRPr="103B5495">
        <w:rPr>
          <w:rFonts w:ascii="Calibri" w:hAnsi="Calibri" w:cs="Calibri"/>
          <w:sz w:val="20"/>
          <w:szCs w:val="20"/>
        </w:rPr>
        <w:t>,</w:t>
      </w:r>
      <w:r w:rsidR="00F65FA6" w:rsidRPr="103B5495">
        <w:rPr>
          <w:rFonts w:ascii="Calibri" w:hAnsi="Calibri" w:cs="Calibri"/>
          <w:sz w:val="20"/>
          <w:szCs w:val="20"/>
        </w:rPr>
        <w:t xml:space="preserve"> and if they correspond to site, company, regional</w:t>
      </w:r>
      <w:r w:rsidR="00DC5341" w:rsidRPr="103B5495">
        <w:rPr>
          <w:rFonts w:ascii="Calibri" w:hAnsi="Calibri" w:cs="Calibri"/>
          <w:sz w:val="20"/>
          <w:szCs w:val="20"/>
        </w:rPr>
        <w:t>,</w:t>
      </w:r>
      <w:r w:rsidR="00F65FA6" w:rsidRPr="103B5495">
        <w:rPr>
          <w:rFonts w:ascii="Calibri" w:hAnsi="Calibri" w:cs="Calibri"/>
          <w:sz w:val="20"/>
          <w:szCs w:val="20"/>
        </w:rPr>
        <w:t xml:space="preserve"> or global scope of analysis.</w:t>
      </w:r>
    </w:p>
    <w:p w14:paraId="01ED24D3" w14:textId="77777777" w:rsidR="003D5B13" w:rsidRPr="005C2D52" w:rsidRDefault="003D5B13" w:rsidP="005C2D52">
      <w:pPr>
        <w:spacing w:after="0"/>
        <w:jc w:val="both"/>
        <w:rPr>
          <w:rFonts w:ascii="Calibri" w:hAnsi="Calibri" w:cs="Calibri"/>
          <w:sz w:val="20"/>
          <w:szCs w:val="20"/>
        </w:rPr>
      </w:pPr>
    </w:p>
    <w:p w14:paraId="03203342" w14:textId="6F8DF163" w:rsidR="005C2D52" w:rsidRDefault="005C2D52" w:rsidP="005C2D52">
      <w:pPr>
        <w:pStyle w:val="Caption"/>
        <w:keepNext/>
      </w:pPr>
      <w:r>
        <w:t xml:space="preserve">Table </w:t>
      </w:r>
      <w:r>
        <w:fldChar w:fldCharType="begin"/>
      </w:r>
      <w:r>
        <w:instrText xml:space="preserve"> SEQ Table \* ARABIC </w:instrText>
      </w:r>
      <w:r>
        <w:fldChar w:fldCharType="separate"/>
      </w:r>
      <w:r w:rsidRPr="103B5495">
        <w:rPr>
          <w:noProof/>
        </w:rPr>
        <w:t>2</w:t>
      </w:r>
      <w:r>
        <w:fldChar w:fldCharType="end"/>
      </w:r>
      <w:r>
        <w:t xml:space="preserve">  Research question examples addressed by pLCA, grouped by thematic focus. For each RQ, the applied geographical scope can be one single site, a company consisting of multiple single sites, a region defined as subnational, national or supranational, or global </w:t>
      </w:r>
      <w:r w:rsidR="00F65FA6">
        <w:t>scope.</w:t>
      </w:r>
    </w:p>
    <w:tbl>
      <w:tblPr>
        <w:tblStyle w:val="PlainTable2"/>
        <w:tblW w:w="0" w:type="auto"/>
        <w:tblLook w:val="04A0" w:firstRow="1" w:lastRow="0" w:firstColumn="1" w:lastColumn="0" w:noHBand="0" w:noVBand="1"/>
      </w:tblPr>
      <w:tblGrid>
        <w:gridCol w:w="1409"/>
        <w:gridCol w:w="4775"/>
        <w:gridCol w:w="781"/>
        <w:gridCol w:w="1092"/>
        <w:gridCol w:w="1010"/>
        <w:gridCol w:w="821"/>
      </w:tblGrid>
      <w:tr w:rsidR="004D1E9E" w:rsidRPr="00AC38C5" w14:paraId="339724EA" w14:textId="77777777" w:rsidTr="00A21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14:paraId="16879AF9" w14:textId="77777777" w:rsidR="004D1E9E" w:rsidRPr="00AC38C5" w:rsidRDefault="004D1E9E" w:rsidP="00CD0C97">
            <w:pPr>
              <w:rPr>
                <w:rFonts w:cstheme="minorHAnsi"/>
                <w:sz w:val="20"/>
                <w:szCs w:val="20"/>
              </w:rPr>
            </w:pPr>
            <w:r w:rsidRPr="00AC38C5">
              <w:rPr>
                <w:rFonts w:cstheme="minorHAnsi"/>
                <w:sz w:val="20"/>
                <w:szCs w:val="20"/>
              </w:rPr>
              <w:t>Focus</w:t>
            </w:r>
          </w:p>
        </w:tc>
        <w:tc>
          <w:tcPr>
            <w:tcW w:w="4775" w:type="dxa"/>
          </w:tcPr>
          <w:p w14:paraId="6B50F1BC" w14:textId="77777777" w:rsidR="004D1E9E" w:rsidRPr="00AC38C5" w:rsidRDefault="004D1E9E" w:rsidP="00CD0C9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C38C5">
              <w:rPr>
                <w:rFonts w:cstheme="minorHAnsi"/>
                <w:sz w:val="20"/>
                <w:szCs w:val="20"/>
              </w:rPr>
              <w:t xml:space="preserve">RQ example </w:t>
            </w:r>
            <w:r w:rsidRPr="00AC38C5">
              <w:rPr>
                <w:rFonts w:cstheme="minorHAnsi"/>
                <w:b w:val="0"/>
                <w:bCs w:val="0"/>
                <w:i/>
                <w:iCs/>
                <w:sz w:val="20"/>
                <w:szCs w:val="20"/>
              </w:rPr>
              <w:t>(simplified)</w:t>
            </w:r>
          </w:p>
        </w:tc>
        <w:tc>
          <w:tcPr>
            <w:tcW w:w="781" w:type="dxa"/>
          </w:tcPr>
          <w:p w14:paraId="1B56AABE" w14:textId="77777777" w:rsidR="004D1E9E" w:rsidRPr="00AC38C5" w:rsidRDefault="004D1E9E" w:rsidP="00CD0C9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C38C5">
              <w:rPr>
                <w:rFonts w:cstheme="minorHAnsi"/>
                <w:sz w:val="20"/>
                <w:szCs w:val="20"/>
              </w:rPr>
              <w:t>Site</w:t>
            </w:r>
          </w:p>
        </w:tc>
        <w:tc>
          <w:tcPr>
            <w:tcW w:w="1092" w:type="dxa"/>
          </w:tcPr>
          <w:p w14:paraId="66E0EECC" w14:textId="77777777" w:rsidR="004D1E9E" w:rsidRPr="00AC38C5" w:rsidRDefault="004D1E9E" w:rsidP="00CD0C9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C38C5">
              <w:rPr>
                <w:rFonts w:cstheme="minorHAnsi"/>
                <w:sz w:val="20"/>
                <w:szCs w:val="20"/>
              </w:rPr>
              <w:t>Company</w:t>
            </w:r>
          </w:p>
        </w:tc>
        <w:tc>
          <w:tcPr>
            <w:tcW w:w="1010" w:type="dxa"/>
          </w:tcPr>
          <w:p w14:paraId="5E35F5A7" w14:textId="77777777" w:rsidR="004D1E9E" w:rsidRPr="00AC38C5" w:rsidRDefault="004D1E9E" w:rsidP="00CD0C9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C38C5">
              <w:rPr>
                <w:rFonts w:cstheme="minorHAnsi"/>
                <w:sz w:val="20"/>
                <w:szCs w:val="20"/>
              </w:rPr>
              <w:t>Regional</w:t>
            </w:r>
          </w:p>
        </w:tc>
        <w:tc>
          <w:tcPr>
            <w:tcW w:w="821" w:type="dxa"/>
          </w:tcPr>
          <w:p w14:paraId="571DF6EF" w14:textId="77777777" w:rsidR="004D1E9E" w:rsidRPr="00AC38C5" w:rsidRDefault="004D1E9E" w:rsidP="00CD0C9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C38C5">
              <w:rPr>
                <w:rFonts w:cstheme="minorHAnsi"/>
                <w:sz w:val="20"/>
                <w:szCs w:val="20"/>
              </w:rPr>
              <w:t>Global</w:t>
            </w:r>
          </w:p>
        </w:tc>
      </w:tr>
      <w:tr w:rsidR="004D1E9E" w:rsidRPr="00AC38C5" w14:paraId="4A16015C" w14:textId="77777777" w:rsidTr="00A2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vMerge w:val="restart"/>
          </w:tcPr>
          <w:p w14:paraId="486FE2AC" w14:textId="77777777" w:rsidR="004D1E9E" w:rsidRPr="00AC38C5" w:rsidRDefault="004D1E9E" w:rsidP="00CD0C97">
            <w:pPr>
              <w:rPr>
                <w:rFonts w:cstheme="minorHAnsi"/>
                <w:b w:val="0"/>
                <w:bCs w:val="0"/>
                <w:sz w:val="20"/>
                <w:szCs w:val="20"/>
              </w:rPr>
            </w:pPr>
            <w:r w:rsidRPr="00AC38C5">
              <w:rPr>
                <w:rFonts w:cstheme="minorHAnsi"/>
                <w:b w:val="0"/>
                <w:bCs w:val="0"/>
                <w:sz w:val="20"/>
                <w:szCs w:val="20"/>
              </w:rPr>
              <w:t>Technology</w:t>
            </w:r>
          </w:p>
        </w:tc>
        <w:tc>
          <w:tcPr>
            <w:tcW w:w="4775" w:type="dxa"/>
          </w:tcPr>
          <w:p w14:paraId="0757CD22"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cstheme="minorHAnsi"/>
                <w:sz w:val="20"/>
                <w:szCs w:val="20"/>
              </w:rPr>
              <w:t>What is the environmental impact mitigation potential of new/emerging technologies compared to the current practices?</w:t>
            </w:r>
          </w:p>
        </w:tc>
        <w:tc>
          <w:tcPr>
            <w:tcW w:w="781" w:type="dxa"/>
          </w:tcPr>
          <w:p w14:paraId="4E65535D"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1092" w:type="dxa"/>
          </w:tcPr>
          <w:p w14:paraId="203BF19A"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1010" w:type="dxa"/>
          </w:tcPr>
          <w:p w14:paraId="36B05A1E"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821" w:type="dxa"/>
          </w:tcPr>
          <w:p w14:paraId="267DFB14"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r>
      <w:tr w:rsidR="004D1E9E" w:rsidRPr="00AC38C5" w14:paraId="373C618B" w14:textId="77777777" w:rsidTr="00A215B7">
        <w:tc>
          <w:tcPr>
            <w:cnfStyle w:val="001000000000" w:firstRow="0" w:lastRow="0" w:firstColumn="1" w:lastColumn="0" w:oddVBand="0" w:evenVBand="0" w:oddHBand="0" w:evenHBand="0" w:firstRowFirstColumn="0" w:firstRowLastColumn="0" w:lastRowFirstColumn="0" w:lastRowLastColumn="0"/>
            <w:tcW w:w="1409" w:type="dxa"/>
            <w:vMerge/>
          </w:tcPr>
          <w:p w14:paraId="493F111F" w14:textId="77777777" w:rsidR="004D1E9E" w:rsidRPr="00AC38C5" w:rsidRDefault="004D1E9E" w:rsidP="00CD0C97">
            <w:pPr>
              <w:rPr>
                <w:rFonts w:cstheme="minorHAnsi"/>
                <w:b w:val="0"/>
                <w:bCs w:val="0"/>
                <w:sz w:val="20"/>
                <w:szCs w:val="20"/>
              </w:rPr>
            </w:pPr>
          </w:p>
        </w:tc>
        <w:tc>
          <w:tcPr>
            <w:tcW w:w="4775" w:type="dxa"/>
          </w:tcPr>
          <w:p w14:paraId="13809EEB"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C38C5">
              <w:rPr>
                <w:rFonts w:cstheme="minorHAnsi"/>
                <w:sz w:val="20"/>
                <w:szCs w:val="20"/>
              </w:rPr>
              <w:t xml:space="preserve">How do changes in resource </w:t>
            </w:r>
            <w:r>
              <w:rPr>
                <w:rFonts w:cstheme="minorHAnsi"/>
                <w:sz w:val="20"/>
                <w:szCs w:val="20"/>
              </w:rPr>
              <w:t>characteristics</w:t>
            </w:r>
            <w:r w:rsidRPr="00AC38C5">
              <w:rPr>
                <w:rFonts w:cstheme="minorHAnsi"/>
                <w:sz w:val="20"/>
                <w:szCs w:val="20"/>
              </w:rPr>
              <w:t xml:space="preserve"> influence future environmental impacts?</w:t>
            </w:r>
          </w:p>
        </w:tc>
        <w:tc>
          <w:tcPr>
            <w:tcW w:w="781" w:type="dxa"/>
          </w:tcPr>
          <w:p w14:paraId="485D49E1"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1092" w:type="dxa"/>
          </w:tcPr>
          <w:p w14:paraId="3DE81288"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1010" w:type="dxa"/>
          </w:tcPr>
          <w:p w14:paraId="0B1BC46D"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821" w:type="dxa"/>
          </w:tcPr>
          <w:p w14:paraId="434B34FB"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r>
      <w:tr w:rsidR="004D1E9E" w:rsidRPr="00AC38C5" w14:paraId="59DB16FD" w14:textId="77777777" w:rsidTr="00A2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14:paraId="2276DB9A" w14:textId="77777777" w:rsidR="004D1E9E" w:rsidRPr="00AC38C5" w:rsidRDefault="004D1E9E" w:rsidP="00CD0C97">
            <w:pPr>
              <w:rPr>
                <w:rFonts w:cstheme="minorHAnsi"/>
                <w:b w:val="0"/>
                <w:bCs w:val="0"/>
                <w:sz w:val="20"/>
                <w:szCs w:val="20"/>
              </w:rPr>
            </w:pPr>
            <w:r w:rsidRPr="00AC38C5">
              <w:rPr>
                <w:rFonts w:cstheme="minorHAnsi"/>
                <w:b w:val="0"/>
                <w:bCs w:val="0"/>
                <w:sz w:val="20"/>
                <w:szCs w:val="20"/>
              </w:rPr>
              <w:t>System configuration</w:t>
            </w:r>
          </w:p>
        </w:tc>
        <w:tc>
          <w:tcPr>
            <w:tcW w:w="4775" w:type="dxa"/>
          </w:tcPr>
          <w:p w14:paraId="44D36F13"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cstheme="minorHAnsi"/>
                <w:sz w:val="20"/>
                <w:szCs w:val="20"/>
              </w:rPr>
              <w:t>How do alternative mineral value chains compare in terms of environmental impacts?</w:t>
            </w:r>
          </w:p>
        </w:tc>
        <w:tc>
          <w:tcPr>
            <w:tcW w:w="781" w:type="dxa"/>
          </w:tcPr>
          <w:p w14:paraId="7E58F45B"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92" w:type="dxa"/>
          </w:tcPr>
          <w:p w14:paraId="35A339B3"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1010" w:type="dxa"/>
          </w:tcPr>
          <w:p w14:paraId="51E95E92"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821" w:type="dxa"/>
          </w:tcPr>
          <w:p w14:paraId="00DDD904" w14:textId="77777777" w:rsidR="004D1E9E" w:rsidRPr="00AC38C5" w:rsidRDefault="004D1E9E"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r>
      <w:tr w:rsidR="004D1E9E" w:rsidRPr="00AC38C5" w14:paraId="638FC5D7" w14:textId="77777777" w:rsidTr="00A215B7">
        <w:tc>
          <w:tcPr>
            <w:cnfStyle w:val="001000000000" w:firstRow="0" w:lastRow="0" w:firstColumn="1" w:lastColumn="0" w:oddVBand="0" w:evenVBand="0" w:oddHBand="0" w:evenHBand="0" w:firstRowFirstColumn="0" w:firstRowLastColumn="0" w:lastRowFirstColumn="0" w:lastRowLastColumn="0"/>
            <w:tcW w:w="1409" w:type="dxa"/>
          </w:tcPr>
          <w:p w14:paraId="450DCC04" w14:textId="77777777" w:rsidR="004D1E9E" w:rsidRPr="00AC38C5" w:rsidRDefault="004D1E9E" w:rsidP="00CD0C97">
            <w:pPr>
              <w:rPr>
                <w:rFonts w:cstheme="minorHAnsi"/>
                <w:b w:val="0"/>
                <w:bCs w:val="0"/>
                <w:sz w:val="20"/>
                <w:szCs w:val="20"/>
              </w:rPr>
            </w:pPr>
            <w:r w:rsidRPr="00AC38C5">
              <w:rPr>
                <w:rFonts w:cstheme="minorHAnsi"/>
                <w:b w:val="0"/>
                <w:bCs w:val="0"/>
                <w:sz w:val="20"/>
                <w:szCs w:val="20"/>
              </w:rPr>
              <w:t>Circularity</w:t>
            </w:r>
          </w:p>
        </w:tc>
        <w:tc>
          <w:tcPr>
            <w:tcW w:w="4775" w:type="dxa"/>
          </w:tcPr>
          <w:p w14:paraId="3D588E2B"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C38C5">
              <w:rPr>
                <w:rFonts w:cstheme="minorHAnsi"/>
                <w:sz w:val="20"/>
                <w:szCs w:val="20"/>
              </w:rPr>
              <w:t>How do recycling and circular strategies influence future environmental impacts of mineral commodity supply?</w:t>
            </w:r>
          </w:p>
        </w:tc>
        <w:tc>
          <w:tcPr>
            <w:tcW w:w="781" w:type="dxa"/>
          </w:tcPr>
          <w:p w14:paraId="0952E3DD"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4BFC3966"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1010" w:type="dxa"/>
          </w:tcPr>
          <w:p w14:paraId="2632ED06"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821" w:type="dxa"/>
          </w:tcPr>
          <w:p w14:paraId="0ABBD966" w14:textId="77777777" w:rsidR="004D1E9E" w:rsidRPr="00AC38C5" w:rsidRDefault="004D1E9E" w:rsidP="00CD0C9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r>
      <w:tr w:rsidR="00A215B7" w:rsidRPr="00AC38C5" w14:paraId="34DDB560" w14:textId="77777777" w:rsidTr="00A2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vMerge w:val="restart"/>
          </w:tcPr>
          <w:p w14:paraId="1DA5B441" w14:textId="77777777" w:rsidR="00A215B7" w:rsidRPr="00AC38C5" w:rsidRDefault="00A215B7" w:rsidP="00CD0C97">
            <w:pPr>
              <w:rPr>
                <w:rFonts w:cstheme="minorHAnsi"/>
                <w:b w:val="0"/>
                <w:bCs w:val="0"/>
                <w:sz w:val="20"/>
                <w:szCs w:val="20"/>
              </w:rPr>
            </w:pPr>
            <w:r w:rsidRPr="00AC38C5">
              <w:rPr>
                <w:rFonts w:cstheme="minorHAnsi"/>
                <w:b w:val="0"/>
                <w:bCs w:val="0"/>
                <w:sz w:val="20"/>
                <w:szCs w:val="20"/>
              </w:rPr>
              <w:t>Policy</w:t>
            </w:r>
          </w:p>
        </w:tc>
        <w:tc>
          <w:tcPr>
            <w:tcW w:w="4775" w:type="dxa"/>
          </w:tcPr>
          <w:p w14:paraId="7900F1B5" w14:textId="77777777" w:rsidR="00A215B7" w:rsidRPr="00AC38C5" w:rsidRDefault="00A215B7"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cstheme="minorHAnsi"/>
                <w:sz w:val="20"/>
                <w:szCs w:val="20"/>
              </w:rPr>
              <w:t>How do prospective mineral value chains align with or diverge from international environmental policy targets?</w:t>
            </w:r>
          </w:p>
        </w:tc>
        <w:tc>
          <w:tcPr>
            <w:tcW w:w="781" w:type="dxa"/>
          </w:tcPr>
          <w:p w14:paraId="3445B3A0" w14:textId="77777777" w:rsidR="00A215B7" w:rsidRPr="00AC38C5" w:rsidRDefault="00A215B7"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92" w:type="dxa"/>
          </w:tcPr>
          <w:p w14:paraId="7108D92A" w14:textId="77777777" w:rsidR="00A215B7" w:rsidRPr="00AC38C5" w:rsidRDefault="00A215B7"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10" w:type="dxa"/>
          </w:tcPr>
          <w:p w14:paraId="7B800A81" w14:textId="77777777" w:rsidR="00A215B7" w:rsidRPr="00AC38C5" w:rsidRDefault="00A215B7"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c>
          <w:tcPr>
            <w:tcW w:w="821" w:type="dxa"/>
          </w:tcPr>
          <w:p w14:paraId="7A1FE694" w14:textId="77777777" w:rsidR="00A215B7" w:rsidRPr="00AC38C5" w:rsidRDefault="00A215B7" w:rsidP="00CD0C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38C5">
              <w:rPr>
                <w:rFonts w:ascii="Segoe UI Symbol" w:hAnsi="Segoe UI Symbol" w:cs="Segoe UI Symbol"/>
                <w:sz w:val="20"/>
                <w:szCs w:val="20"/>
              </w:rPr>
              <w:t>✔</w:t>
            </w:r>
          </w:p>
        </w:tc>
      </w:tr>
      <w:tr w:rsidR="002949D2" w:rsidRPr="00AC38C5" w14:paraId="2818A0A2" w14:textId="77777777" w:rsidTr="00A215B7">
        <w:tc>
          <w:tcPr>
            <w:cnfStyle w:val="001000000000" w:firstRow="0" w:lastRow="0" w:firstColumn="1" w:lastColumn="0" w:oddVBand="0" w:evenVBand="0" w:oddHBand="0" w:evenHBand="0" w:firstRowFirstColumn="0" w:firstRowLastColumn="0" w:lastRowFirstColumn="0" w:lastRowLastColumn="0"/>
            <w:tcW w:w="1409" w:type="dxa"/>
            <w:vMerge/>
          </w:tcPr>
          <w:p w14:paraId="0387A35A" w14:textId="77777777" w:rsidR="002949D2" w:rsidRPr="00AC38C5" w:rsidRDefault="002949D2" w:rsidP="002949D2">
            <w:pPr>
              <w:rPr>
                <w:rFonts w:cstheme="minorHAnsi"/>
                <w:sz w:val="20"/>
                <w:szCs w:val="20"/>
              </w:rPr>
            </w:pPr>
          </w:p>
        </w:tc>
        <w:tc>
          <w:tcPr>
            <w:tcW w:w="4775" w:type="dxa"/>
          </w:tcPr>
          <w:p w14:paraId="059255A4" w14:textId="00E380FA" w:rsidR="002949D2" w:rsidRPr="00AC38C5" w:rsidRDefault="002949D2" w:rsidP="002949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How will environmental impacts of demand of mineral raw materials develop in the future and what are possible mitigation levers?</w:t>
            </w:r>
          </w:p>
        </w:tc>
        <w:tc>
          <w:tcPr>
            <w:tcW w:w="781" w:type="dxa"/>
          </w:tcPr>
          <w:p w14:paraId="59EC32EB" w14:textId="77777777" w:rsidR="002949D2" w:rsidRPr="00AC38C5" w:rsidRDefault="002949D2" w:rsidP="002949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556A4001" w14:textId="77777777" w:rsidR="002949D2" w:rsidRPr="00AC38C5" w:rsidRDefault="002949D2" w:rsidP="002949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10" w:type="dxa"/>
          </w:tcPr>
          <w:p w14:paraId="68265003" w14:textId="6697112A" w:rsidR="002949D2" w:rsidRPr="00AC38C5" w:rsidRDefault="002949D2" w:rsidP="002949D2">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0"/>
                <w:szCs w:val="20"/>
              </w:rPr>
            </w:pPr>
            <w:r w:rsidRPr="00AC38C5">
              <w:rPr>
                <w:rFonts w:ascii="Segoe UI Symbol" w:hAnsi="Segoe UI Symbol" w:cs="Segoe UI Symbol"/>
                <w:sz w:val="20"/>
                <w:szCs w:val="20"/>
              </w:rPr>
              <w:t>✔</w:t>
            </w:r>
          </w:p>
        </w:tc>
        <w:tc>
          <w:tcPr>
            <w:tcW w:w="821" w:type="dxa"/>
          </w:tcPr>
          <w:p w14:paraId="20D86147" w14:textId="0EC896EF" w:rsidR="002949D2" w:rsidRPr="00AC38C5" w:rsidRDefault="002949D2" w:rsidP="002949D2">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0"/>
                <w:szCs w:val="20"/>
              </w:rPr>
            </w:pPr>
            <w:r w:rsidRPr="00AC38C5">
              <w:rPr>
                <w:rFonts w:ascii="Segoe UI Symbol" w:hAnsi="Segoe UI Symbol" w:cs="Segoe UI Symbol"/>
                <w:sz w:val="20"/>
                <w:szCs w:val="20"/>
              </w:rPr>
              <w:t>✔</w:t>
            </w:r>
          </w:p>
        </w:tc>
      </w:tr>
    </w:tbl>
    <w:p w14:paraId="193A832F" w14:textId="77777777" w:rsidR="004D1E9E" w:rsidRDefault="004D1E9E" w:rsidP="00CB3970">
      <w:pPr>
        <w:spacing w:after="0"/>
        <w:jc w:val="both"/>
        <w:rPr>
          <w:rFonts w:ascii="Calibri" w:hAnsi="Calibri" w:cs="Calibri"/>
          <w:b/>
          <w:bCs/>
          <w:sz w:val="20"/>
          <w:szCs w:val="20"/>
        </w:rPr>
      </w:pPr>
    </w:p>
    <w:p w14:paraId="3AD59626" w14:textId="44F6D4B3" w:rsidR="00BD7B5A" w:rsidRPr="003F1ADA" w:rsidRDefault="006127AF" w:rsidP="005B1702">
      <w:pPr>
        <w:pStyle w:val="Heading1"/>
        <w:rPr>
          <w:rFonts w:cs="Calibri"/>
        </w:rPr>
      </w:pPr>
      <w:r w:rsidRPr="003F1ADA">
        <w:rPr>
          <w:rFonts w:cs="Calibri"/>
        </w:rPr>
        <w:t xml:space="preserve">SI3.2 </w:t>
      </w:r>
      <w:r w:rsidR="00A25B39" w:rsidRPr="003F1ADA">
        <w:rPr>
          <w:rFonts w:cs="Calibri"/>
        </w:rPr>
        <w:t>Showcasing SIMPL-M</w:t>
      </w:r>
      <w:r w:rsidRPr="003F1ADA">
        <w:rPr>
          <w:rFonts w:cs="Calibri"/>
        </w:rPr>
        <w:t>inerals</w:t>
      </w:r>
    </w:p>
    <w:p w14:paraId="7DA2E3C1" w14:textId="18C30AB5" w:rsidR="007E6794" w:rsidRPr="003F1ADA" w:rsidRDefault="004041F3" w:rsidP="007E6794">
      <w:pPr>
        <w:pStyle w:val="Heading2"/>
        <w:rPr>
          <w:rFonts w:cs="Calibri"/>
        </w:rPr>
      </w:pPr>
      <w:r w:rsidRPr="003F1ADA">
        <w:rPr>
          <w:rFonts w:cs="Calibri"/>
        </w:rPr>
        <w:t>Inventory analysis</w:t>
      </w:r>
    </w:p>
    <w:p w14:paraId="6C54CE39" w14:textId="77777777" w:rsidR="005D1B15" w:rsidRPr="003F1ADA" w:rsidRDefault="007E6794" w:rsidP="007E6794">
      <w:pPr>
        <w:spacing w:after="0"/>
        <w:jc w:val="both"/>
        <w:rPr>
          <w:rFonts w:ascii="Calibri" w:hAnsi="Calibri" w:cs="Calibri"/>
          <w:b/>
          <w:bCs/>
          <w:sz w:val="20"/>
          <w:szCs w:val="20"/>
        </w:rPr>
      </w:pPr>
      <w:r w:rsidRPr="003F1ADA">
        <w:rPr>
          <w:rFonts w:ascii="Calibri" w:hAnsi="Calibri" w:cs="Calibri"/>
          <w:b/>
          <w:bCs/>
          <w:sz w:val="20"/>
          <w:szCs w:val="20"/>
        </w:rPr>
        <w:t>Inventory data and software</w:t>
      </w:r>
    </w:p>
    <w:p w14:paraId="68CF772C" w14:textId="77777777" w:rsidR="004218F7" w:rsidRDefault="004218F7" w:rsidP="004218F7">
      <w:pPr>
        <w:spacing w:after="0"/>
        <w:rPr>
          <w:rFonts w:ascii="Calibri" w:hAnsi="Calibri" w:cs="Calibri"/>
          <w:sz w:val="20"/>
          <w:szCs w:val="20"/>
          <w:lang w:val="en-NL"/>
        </w:rPr>
      </w:pPr>
      <w:r w:rsidRPr="004218F7">
        <w:rPr>
          <w:rFonts w:ascii="Calibri" w:hAnsi="Calibri" w:cs="Calibri"/>
          <w:sz w:val="20"/>
          <w:szCs w:val="20"/>
          <w:lang w:val="en-NL"/>
        </w:rPr>
        <w:t xml:space="preserve">The foreground inventories for primary supply were taken from Roy et al. (2025) and scaled to differentiate between stages represented as unit processes. Since Roy et al. (2025) report inventories aggregated into a single stage, based on a functional unit of 1 kg Ni equivalent, we disaggregated the stages to align with those identified in the inventory model blueprint (mining, concentration, purification, refining). This was achieved by scaling inventory flows to match the production output of each stage. The calculations used for scaling the inventories are provided in SI 2.4. Additionally, inventories were complemented with average nickel mine data from Eckelman (2010) and ecoinvent 3.10 inventories for </w:t>
      </w:r>
      <w:r w:rsidRPr="004218F7">
        <w:rPr>
          <w:rFonts w:ascii="Calibri" w:hAnsi="Calibri" w:cs="Calibri"/>
          <w:sz w:val="20"/>
          <w:szCs w:val="20"/>
          <w:lang w:val="en-NL"/>
        </w:rPr>
        <w:lastRenderedPageBreak/>
        <w:t>mining and concentration, as well as nickel Class I to nickel sulfate processing (Wernet et al., 2016) to supplement the FS route. Inventories for secondary supply were taken from Kallitsis et al. (2022).</w:t>
      </w:r>
    </w:p>
    <w:p w14:paraId="083F87D8" w14:textId="3C2EC1D9" w:rsidR="004218F7" w:rsidRPr="004218F7" w:rsidRDefault="004218F7" w:rsidP="004218F7">
      <w:pPr>
        <w:spacing w:after="0"/>
        <w:ind w:firstLine="720"/>
        <w:rPr>
          <w:rFonts w:ascii="Calibri" w:hAnsi="Calibri" w:cs="Calibri"/>
          <w:sz w:val="20"/>
          <w:szCs w:val="20"/>
          <w:lang w:val="en-NL"/>
        </w:rPr>
      </w:pPr>
      <w:r w:rsidRPr="004218F7">
        <w:rPr>
          <w:rFonts w:ascii="Calibri" w:hAnsi="Calibri" w:cs="Calibri"/>
          <w:sz w:val="20"/>
          <w:szCs w:val="20"/>
          <w:lang w:val="en-NL"/>
        </w:rPr>
        <w:t>The background database was created using the superstructure approach (Steubing &amp; de Koning, 2021) via premise (Sacchi et al., 2022), incorporating scenarios from the Integrated Assessment Model (IAM) REMIND (Tino et al., 2023). As a result, the background parameter for chemical reagent decarbonization is only indirectly accounted for: the energy supply for chemical reagent production is decarbonized, but direct emissions from chemical production processes are not included.</w:t>
      </w:r>
    </w:p>
    <w:p w14:paraId="084B28A3" w14:textId="77777777" w:rsidR="004218F7" w:rsidRPr="004218F7" w:rsidRDefault="004218F7" w:rsidP="004218F7">
      <w:pPr>
        <w:spacing w:after="0"/>
        <w:ind w:firstLine="720"/>
        <w:rPr>
          <w:rFonts w:ascii="Calibri" w:hAnsi="Calibri" w:cs="Calibri"/>
          <w:sz w:val="20"/>
          <w:szCs w:val="20"/>
          <w:lang w:val="en-NL"/>
        </w:rPr>
      </w:pPr>
      <w:r w:rsidRPr="004218F7">
        <w:rPr>
          <w:rFonts w:ascii="Calibri" w:hAnsi="Calibri" w:cs="Calibri"/>
          <w:sz w:val="20"/>
          <w:szCs w:val="20"/>
          <w:lang w:val="en-NL"/>
        </w:rPr>
        <w:t>Multifunctionality was addressed using mass-based allocation, with one exception. In the FS purification process, sulfuric acid is produced as a by-product when converting sulfidic ore into nickel matte. This by-product is typically used in nearby operations, such as leaching processes, or sold on the market. Sulfuric acid production is relatively inexpensive, and the conversion of sulfur dioxide to sulfuric acid is required to prevent acid rain and comply with environmental regulations, while the primary aim of the process remains nickel production. Therefore, an allocation factor of zero was assigned to sulfuric acid and one to nickel matte. This conservative approach likely overestimates the environmental impacts allocated to the final product. This effect is expected to increase in future scenarios, as global sulfuric acid supply could decline due to reduced reliance on fossil fuels—where sulfuric acid is commonly produced as a by-product—potentially raising prices. Economic allocation was not used, consistent with most LCA studies in the mineral value chain, which typically address high-volume, low-value products (Lai et al., 2021).</w:t>
      </w:r>
    </w:p>
    <w:p w14:paraId="17023F0C" w14:textId="77777777" w:rsidR="00B428C3" w:rsidRPr="003F1ADA" w:rsidRDefault="00B428C3" w:rsidP="007E6794">
      <w:pPr>
        <w:rPr>
          <w:rFonts w:ascii="Calibri" w:hAnsi="Calibri" w:cs="Calibri"/>
        </w:rPr>
      </w:pPr>
    </w:p>
    <w:p w14:paraId="697E3A29" w14:textId="63F11714" w:rsidR="006127AF" w:rsidRPr="00EE1AFA" w:rsidRDefault="006127AF" w:rsidP="005B1702">
      <w:pPr>
        <w:pStyle w:val="Heading2"/>
        <w:rPr>
          <w:rFonts w:cs="Calibri"/>
        </w:rPr>
      </w:pPr>
      <w:r w:rsidRPr="00EE1AFA">
        <w:rPr>
          <w:rFonts w:cs="Calibri"/>
        </w:rPr>
        <w:t>Limitations of case study</w:t>
      </w:r>
    </w:p>
    <w:p w14:paraId="3BBD17DD" w14:textId="7CDEB014" w:rsidR="005D31ED" w:rsidRDefault="005D31ED" w:rsidP="002949D2">
      <w:pPr>
        <w:spacing w:after="0"/>
        <w:jc w:val="both"/>
        <w:rPr>
          <w:rFonts w:ascii="Calibri" w:hAnsi="Calibri" w:cs="Calibri"/>
          <w:sz w:val="20"/>
          <w:szCs w:val="20"/>
        </w:rPr>
      </w:pPr>
      <w:r w:rsidRPr="005D31ED">
        <w:rPr>
          <w:rFonts w:ascii="Calibri" w:hAnsi="Calibri" w:cs="Calibri"/>
          <w:sz w:val="20"/>
          <w:szCs w:val="20"/>
        </w:rPr>
        <w:t>The real-life applicability of the presented case study is subject to several limitations. Ore grade decline, which influences energy demand, is implemented in the LCI model using a linear rather than exponential correlation, potentially underestimating its effect on energy-intensive impact categories, such as climate change. The modeled primary production pathways do not cover the entire nickel sulfate market, as certain routes</w:t>
      </w:r>
      <w:r w:rsidR="004218F7">
        <w:rPr>
          <w:rFonts w:ascii="Calibri" w:hAnsi="Calibri" w:cs="Calibri"/>
          <w:sz w:val="20"/>
          <w:szCs w:val="20"/>
        </w:rPr>
        <w:t xml:space="preserve">, </w:t>
      </w:r>
      <w:r w:rsidRPr="005D31ED">
        <w:rPr>
          <w:rFonts w:ascii="Calibri" w:hAnsi="Calibri" w:cs="Calibri"/>
          <w:sz w:val="20"/>
          <w:szCs w:val="20"/>
        </w:rPr>
        <w:t>such as nickel pig iron (NPI) and mixed sulfide precipitate (MSP) production</w:t>
      </w:r>
      <w:r w:rsidR="004218F7">
        <w:rPr>
          <w:rFonts w:ascii="Calibri" w:hAnsi="Calibri" w:cs="Calibri"/>
          <w:sz w:val="20"/>
          <w:szCs w:val="20"/>
        </w:rPr>
        <w:t xml:space="preserve">, </w:t>
      </w:r>
      <w:r w:rsidRPr="005D31ED">
        <w:rPr>
          <w:rFonts w:ascii="Calibri" w:hAnsi="Calibri" w:cs="Calibri"/>
          <w:sz w:val="20"/>
          <w:szCs w:val="20"/>
        </w:rPr>
        <w:t>are excluded due to complex processing requirements, including toxic gas handling during high-pressure acid leaching (HPAL), and the assumption that lower-cost routes such as ferronickel (FeNi) and mixed hydroxide precipitate (MHP) will continue to dominate. Emerging production technologies, including deep-sea mining, pytho mining, and tailings reprocessing, are also not included. Secondary production pathways do not account for potential future processes, such as direct recycling, and the corresponding inventories remain unchanged across different battery cell chemistries. Co-product recovery efficiencies are assumed to develop in line with the main product, keeping mass allocation factors constant over time. Additionally, ore composition is assumed to remain static, and transportation processes are not included in the inventories. Finally, the study focuses exclusively on nickel sulfate demand for battery electric vehicles (BEVs), excluding other potential end-use applications.</w:t>
      </w:r>
    </w:p>
    <w:p w14:paraId="18C0665C" w14:textId="37BBD3E7" w:rsidR="00926FC9" w:rsidRDefault="00926FC9" w:rsidP="002949D2">
      <w:pPr>
        <w:spacing w:after="0"/>
        <w:jc w:val="both"/>
        <w:rPr>
          <w:rFonts w:ascii="Calibri" w:hAnsi="Calibri" w:cs="Calibri"/>
          <w:sz w:val="20"/>
          <w:szCs w:val="20"/>
        </w:rPr>
      </w:pPr>
      <w:r>
        <w:rPr>
          <w:rFonts w:ascii="Calibri" w:hAnsi="Calibri" w:cs="Calibri"/>
          <w:sz w:val="20"/>
          <w:szCs w:val="20"/>
        </w:rPr>
        <w:br w:type="page"/>
      </w:r>
    </w:p>
    <w:p w14:paraId="00359F5D" w14:textId="2F09FC28" w:rsidR="00DD4F13" w:rsidRDefault="00DD4F13" w:rsidP="00DD4F13">
      <w:pPr>
        <w:pStyle w:val="Heading1"/>
      </w:pPr>
      <w:r>
        <w:lastRenderedPageBreak/>
        <w:t>References</w:t>
      </w:r>
    </w:p>
    <w:p w14:paraId="3EF3C8A6" w14:textId="6A4772BA" w:rsidR="009931D0" w:rsidRPr="009931D0" w:rsidRDefault="009931D0" w:rsidP="009931D0">
      <w:pPr>
        <w:pStyle w:val="Bibliography"/>
        <w:spacing w:line="276" w:lineRule="auto"/>
        <w:jc w:val="both"/>
        <w:rPr>
          <w:rFonts w:ascii="Calibri" w:hAnsi="Calibri" w:cs="Calibri"/>
          <w:sz w:val="20"/>
          <w:szCs w:val="20"/>
        </w:rPr>
      </w:pPr>
      <w:r w:rsidRPr="009931D0">
        <w:rPr>
          <w:rFonts w:ascii="Calibri" w:hAnsi="Calibri" w:cs="Calibri"/>
          <w:sz w:val="20"/>
          <w:szCs w:val="20"/>
        </w:rPr>
        <w:t>Aboumahboub, T., Auer, C., Bauer, N., Baumstark, L., Bertram, C., Bi, S., Dietrich, J., Dirnaichner, A., Giannousakis, A., Haller, M., Hilaire, J., Klein, D., Koch, J., Körner, A., Kriegler, E., Leimbach, M., Levesque, A., Lorenz, A., Luderer, G., … Ueckerdt, F. (2020). REMIND - REgional Model of INvestments and Development (2.1.0). Zenodo. </w:t>
      </w:r>
      <w:hyperlink r:id="rId13" w:tgtFrame="_blank" w:history="1">
        <w:r w:rsidRPr="009931D0">
          <w:rPr>
            <w:rStyle w:val="Hyperlink"/>
            <w:rFonts w:ascii="Calibri" w:hAnsi="Calibri" w:cs="Calibri"/>
            <w:color w:val="auto"/>
            <w:sz w:val="20"/>
            <w:szCs w:val="20"/>
            <w:u w:val="none"/>
          </w:rPr>
          <w:t>https://doi.org/10.5281/zenodo.3730919</w:t>
        </w:r>
      </w:hyperlink>
    </w:p>
    <w:p w14:paraId="54400195" w14:textId="026A3159"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Ambrose, H., &amp; Kendall, A. (2020). Understanding the future of lithium: Part 2, temporally and spatially resolved life-cycle assessment modeling. </w:t>
      </w:r>
      <w:r w:rsidRPr="001736C4">
        <w:rPr>
          <w:rFonts w:ascii="Calibri" w:hAnsi="Calibri" w:cs="Calibri"/>
          <w:i/>
          <w:iCs/>
          <w:sz w:val="20"/>
        </w:rPr>
        <w:t>Journal of Industrial Ecology</w:t>
      </w:r>
      <w:r w:rsidRPr="001736C4">
        <w:rPr>
          <w:rFonts w:ascii="Calibri" w:hAnsi="Calibri" w:cs="Calibri"/>
          <w:sz w:val="20"/>
        </w:rPr>
        <w:t xml:space="preserve">, </w:t>
      </w:r>
      <w:r w:rsidRPr="001736C4">
        <w:rPr>
          <w:rFonts w:ascii="Calibri" w:hAnsi="Calibri" w:cs="Calibri"/>
          <w:i/>
          <w:iCs/>
          <w:sz w:val="20"/>
        </w:rPr>
        <w:t>24</w:t>
      </w:r>
      <w:r w:rsidRPr="001736C4">
        <w:rPr>
          <w:rFonts w:ascii="Calibri" w:hAnsi="Calibri" w:cs="Calibri"/>
          <w:sz w:val="20"/>
        </w:rPr>
        <w:t>(1), 90–100. https://doi.org/10.1111/jiec.12942</w:t>
      </w:r>
    </w:p>
    <w:p w14:paraId="3689837A"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Eckelman, M. J. (2010). Facility-level energy and greenhouse gas life-cycle assessment of the global nickel industry. </w:t>
      </w:r>
      <w:r w:rsidRPr="001736C4">
        <w:rPr>
          <w:rFonts w:ascii="Calibri" w:hAnsi="Calibri" w:cs="Calibri"/>
          <w:i/>
          <w:iCs/>
          <w:sz w:val="20"/>
        </w:rPr>
        <w:t>Resources, Conservation and Recycling</w:t>
      </w:r>
      <w:r w:rsidRPr="001736C4">
        <w:rPr>
          <w:rFonts w:ascii="Calibri" w:hAnsi="Calibri" w:cs="Calibri"/>
          <w:sz w:val="20"/>
        </w:rPr>
        <w:t xml:space="preserve">, </w:t>
      </w:r>
      <w:r w:rsidRPr="001736C4">
        <w:rPr>
          <w:rFonts w:ascii="Calibri" w:hAnsi="Calibri" w:cs="Calibri"/>
          <w:i/>
          <w:iCs/>
          <w:sz w:val="20"/>
        </w:rPr>
        <w:t>54</w:t>
      </w:r>
      <w:r w:rsidRPr="001736C4">
        <w:rPr>
          <w:rFonts w:ascii="Calibri" w:hAnsi="Calibri" w:cs="Calibri"/>
          <w:sz w:val="20"/>
        </w:rPr>
        <w:t>(4), 256–266. https://doi.org/10.1016/j.resconrec.2009.08.008</w:t>
      </w:r>
    </w:p>
    <w:p w14:paraId="5485AAB2"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Kallitsis, E., Korre, A., &amp; Kelsall, G. H. (2022). Life cycle assessment of recycling options for automotive Li-ion battery packs. </w:t>
      </w:r>
      <w:r w:rsidRPr="001736C4">
        <w:rPr>
          <w:rFonts w:ascii="Calibri" w:hAnsi="Calibri" w:cs="Calibri"/>
          <w:i/>
          <w:iCs/>
          <w:sz w:val="20"/>
        </w:rPr>
        <w:t>Journal of Cleaner Production</w:t>
      </w:r>
      <w:r w:rsidRPr="001736C4">
        <w:rPr>
          <w:rFonts w:ascii="Calibri" w:hAnsi="Calibri" w:cs="Calibri"/>
          <w:sz w:val="20"/>
        </w:rPr>
        <w:t xml:space="preserve">, </w:t>
      </w:r>
      <w:r w:rsidRPr="001736C4">
        <w:rPr>
          <w:rFonts w:ascii="Calibri" w:hAnsi="Calibri" w:cs="Calibri"/>
          <w:i/>
          <w:iCs/>
          <w:sz w:val="20"/>
        </w:rPr>
        <w:t>371</w:t>
      </w:r>
      <w:r w:rsidRPr="001736C4">
        <w:rPr>
          <w:rFonts w:ascii="Calibri" w:hAnsi="Calibri" w:cs="Calibri"/>
          <w:sz w:val="20"/>
        </w:rPr>
        <w:t>, 133636. https://doi.org/10.1016/j.jclepro.2022.133636</w:t>
      </w:r>
    </w:p>
    <w:p w14:paraId="26F26487"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Khakmardan, S., Crawford, R. H., Giurco, D., &amp; Li, W. (2025). Constructing a life cycle inventory of Spodumene concentrate production: Greenbushes case, Western Australia. </w:t>
      </w:r>
      <w:r w:rsidRPr="001736C4">
        <w:rPr>
          <w:rFonts w:ascii="Calibri" w:hAnsi="Calibri" w:cs="Calibri"/>
          <w:i/>
          <w:iCs/>
          <w:sz w:val="20"/>
        </w:rPr>
        <w:t>Journal of Cleaner Production</w:t>
      </w:r>
      <w:r w:rsidRPr="001736C4">
        <w:rPr>
          <w:rFonts w:ascii="Calibri" w:hAnsi="Calibri" w:cs="Calibri"/>
          <w:sz w:val="20"/>
        </w:rPr>
        <w:t>, 145123. https://doi.org/10.1016/j.jclepro.2025.145123</w:t>
      </w:r>
    </w:p>
    <w:p w14:paraId="3C075E2B"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Lai, F., Laurent, F., Beylot, A., &amp; Villeneuve, J. (2021). Solving multifunctionality in the carbon footprint assessment of primary metals production: Comparison of different approaches. </w:t>
      </w:r>
      <w:r w:rsidRPr="001736C4">
        <w:rPr>
          <w:rFonts w:ascii="Calibri" w:hAnsi="Calibri" w:cs="Calibri"/>
          <w:i/>
          <w:iCs/>
          <w:sz w:val="20"/>
        </w:rPr>
        <w:t>Minerals Engineering</w:t>
      </w:r>
      <w:r w:rsidRPr="001736C4">
        <w:rPr>
          <w:rFonts w:ascii="Calibri" w:hAnsi="Calibri" w:cs="Calibri"/>
          <w:sz w:val="20"/>
        </w:rPr>
        <w:t xml:space="preserve">, </w:t>
      </w:r>
      <w:r w:rsidRPr="001736C4">
        <w:rPr>
          <w:rFonts w:ascii="Calibri" w:hAnsi="Calibri" w:cs="Calibri"/>
          <w:i/>
          <w:iCs/>
          <w:sz w:val="20"/>
        </w:rPr>
        <w:t>170</w:t>
      </w:r>
      <w:r w:rsidRPr="001736C4">
        <w:rPr>
          <w:rFonts w:ascii="Calibri" w:hAnsi="Calibri" w:cs="Calibri"/>
          <w:sz w:val="20"/>
        </w:rPr>
        <w:t>, 107053. https://doi.org/10.1016/j.mineng.2021.107053</w:t>
      </w:r>
    </w:p>
    <w:p w14:paraId="01B46A45"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Northey, S., Haque, N., &amp; Mudd, G. (2013). Using sustainability reporting to assess the environmental footprint of copper mining. </w:t>
      </w:r>
      <w:r w:rsidRPr="001736C4">
        <w:rPr>
          <w:rFonts w:ascii="Calibri" w:hAnsi="Calibri" w:cs="Calibri"/>
          <w:i/>
          <w:iCs/>
          <w:sz w:val="20"/>
        </w:rPr>
        <w:t>Journal of Cleaner Production</w:t>
      </w:r>
      <w:r w:rsidRPr="001736C4">
        <w:rPr>
          <w:rFonts w:ascii="Calibri" w:hAnsi="Calibri" w:cs="Calibri"/>
          <w:sz w:val="20"/>
        </w:rPr>
        <w:t xml:space="preserve">, </w:t>
      </w:r>
      <w:r w:rsidRPr="001736C4">
        <w:rPr>
          <w:rFonts w:ascii="Calibri" w:hAnsi="Calibri" w:cs="Calibri"/>
          <w:i/>
          <w:iCs/>
          <w:sz w:val="20"/>
        </w:rPr>
        <w:t>40</w:t>
      </w:r>
      <w:r w:rsidRPr="001736C4">
        <w:rPr>
          <w:rFonts w:ascii="Calibri" w:hAnsi="Calibri" w:cs="Calibri"/>
          <w:sz w:val="20"/>
        </w:rPr>
        <w:t>, 118–128. https://doi.org/10.1016/j.jclepro.2012.09.027</w:t>
      </w:r>
    </w:p>
    <w:p w14:paraId="015D99F5"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Roy, S., Moustafa, H., Vaidya, K., Harvey, J.-P., &amp; Fradette, L. (2025). </w:t>
      </w:r>
      <w:r w:rsidRPr="001736C4">
        <w:rPr>
          <w:rFonts w:ascii="Calibri" w:hAnsi="Calibri" w:cs="Calibri"/>
          <w:i/>
          <w:iCs/>
          <w:sz w:val="20"/>
        </w:rPr>
        <w:t>On process-based granular reconstruction of life cycle inventories: Sustainably coherent planning of primary battery-grade nickel</w:t>
      </w:r>
      <w:r w:rsidRPr="001736C4">
        <w:rPr>
          <w:rFonts w:ascii="Calibri" w:hAnsi="Calibri" w:cs="Calibri"/>
          <w:sz w:val="20"/>
        </w:rPr>
        <w:t>. https://doi.org/10.1038/s44296-025-00059-7</w:t>
      </w:r>
    </w:p>
    <w:p w14:paraId="7EE80B04"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Sacchi, R., Terlouw, T., Siala, K., Dirnaichner, A., Bauer, C., Cox, B., Mutel, C., Daioglou, V., &amp; Luderer, G. (2022). PRospective EnvironMental Impact asSEment (premise): A streamlined approach to producing databases for prospective life cycle assessment using integrated assessment models. </w:t>
      </w:r>
      <w:r w:rsidRPr="001736C4">
        <w:rPr>
          <w:rFonts w:ascii="Calibri" w:hAnsi="Calibri" w:cs="Calibri"/>
          <w:i/>
          <w:iCs/>
          <w:sz w:val="20"/>
        </w:rPr>
        <w:t>Renewable and Sustainable Energy Reviews</w:t>
      </w:r>
      <w:r w:rsidRPr="001736C4">
        <w:rPr>
          <w:rFonts w:ascii="Calibri" w:hAnsi="Calibri" w:cs="Calibri"/>
          <w:sz w:val="20"/>
        </w:rPr>
        <w:t xml:space="preserve">, </w:t>
      </w:r>
      <w:r w:rsidRPr="001736C4">
        <w:rPr>
          <w:rFonts w:ascii="Calibri" w:hAnsi="Calibri" w:cs="Calibri"/>
          <w:i/>
          <w:iCs/>
          <w:sz w:val="20"/>
        </w:rPr>
        <w:t>160</w:t>
      </w:r>
      <w:r w:rsidRPr="001736C4">
        <w:rPr>
          <w:rFonts w:ascii="Calibri" w:hAnsi="Calibri" w:cs="Calibri"/>
          <w:sz w:val="20"/>
        </w:rPr>
        <w:t>, 112311. https://doi.org/10.1016/j.rser.2022.112311</w:t>
      </w:r>
    </w:p>
    <w:p w14:paraId="26FBA670"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Schenker, V., &amp; Pfister, S. (2025). Current and Future Impacts of Lithium Carbonate from Brines: A Global Regionalized Life Cycle Assessment Model. </w:t>
      </w:r>
      <w:r w:rsidRPr="001736C4">
        <w:rPr>
          <w:rFonts w:ascii="Calibri" w:hAnsi="Calibri" w:cs="Calibri"/>
          <w:i/>
          <w:iCs/>
          <w:sz w:val="20"/>
        </w:rPr>
        <w:t>Environmental Science &amp; Technology</w:t>
      </w:r>
      <w:r w:rsidRPr="001736C4">
        <w:rPr>
          <w:rFonts w:ascii="Calibri" w:hAnsi="Calibri" w:cs="Calibri"/>
          <w:sz w:val="20"/>
        </w:rPr>
        <w:t xml:space="preserve">, </w:t>
      </w:r>
      <w:r w:rsidRPr="001736C4">
        <w:rPr>
          <w:rFonts w:ascii="Calibri" w:hAnsi="Calibri" w:cs="Calibri"/>
          <w:i/>
          <w:iCs/>
          <w:sz w:val="20"/>
        </w:rPr>
        <w:t>59</w:t>
      </w:r>
      <w:r w:rsidRPr="001736C4">
        <w:rPr>
          <w:rFonts w:ascii="Calibri" w:hAnsi="Calibri" w:cs="Calibri"/>
          <w:sz w:val="20"/>
        </w:rPr>
        <w:t>(13), 6543–6555. https://doi.org/10.1021/acs.est.4c12619</w:t>
      </w:r>
    </w:p>
    <w:p w14:paraId="1F2CE571"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Steubing, B., &amp; de Koning, D. (2021). Making the use of scenarios in LCA easier: The superstructure approach. </w:t>
      </w:r>
      <w:r w:rsidRPr="001736C4">
        <w:rPr>
          <w:rFonts w:ascii="Calibri" w:hAnsi="Calibri" w:cs="Calibri"/>
          <w:i/>
          <w:iCs/>
          <w:sz w:val="20"/>
        </w:rPr>
        <w:t>The International Journal of Life Cycle Assessment</w:t>
      </w:r>
      <w:r w:rsidRPr="001736C4">
        <w:rPr>
          <w:rFonts w:ascii="Calibri" w:hAnsi="Calibri" w:cs="Calibri"/>
          <w:sz w:val="20"/>
        </w:rPr>
        <w:t xml:space="preserve">, </w:t>
      </w:r>
      <w:r w:rsidRPr="001736C4">
        <w:rPr>
          <w:rFonts w:ascii="Calibri" w:hAnsi="Calibri" w:cs="Calibri"/>
          <w:i/>
          <w:iCs/>
          <w:sz w:val="20"/>
        </w:rPr>
        <w:t>26</w:t>
      </w:r>
      <w:r w:rsidRPr="001736C4">
        <w:rPr>
          <w:rFonts w:ascii="Calibri" w:hAnsi="Calibri" w:cs="Calibri"/>
          <w:sz w:val="20"/>
        </w:rPr>
        <w:t>(11), 2248–2262. https://doi.org/10.1007/s11367-021-01974-2</w:t>
      </w:r>
    </w:p>
    <w:p w14:paraId="186ACFDC" w14:textId="77777777" w:rsidR="001736C4" w:rsidRPr="001736C4" w:rsidRDefault="001736C4" w:rsidP="00DD4F13">
      <w:pPr>
        <w:pStyle w:val="Bibliography"/>
        <w:spacing w:line="276" w:lineRule="auto"/>
        <w:rPr>
          <w:rFonts w:ascii="Calibri" w:hAnsi="Calibri" w:cs="Calibri"/>
          <w:sz w:val="20"/>
        </w:rPr>
      </w:pPr>
      <w:r w:rsidRPr="00B6121D">
        <w:rPr>
          <w:rFonts w:ascii="Calibri" w:hAnsi="Calibri" w:cs="Calibri"/>
          <w:sz w:val="20"/>
          <w:lang w:val="nl-NL"/>
        </w:rPr>
        <w:t xml:space="preserve">Steubing, B., Koning, D. de, Haas, A., &amp; Mutel, C. L. (2020). </w:t>
      </w:r>
      <w:r w:rsidRPr="001736C4">
        <w:rPr>
          <w:rFonts w:ascii="Calibri" w:hAnsi="Calibri" w:cs="Calibri"/>
          <w:sz w:val="20"/>
        </w:rPr>
        <w:t xml:space="preserve">The Activity Browser—An open source LCA software building on top of the brightway framework. </w:t>
      </w:r>
      <w:r w:rsidRPr="001736C4">
        <w:rPr>
          <w:rFonts w:ascii="Calibri" w:hAnsi="Calibri" w:cs="Calibri"/>
          <w:i/>
          <w:iCs/>
          <w:sz w:val="20"/>
        </w:rPr>
        <w:t>Software Impacts</w:t>
      </w:r>
      <w:r w:rsidRPr="001736C4">
        <w:rPr>
          <w:rFonts w:ascii="Calibri" w:hAnsi="Calibri" w:cs="Calibri"/>
          <w:sz w:val="20"/>
        </w:rPr>
        <w:t xml:space="preserve">, </w:t>
      </w:r>
      <w:r w:rsidRPr="001736C4">
        <w:rPr>
          <w:rFonts w:ascii="Calibri" w:hAnsi="Calibri" w:cs="Calibri"/>
          <w:i/>
          <w:iCs/>
          <w:sz w:val="20"/>
        </w:rPr>
        <w:t>3</w:t>
      </w:r>
      <w:r w:rsidRPr="001736C4">
        <w:rPr>
          <w:rFonts w:ascii="Calibri" w:hAnsi="Calibri" w:cs="Calibri"/>
          <w:sz w:val="20"/>
        </w:rPr>
        <w:t>. https://doi.org/10.1016/j.simpa.2019.100012</w:t>
      </w:r>
    </w:p>
    <w:p w14:paraId="391E083A"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van der Meide, M., Harpprecht, C., Northey, S., Yang, Y., &amp; Steubing, B. (2022). Effects of the energy transition on environmental impacts of cobalt supply: A prospective life cycle assessment study on future supply of cobalt. </w:t>
      </w:r>
      <w:r w:rsidRPr="001736C4">
        <w:rPr>
          <w:rFonts w:ascii="Calibri" w:hAnsi="Calibri" w:cs="Calibri"/>
          <w:i/>
          <w:iCs/>
          <w:sz w:val="20"/>
        </w:rPr>
        <w:t>Journal of Industrial Ecology</w:t>
      </w:r>
      <w:r w:rsidRPr="001736C4">
        <w:rPr>
          <w:rFonts w:ascii="Calibri" w:hAnsi="Calibri" w:cs="Calibri"/>
          <w:sz w:val="20"/>
        </w:rPr>
        <w:t xml:space="preserve">, </w:t>
      </w:r>
      <w:r w:rsidRPr="001736C4">
        <w:rPr>
          <w:rFonts w:ascii="Calibri" w:hAnsi="Calibri" w:cs="Calibri"/>
          <w:i/>
          <w:iCs/>
          <w:sz w:val="20"/>
        </w:rPr>
        <w:t>26</w:t>
      </w:r>
      <w:r w:rsidRPr="001736C4">
        <w:rPr>
          <w:rFonts w:ascii="Calibri" w:hAnsi="Calibri" w:cs="Calibri"/>
          <w:sz w:val="20"/>
        </w:rPr>
        <w:t>(5), 1631–1645. https://doi.org/10.1111/jiec.13258</w:t>
      </w:r>
    </w:p>
    <w:p w14:paraId="502E7B4D"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Weng, Z., Haque, N., Mudd, G. M., &amp; Jowitt, S. M. (2016). Assessing the energy requirements and global warming potential of the production of rare earth elements. </w:t>
      </w:r>
      <w:r w:rsidRPr="001736C4">
        <w:rPr>
          <w:rFonts w:ascii="Calibri" w:hAnsi="Calibri" w:cs="Calibri"/>
          <w:i/>
          <w:iCs/>
          <w:sz w:val="20"/>
        </w:rPr>
        <w:t>Journal of Cleaner Production</w:t>
      </w:r>
      <w:r w:rsidRPr="001736C4">
        <w:rPr>
          <w:rFonts w:ascii="Calibri" w:hAnsi="Calibri" w:cs="Calibri"/>
          <w:sz w:val="20"/>
        </w:rPr>
        <w:t xml:space="preserve">, </w:t>
      </w:r>
      <w:r w:rsidRPr="001736C4">
        <w:rPr>
          <w:rFonts w:ascii="Calibri" w:hAnsi="Calibri" w:cs="Calibri"/>
          <w:i/>
          <w:iCs/>
          <w:sz w:val="20"/>
        </w:rPr>
        <w:t>139</w:t>
      </w:r>
      <w:r w:rsidRPr="001736C4">
        <w:rPr>
          <w:rFonts w:ascii="Calibri" w:hAnsi="Calibri" w:cs="Calibri"/>
          <w:sz w:val="20"/>
        </w:rPr>
        <w:t>, 1282–1297. https://doi.org/10.1016/j.jclepro.2016.08.132</w:t>
      </w:r>
    </w:p>
    <w:p w14:paraId="223D17D6" w14:textId="77777777" w:rsidR="001736C4" w:rsidRPr="001736C4" w:rsidRDefault="001736C4" w:rsidP="00DD4F13">
      <w:pPr>
        <w:pStyle w:val="Bibliography"/>
        <w:spacing w:line="276" w:lineRule="auto"/>
        <w:rPr>
          <w:rFonts w:ascii="Calibri" w:hAnsi="Calibri" w:cs="Calibri"/>
          <w:sz w:val="20"/>
        </w:rPr>
      </w:pPr>
      <w:r w:rsidRPr="001736C4">
        <w:rPr>
          <w:rFonts w:ascii="Calibri" w:hAnsi="Calibri" w:cs="Calibri"/>
          <w:sz w:val="20"/>
        </w:rPr>
        <w:t xml:space="preserve">Wernet, G., Bauer, C., Steubing, B., Reinhard, J., Moreno-Ruiz, E., &amp; Weidema, B. (2016). The ecoinvent database version 3 (part I): Overview and methodology. </w:t>
      </w:r>
      <w:r w:rsidRPr="001736C4">
        <w:rPr>
          <w:rFonts w:ascii="Calibri" w:hAnsi="Calibri" w:cs="Calibri"/>
          <w:i/>
          <w:iCs/>
          <w:sz w:val="20"/>
        </w:rPr>
        <w:t>The International Journal of Life Cycle Assessment</w:t>
      </w:r>
      <w:r w:rsidRPr="001736C4">
        <w:rPr>
          <w:rFonts w:ascii="Calibri" w:hAnsi="Calibri" w:cs="Calibri"/>
          <w:sz w:val="20"/>
        </w:rPr>
        <w:t xml:space="preserve">, </w:t>
      </w:r>
      <w:r w:rsidRPr="001736C4">
        <w:rPr>
          <w:rFonts w:ascii="Calibri" w:hAnsi="Calibri" w:cs="Calibri"/>
          <w:i/>
          <w:iCs/>
          <w:sz w:val="20"/>
        </w:rPr>
        <w:t>21</w:t>
      </w:r>
      <w:r w:rsidRPr="001736C4">
        <w:rPr>
          <w:rFonts w:ascii="Calibri" w:hAnsi="Calibri" w:cs="Calibri"/>
          <w:sz w:val="20"/>
        </w:rPr>
        <w:t>(9), 1218–1230. https://doi.org/10.1007/s11367-016-1087-8</w:t>
      </w:r>
    </w:p>
    <w:p w14:paraId="56F2D330" w14:textId="1D70D928" w:rsidR="00CB6B5E" w:rsidRPr="003F1ADA" w:rsidRDefault="00CB6B5E" w:rsidP="00CB3970">
      <w:pPr>
        <w:spacing w:after="0"/>
        <w:jc w:val="both"/>
        <w:rPr>
          <w:rFonts w:ascii="Calibri" w:hAnsi="Calibri" w:cs="Calibri"/>
          <w:sz w:val="20"/>
          <w:szCs w:val="20"/>
        </w:rPr>
      </w:pPr>
    </w:p>
    <w:sectPr w:rsidR="00CB6B5E" w:rsidRPr="003F1ADA" w:rsidSect="005753E0">
      <w:footerReference w:type="even" r:id="rId14"/>
      <w:footerReference w:type="default" r:id="rId15"/>
      <w:footerReference w:type="first" r:id="rId16"/>
      <w:pgSz w:w="11906" w:h="16838"/>
      <w:pgMar w:top="1440" w:right="1009" w:bottom="1440" w:left="1009"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F2D1" w14:textId="77777777" w:rsidR="00731BFE" w:rsidRDefault="00731BFE" w:rsidP="00507823">
      <w:pPr>
        <w:spacing w:after="0" w:line="240" w:lineRule="auto"/>
      </w:pPr>
      <w:r>
        <w:separator/>
      </w:r>
    </w:p>
  </w:endnote>
  <w:endnote w:type="continuationSeparator" w:id="0">
    <w:p w14:paraId="2FAF7CD0" w14:textId="77777777" w:rsidR="00731BFE" w:rsidRDefault="00731BFE" w:rsidP="0050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F957" w14:textId="56604B1A" w:rsidR="00507823" w:rsidRDefault="00507823">
    <w:pPr>
      <w:pStyle w:val="Footer"/>
    </w:pPr>
    <w:r>
      <w:rPr>
        <w:noProof/>
        <w14:ligatures w14:val="standardContextual"/>
      </w:rPr>
      <mc:AlternateContent>
        <mc:Choice Requires="wps">
          <w:drawing>
            <wp:anchor distT="0" distB="0" distL="0" distR="0" simplePos="0" relativeHeight="251658241" behindDoc="0" locked="0" layoutInCell="1" allowOverlap="1" wp14:anchorId="472DFEF5" wp14:editId="489EA33D">
              <wp:simplePos x="635" y="635"/>
              <wp:positionH relativeFrom="page">
                <wp:align>left</wp:align>
              </wp:positionH>
              <wp:positionV relativeFrom="page">
                <wp:align>bottom</wp:align>
              </wp:positionV>
              <wp:extent cx="1743075" cy="357505"/>
              <wp:effectExtent l="0" t="0" r="9525" b="0"/>
              <wp:wrapNone/>
              <wp:docPr id="1017598342"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57505"/>
                      </a:xfrm>
                      <a:prstGeom prst="rect">
                        <a:avLst/>
                      </a:prstGeom>
                      <a:noFill/>
                      <a:ln>
                        <a:noFill/>
                      </a:ln>
                    </wps:spPr>
                    <wps:txbx>
                      <w:txbxContent>
                        <w:p w14:paraId="48960CDA" w14:textId="3F77D99E" w:rsidR="00507823" w:rsidRPr="00507823" w:rsidRDefault="00507823" w:rsidP="00507823">
                          <w:pPr>
                            <w:spacing w:after="0"/>
                            <w:rPr>
                              <w:rFonts w:ascii="Calibri" w:eastAsia="Calibri" w:hAnsi="Calibri" w:cs="Calibri"/>
                              <w:noProof/>
                              <w:color w:val="000000"/>
                              <w:sz w:val="20"/>
                              <w:szCs w:val="20"/>
                            </w:rPr>
                          </w:pPr>
                          <w:r w:rsidRPr="00507823">
                            <w:rPr>
                              <w:rFonts w:ascii="Calibri" w:eastAsia="Calibri" w:hAnsi="Calibri" w:cs="Calibri"/>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2DFEF5" id="_x0000_t202" coordsize="21600,21600" o:spt="202" path="m,l,21600r21600,l21600,xe">
              <v:stroke joinstyle="miter"/>
              <v:path gradientshapeok="t" o:connecttype="rect"/>
            </v:shapetype>
            <v:shape id="Text Box 2" o:spid="_x0000_s1026" type="#_x0000_t202" alt="Classified as Internal | Intern" style="position:absolute;margin-left:0;margin-top:0;width:137.2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" filled="f" stroked="f">
              <v:textbox style="mso-fit-shape-to-text:t" inset="20pt,0,0,15pt">
                <w:txbxContent>
                  <w:p w14:paraId="48960CDA" w14:textId="3F77D99E" w:rsidR="00507823" w:rsidRPr="00507823" w:rsidRDefault="00507823" w:rsidP="00507823">
                    <w:pPr>
                      <w:spacing w:after="0"/>
                      <w:rPr>
                        <w:rFonts w:ascii="Calibri" w:eastAsia="Calibri" w:hAnsi="Calibri" w:cs="Calibri"/>
                        <w:noProof/>
                        <w:color w:val="000000"/>
                        <w:sz w:val="20"/>
                        <w:szCs w:val="20"/>
                      </w:rPr>
                    </w:pPr>
                    <w:r w:rsidRPr="00507823">
                      <w:rPr>
                        <w:rFonts w:ascii="Calibri" w:eastAsia="Calibri" w:hAnsi="Calibri" w:cs="Calibri"/>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257897"/>
      <w:docPartObj>
        <w:docPartGallery w:val="Page Numbers (Bottom of Page)"/>
        <w:docPartUnique/>
      </w:docPartObj>
    </w:sdtPr>
    <w:sdtEndPr>
      <w:rPr>
        <w:noProof/>
      </w:rPr>
    </w:sdtEndPr>
    <w:sdtContent>
      <w:p w14:paraId="3B7DE6A6" w14:textId="60618F44" w:rsidR="002949D2" w:rsidRDefault="002949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6E241" w14:textId="77777777" w:rsidR="002949D2" w:rsidRDefault="00294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59F4" w14:textId="326BF0DF" w:rsidR="00507823" w:rsidRDefault="00507823">
    <w:pPr>
      <w:pStyle w:val="Footer"/>
    </w:pPr>
    <w:r>
      <w:rPr>
        <w:noProof/>
        <w14:ligatures w14:val="standardContextual"/>
      </w:rPr>
      <mc:AlternateContent>
        <mc:Choice Requires="wps">
          <w:drawing>
            <wp:anchor distT="0" distB="0" distL="0" distR="0" simplePos="0" relativeHeight="251658240" behindDoc="0" locked="0" layoutInCell="1" allowOverlap="1" wp14:anchorId="72046C75" wp14:editId="1D150129">
              <wp:simplePos x="635" y="635"/>
              <wp:positionH relativeFrom="page">
                <wp:align>left</wp:align>
              </wp:positionH>
              <wp:positionV relativeFrom="page">
                <wp:align>bottom</wp:align>
              </wp:positionV>
              <wp:extent cx="1743075" cy="357505"/>
              <wp:effectExtent l="0" t="0" r="9525" b="0"/>
              <wp:wrapNone/>
              <wp:docPr id="1049655733"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57505"/>
                      </a:xfrm>
                      <a:prstGeom prst="rect">
                        <a:avLst/>
                      </a:prstGeom>
                      <a:noFill/>
                      <a:ln>
                        <a:noFill/>
                      </a:ln>
                    </wps:spPr>
                    <wps:txbx>
                      <w:txbxContent>
                        <w:p w14:paraId="21DE7CE4" w14:textId="6F6A0520" w:rsidR="00507823" w:rsidRPr="00507823" w:rsidRDefault="00507823" w:rsidP="00507823">
                          <w:pPr>
                            <w:spacing w:after="0"/>
                            <w:rPr>
                              <w:rFonts w:ascii="Calibri" w:eastAsia="Calibri" w:hAnsi="Calibri" w:cs="Calibri"/>
                              <w:noProof/>
                              <w:color w:val="000000"/>
                              <w:sz w:val="20"/>
                              <w:szCs w:val="20"/>
                            </w:rPr>
                          </w:pPr>
                          <w:r w:rsidRPr="00507823">
                            <w:rPr>
                              <w:rFonts w:ascii="Calibri" w:eastAsia="Calibri" w:hAnsi="Calibri" w:cs="Calibri"/>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046C75" id="_x0000_t202" coordsize="21600,21600" o:spt="202" path="m,l,21600r21600,l21600,xe">
              <v:stroke joinstyle="miter"/>
              <v:path gradientshapeok="t" o:connecttype="rect"/>
            </v:shapetype>
            <v:shape id="Text Box 1" o:spid="_x0000_s1027" type="#_x0000_t202" alt="Classified as Internal | Intern" style="position:absolute;margin-left:0;margin-top:0;width:137.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" filled="f" stroked="f">
              <v:textbox style="mso-fit-shape-to-text:t" inset="20pt,0,0,15pt">
                <w:txbxContent>
                  <w:p w14:paraId="21DE7CE4" w14:textId="6F6A0520" w:rsidR="00507823" w:rsidRPr="00507823" w:rsidRDefault="00507823" w:rsidP="00507823">
                    <w:pPr>
                      <w:spacing w:after="0"/>
                      <w:rPr>
                        <w:rFonts w:ascii="Calibri" w:eastAsia="Calibri" w:hAnsi="Calibri" w:cs="Calibri"/>
                        <w:noProof/>
                        <w:color w:val="000000"/>
                        <w:sz w:val="20"/>
                        <w:szCs w:val="20"/>
                      </w:rPr>
                    </w:pPr>
                    <w:r w:rsidRPr="00507823">
                      <w:rPr>
                        <w:rFonts w:ascii="Calibri" w:eastAsia="Calibri" w:hAnsi="Calibri" w:cs="Calibri"/>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73EF" w14:textId="77777777" w:rsidR="00731BFE" w:rsidRDefault="00731BFE" w:rsidP="00507823">
      <w:pPr>
        <w:spacing w:after="0" w:line="240" w:lineRule="auto"/>
      </w:pPr>
      <w:r>
        <w:separator/>
      </w:r>
    </w:p>
  </w:footnote>
  <w:footnote w:type="continuationSeparator" w:id="0">
    <w:p w14:paraId="68E58C28" w14:textId="77777777" w:rsidR="00731BFE" w:rsidRDefault="00731BFE" w:rsidP="00507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7708"/>
    <w:multiLevelType w:val="hybridMultilevel"/>
    <w:tmpl w:val="6A56C6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5869D1"/>
    <w:multiLevelType w:val="hybridMultilevel"/>
    <w:tmpl w:val="8CBA26C8"/>
    <w:lvl w:ilvl="0" w:tplc="A55C59CE">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3F95879"/>
    <w:multiLevelType w:val="hybridMultilevel"/>
    <w:tmpl w:val="DEF03030"/>
    <w:lvl w:ilvl="0" w:tplc="A55C59CE">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5176B6E"/>
    <w:multiLevelType w:val="multilevel"/>
    <w:tmpl w:val="6AA8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914914">
    <w:abstractNumId w:val="0"/>
  </w:num>
  <w:num w:numId="2" w16cid:durableId="1080248189">
    <w:abstractNumId w:val="1"/>
  </w:num>
  <w:num w:numId="3" w16cid:durableId="583997075">
    <w:abstractNumId w:val="2"/>
  </w:num>
  <w:num w:numId="4" w16cid:durableId="2034383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38"/>
    <w:rsid w:val="00007A3C"/>
    <w:rsid w:val="000146AA"/>
    <w:rsid w:val="00020E66"/>
    <w:rsid w:val="000260CE"/>
    <w:rsid w:val="00026DB5"/>
    <w:rsid w:val="00035095"/>
    <w:rsid w:val="00040C9D"/>
    <w:rsid w:val="000461B8"/>
    <w:rsid w:val="000801A5"/>
    <w:rsid w:val="00081E4A"/>
    <w:rsid w:val="0009169B"/>
    <w:rsid w:val="00096173"/>
    <w:rsid w:val="000B2E02"/>
    <w:rsid w:val="000B54F3"/>
    <w:rsid w:val="000C01AA"/>
    <w:rsid w:val="000C2B15"/>
    <w:rsid w:val="000F06C6"/>
    <w:rsid w:val="000F5919"/>
    <w:rsid w:val="0012208D"/>
    <w:rsid w:val="001278B1"/>
    <w:rsid w:val="001334CC"/>
    <w:rsid w:val="00164234"/>
    <w:rsid w:val="001736C4"/>
    <w:rsid w:val="001A402B"/>
    <w:rsid w:val="001E180E"/>
    <w:rsid w:val="001F6271"/>
    <w:rsid w:val="00231E47"/>
    <w:rsid w:val="002357E1"/>
    <w:rsid w:val="0024044E"/>
    <w:rsid w:val="00250A57"/>
    <w:rsid w:val="00271DDB"/>
    <w:rsid w:val="00284069"/>
    <w:rsid w:val="0028669E"/>
    <w:rsid w:val="002949D2"/>
    <w:rsid w:val="002A08F2"/>
    <w:rsid w:val="002A5E98"/>
    <w:rsid w:val="002C090D"/>
    <w:rsid w:val="002C4AB7"/>
    <w:rsid w:val="002D307A"/>
    <w:rsid w:val="0030160E"/>
    <w:rsid w:val="003073B1"/>
    <w:rsid w:val="003579A1"/>
    <w:rsid w:val="0036634C"/>
    <w:rsid w:val="00366688"/>
    <w:rsid w:val="003A3DEF"/>
    <w:rsid w:val="003C1C36"/>
    <w:rsid w:val="003C3666"/>
    <w:rsid w:val="003C7C7A"/>
    <w:rsid w:val="003D5B13"/>
    <w:rsid w:val="003E2BCE"/>
    <w:rsid w:val="003F1ADA"/>
    <w:rsid w:val="004041F3"/>
    <w:rsid w:val="00405566"/>
    <w:rsid w:val="00407ECE"/>
    <w:rsid w:val="0041700E"/>
    <w:rsid w:val="004218F7"/>
    <w:rsid w:val="00447F8C"/>
    <w:rsid w:val="00455E62"/>
    <w:rsid w:val="00474D08"/>
    <w:rsid w:val="004B131D"/>
    <w:rsid w:val="004B1B24"/>
    <w:rsid w:val="004B1F09"/>
    <w:rsid w:val="004C5592"/>
    <w:rsid w:val="004D1436"/>
    <w:rsid w:val="004D1E9E"/>
    <w:rsid w:val="004E378E"/>
    <w:rsid w:val="004E4228"/>
    <w:rsid w:val="005062AB"/>
    <w:rsid w:val="005076F1"/>
    <w:rsid w:val="00507823"/>
    <w:rsid w:val="00511A39"/>
    <w:rsid w:val="00513026"/>
    <w:rsid w:val="00526036"/>
    <w:rsid w:val="00550F28"/>
    <w:rsid w:val="005608C7"/>
    <w:rsid w:val="0056396A"/>
    <w:rsid w:val="005753E0"/>
    <w:rsid w:val="00587FED"/>
    <w:rsid w:val="00590638"/>
    <w:rsid w:val="00594E05"/>
    <w:rsid w:val="005A3035"/>
    <w:rsid w:val="005A3674"/>
    <w:rsid w:val="005B1702"/>
    <w:rsid w:val="005B4C93"/>
    <w:rsid w:val="005C2D52"/>
    <w:rsid w:val="005C4B6A"/>
    <w:rsid w:val="005D1B15"/>
    <w:rsid w:val="005D25A5"/>
    <w:rsid w:val="005D31ED"/>
    <w:rsid w:val="005D3AAC"/>
    <w:rsid w:val="005E0E5E"/>
    <w:rsid w:val="005E122B"/>
    <w:rsid w:val="00602EDB"/>
    <w:rsid w:val="006127AF"/>
    <w:rsid w:val="006163B9"/>
    <w:rsid w:val="00621B1C"/>
    <w:rsid w:val="00635AFB"/>
    <w:rsid w:val="00655C90"/>
    <w:rsid w:val="00655F52"/>
    <w:rsid w:val="006774E7"/>
    <w:rsid w:val="006833A2"/>
    <w:rsid w:val="0068848A"/>
    <w:rsid w:val="00696567"/>
    <w:rsid w:val="0069682C"/>
    <w:rsid w:val="006A06C4"/>
    <w:rsid w:val="006C078E"/>
    <w:rsid w:val="006E2ADC"/>
    <w:rsid w:val="006E7B42"/>
    <w:rsid w:val="006F14C8"/>
    <w:rsid w:val="006F58E8"/>
    <w:rsid w:val="00701BAB"/>
    <w:rsid w:val="00712FFD"/>
    <w:rsid w:val="007219BE"/>
    <w:rsid w:val="00731BFE"/>
    <w:rsid w:val="00740351"/>
    <w:rsid w:val="007548B8"/>
    <w:rsid w:val="00784834"/>
    <w:rsid w:val="00790E66"/>
    <w:rsid w:val="00792E9C"/>
    <w:rsid w:val="007E6794"/>
    <w:rsid w:val="00831A1C"/>
    <w:rsid w:val="008340A9"/>
    <w:rsid w:val="008358F3"/>
    <w:rsid w:val="00844052"/>
    <w:rsid w:val="00857178"/>
    <w:rsid w:val="008912D7"/>
    <w:rsid w:val="008A0CB9"/>
    <w:rsid w:val="008A6654"/>
    <w:rsid w:val="008C0E5B"/>
    <w:rsid w:val="008F3994"/>
    <w:rsid w:val="008F73A8"/>
    <w:rsid w:val="00925C83"/>
    <w:rsid w:val="00926FC9"/>
    <w:rsid w:val="00941604"/>
    <w:rsid w:val="00945ADA"/>
    <w:rsid w:val="00957EA2"/>
    <w:rsid w:val="00962ED1"/>
    <w:rsid w:val="00982505"/>
    <w:rsid w:val="009931D0"/>
    <w:rsid w:val="00995E8B"/>
    <w:rsid w:val="009965FF"/>
    <w:rsid w:val="009B2535"/>
    <w:rsid w:val="009B74C6"/>
    <w:rsid w:val="009C22CC"/>
    <w:rsid w:val="009C2860"/>
    <w:rsid w:val="009D388F"/>
    <w:rsid w:val="009E380B"/>
    <w:rsid w:val="009E5777"/>
    <w:rsid w:val="009F3BBA"/>
    <w:rsid w:val="00A01703"/>
    <w:rsid w:val="00A215B7"/>
    <w:rsid w:val="00A22681"/>
    <w:rsid w:val="00A25B39"/>
    <w:rsid w:val="00A31E6A"/>
    <w:rsid w:val="00A40E44"/>
    <w:rsid w:val="00A46438"/>
    <w:rsid w:val="00A601F2"/>
    <w:rsid w:val="00A90866"/>
    <w:rsid w:val="00AC22E4"/>
    <w:rsid w:val="00AC24EC"/>
    <w:rsid w:val="00AE0EB8"/>
    <w:rsid w:val="00AF1C5B"/>
    <w:rsid w:val="00B00668"/>
    <w:rsid w:val="00B021A1"/>
    <w:rsid w:val="00B32ED8"/>
    <w:rsid w:val="00B428C3"/>
    <w:rsid w:val="00B6121D"/>
    <w:rsid w:val="00B7154B"/>
    <w:rsid w:val="00B72BFF"/>
    <w:rsid w:val="00BA6C54"/>
    <w:rsid w:val="00BB6957"/>
    <w:rsid w:val="00BB7FF0"/>
    <w:rsid w:val="00BD7B5A"/>
    <w:rsid w:val="00BE54CD"/>
    <w:rsid w:val="00BF6207"/>
    <w:rsid w:val="00C06111"/>
    <w:rsid w:val="00C07331"/>
    <w:rsid w:val="00C214B8"/>
    <w:rsid w:val="00C43048"/>
    <w:rsid w:val="00C85E25"/>
    <w:rsid w:val="00C91B7D"/>
    <w:rsid w:val="00CA13B7"/>
    <w:rsid w:val="00CA1E35"/>
    <w:rsid w:val="00CB3970"/>
    <w:rsid w:val="00CB3C61"/>
    <w:rsid w:val="00CB6B5E"/>
    <w:rsid w:val="00CD5EC7"/>
    <w:rsid w:val="00D07348"/>
    <w:rsid w:val="00D2601C"/>
    <w:rsid w:val="00D26468"/>
    <w:rsid w:val="00D31765"/>
    <w:rsid w:val="00D577D9"/>
    <w:rsid w:val="00D65FF8"/>
    <w:rsid w:val="00D731A3"/>
    <w:rsid w:val="00D77D18"/>
    <w:rsid w:val="00D91D58"/>
    <w:rsid w:val="00D9230F"/>
    <w:rsid w:val="00D94FB2"/>
    <w:rsid w:val="00DC5341"/>
    <w:rsid w:val="00DD43C5"/>
    <w:rsid w:val="00DD4F13"/>
    <w:rsid w:val="00DF46AF"/>
    <w:rsid w:val="00E05E74"/>
    <w:rsid w:val="00E14946"/>
    <w:rsid w:val="00E20D68"/>
    <w:rsid w:val="00E26377"/>
    <w:rsid w:val="00E6046A"/>
    <w:rsid w:val="00E6662B"/>
    <w:rsid w:val="00EB38CE"/>
    <w:rsid w:val="00ED6A19"/>
    <w:rsid w:val="00EE1AFA"/>
    <w:rsid w:val="00F00AA3"/>
    <w:rsid w:val="00F0778E"/>
    <w:rsid w:val="00F16746"/>
    <w:rsid w:val="00F256DC"/>
    <w:rsid w:val="00F5215B"/>
    <w:rsid w:val="00F65FA6"/>
    <w:rsid w:val="00F972E9"/>
    <w:rsid w:val="00FA20E9"/>
    <w:rsid w:val="00FA487B"/>
    <w:rsid w:val="00FD0D14"/>
    <w:rsid w:val="00FD443C"/>
    <w:rsid w:val="00FE3D8E"/>
    <w:rsid w:val="00FE7DAC"/>
    <w:rsid w:val="00FF2F7A"/>
    <w:rsid w:val="103B549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415F"/>
  <w15:chartTrackingRefBased/>
  <w15:docId w15:val="{03E5680D-125E-4232-92C1-C611CEB0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DDB"/>
    <w:rPr>
      <w:kern w:val="0"/>
      <w:lang w:val="en-US"/>
      <w14:ligatures w14:val="none"/>
    </w:rPr>
  </w:style>
  <w:style w:type="paragraph" w:styleId="Heading1">
    <w:name w:val="heading 1"/>
    <w:basedOn w:val="Normal"/>
    <w:next w:val="Normal"/>
    <w:link w:val="Heading1Char"/>
    <w:uiPriority w:val="9"/>
    <w:qFormat/>
    <w:rsid w:val="00BE54CD"/>
    <w:pPr>
      <w:keepNext/>
      <w:keepLines/>
      <w:spacing w:before="360" w:after="80"/>
      <w:outlineLvl w:val="0"/>
    </w:pPr>
    <w:rPr>
      <w:rFonts w:ascii="Calibri" w:eastAsiaTheme="majorEastAsia" w:hAnsi="Calibri" w:cstheme="majorBidi"/>
      <w:kern w:val="2"/>
      <w:sz w:val="28"/>
      <w:szCs w:val="40"/>
      <w14:ligatures w14:val="standardContextual"/>
    </w:rPr>
  </w:style>
  <w:style w:type="paragraph" w:styleId="Heading2">
    <w:name w:val="heading 2"/>
    <w:basedOn w:val="Normal"/>
    <w:next w:val="Normal"/>
    <w:link w:val="Heading2Char"/>
    <w:uiPriority w:val="9"/>
    <w:unhideWhenUsed/>
    <w:qFormat/>
    <w:rsid w:val="006127AF"/>
    <w:pPr>
      <w:keepNext/>
      <w:keepLines/>
      <w:spacing w:before="160" w:after="80"/>
      <w:outlineLvl w:val="1"/>
    </w:pPr>
    <w:rPr>
      <w:rFonts w:ascii="Calibri" w:eastAsiaTheme="majorEastAsia" w:hAnsi="Calibri" w:cstheme="majorBidi"/>
      <w:kern w:val="2"/>
      <w:sz w:val="24"/>
      <w:szCs w:val="32"/>
      <w14:ligatures w14:val="standardContextual"/>
    </w:rPr>
  </w:style>
  <w:style w:type="paragraph" w:styleId="Heading3">
    <w:name w:val="heading 3"/>
    <w:basedOn w:val="Normal"/>
    <w:next w:val="Normal"/>
    <w:link w:val="Heading3Char"/>
    <w:uiPriority w:val="9"/>
    <w:unhideWhenUsed/>
    <w:qFormat/>
    <w:rsid w:val="0059063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59063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063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063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063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063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063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CD"/>
    <w:rPr>
      <w:rFonts w:ascii="Calibri" w:eastAsiaTheme="majorEastAsia" w:hAnsi="Calibri" w:cstheme="majorBidi"/>
      <w:sz w:val="28"/>
      <w:szCs w:val="40"/>
      <w:lang w:val="en-US"/>
    </w:rPr>
  </w:style>
  <w:style w:type="character" w:customStyle="1" w:styleId="Heading2Char">
    <w:name w:val="Heading 2 Char"/>
    <w:basedOn w:val="DefaultParagraphFont"/>
    <w:link w:val="Heading2"/>
    <w:uiPriority w:val="9"/>
    <w:rsid w:val="006127AF"/>
    <w:rPr>
      <w:rFonts w:ascii="Calibri" w:eastAsiaTheme="majorEastAsia" w:hAnsi="Calibri" w:cstheme="majorBidi"/>
      <w:sz w:val="24"/>
      <w:szCs w:val="32"/>
      <w:lang w:val="en-US"/>
    </w:rPr>
  </w:style>
  <w:style w:type="character" w:customStyle="1" w:styleId="Heading3Char">
    <w:name w:val="Heading 3 Char"/>
    <w:basedOn w:val="DefaultParagraphFont"/>
    <w:link w:val="Heading3"/>
    <w:uiPriority w:val="9"/>
    <w:semiHidden/>
    <w:rsid w:val="0059063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9063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9063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9063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9063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9063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9063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906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063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9063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063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9063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90638"/>
    <w:rPr>
      <w:i/>
      <w:iCs/>
      <w:color w:val="404040" w:themeColor="text1" w:themeTint="BF"/>
      <w:lang w:val="en-US"/>
    </w:rPr>
  </w:style>
  <w:style w:type="paragraph" w:styleId="ListParagraph">
    <w:name w:val="List Paragraph"/>
    <w:basedOn w:val="Normal"/>
    <w:uiPriority w:val="34"/>
    <w:qFormat/>
    <w:rsid w:val="00590638"/>
    <w:pPr>
      <w:ind w:left="720"/>
      <w:contextualSpacing/>
    </w:pPr>
    <w:rPr>
      <w:kern w:val="2"/>
      <w14:ligatures w14:val="standardContextual"/>
    </w:rPr>
  </w:style>
  <w:style w:type="character" w:styleId="IntenseEmphasis">
    <w:name w:val="Intense Emphasis"/>
    <w:basedOn w:val="DefaultParagraphFont"/>
    <w:uiPriority w:val="21"/>
    <w:qFormat/>
    <w:rsid w:val="00590638"/>
    <w:rPr>
      <w:i/>
      <w:iCs/>
      <w:color w:val="0F4761" w:themeColor="accent1" w:themeShade="BF"/>
    </w:rPr>
  </w:style>
  <w:style w:type="paragraph" w:styleId="IntenseQuote">
    <w:name w:val="Intense Quote"/>
    <w:basedOn w:val="Normal"/>
    <w:next w:val="Normal"/>
    <w:link w:val="IntenseQuoteChar"/>
    <w:uiPriority w:val="30"/>
    <w:qFormat/>
    <w:rsid w:val="00590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0638"/>
    <w:rPr>
      <w:i/>
      <w:iCs/>
      <w:color w:val="0F4761" w:themeColor="accent1" w:themeShade="BF"/>
      <w:lang w:val="en-US"/>
    </w:rPr>
  </w:style>
  <w:style w:type="character" w:styleId="IntenseReference">
    <w:name w:val="Intense Reference"/>
    <w:basedOn w:val="DefaultParagraphFont"/>
    <w:uiPriority w:val="32"/>
    <w:qFormat/>
    <w:rsid w:val="00590638"/>
    <w:rPr>
      <w:b/>
      <w:bCs/>
      <w:smallCaps/>
      <w:color w:val="0F4761" w:themeColor="accent1" w:themeShade="BF"/>
      <w:spacing w:val="5"/>
    </w:rPr>
  </w:style>
  <w:style w:type="character" w:styleId="CommentReference">
    <w:name w:val="annotation reference"/>
    <w:basedOn w:val="DefaultParagraphFont"/>
    <w:uiPriority w:val="99"/>
    <w:semiHidden/>
    <w:unhideWhenUsed/>
    <w:rsid w:val="008358F3"/>
    <w:rPr>
      <w:sz w:val="16"/>
      <w:szCs w:val="16"/>
    </w:rPr>
  </w:style>
  <w:style w:type="paragraph" w:styleId="CommentText">
    <w:name w:val="annotation text"/>
    <w:basedOn w:val="Normal"/>
    <w:link w:val="CommentTextChar"/>
    <w:uiPriority w:val="99"/>
    <w:unhideWhenUsed/>
    <w:rsid w:val="008358F3"/>
    <w:pPr>
      <w:spacing w:line="240" w:lineRule="auto"/>
    </w:pPr>
    <w:rPr>
      <w:sz w:val="20"/>
      <w:szCs w:val="20"/>
    </w:rPr>
  </w:style>
  <w:style w:type="character" w:customStyle="1" w:styleId="CommentTextChar">
    <w:name w:val="Comment Text Char"/>
    <w:basedOn w:val="DefaultParagraphFont"/>
    <w:link w:val="CommentText"/>
    <w:uiPriority w:val="99"/>
    <w:rsid w:val="008358F3"/>
    <w:rPr>
      <w:kern w:val="0"/>
      <w:sz w:val="20"/>
      <w:szCs w:val="20"/>
      <w:lang w:val="en-US"/>
      <w14:ligatures w14:val="none"/>
    </w:rPr>
  </w:style>
  <w:style w:type="paragraph" w:styleId="Caption">
    <w:name w:val="caption"/>
    <w:basedOn w:val="Normal"/>
    <w:next w:val="Normal"/>
    <w:uiPriority w:val="35"/>
    <w:unhideWhenUsed/>
    <w:qFormat/>
    <w:rsid w:val="00AF1C5B"/>
    <w:pPr>
      <w:spacing w:after="200" w:line="240" w:lineRule="auto"/>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5608C7"/>
    <w:rPr>
      <w:b/>
      <w:bCs/>
    </w:rPr>
  </w:style>
  <w:style w:type="character" w:customStyle="1" w:styleId="CommentSubjectChar">
    <w:name w:val="Comment Subject Char"/>
    <w:basedOn w:val="CommentTextChar"/>
    <w:link w:val="CommentSubject"/>
    <w:uiPriority w:val="99"/>
    <w:semiHidden/>
    <w:rsid w:val="005608C7"/>
    <w:rPr>
      <w:b/>
      <w:bCs/>
      <w:kern w:val="0"/>
      <w:sz w:val="20"/>
      <w:szCs w:val="20"/>
      <w:lang w:val="en-US"/>
      <w14:ligatures w14:val="none"/>
    </w:rPr>
  </w:style>
  <w:style w:type="character" w:styleId="Hyperlink">
    <w:name w:val="Hyperlink"/>
    <w:basedOn w:val="DefaultParagraphFont"/>
    <w:uiPriority w:val="99"/>
    <w:unhideWhenUsed/>
    <w:rsid w:val="00250A57"/>
    <w:rPr>
      <w:color w:val="467886" w:themeColor="hyperlink"/>
      <w:u w:val="single"/>
    </w:rPr>
  </w:style>
  <w:style w:type="table" w:styleId="TableGrid">
    <w:name w:val="Table Grid"/>
    <w:basedOn w:val="TableNormal"/>
    <w:uiPriority w:val="39"/>
    <w:rsid w:val="00250A57"/>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7154B"/>
  </w:style>
  <w:style w:type="paragraph" w:styleId="Footer">
    <w:name w:val="footer"/>
    <w:basedOn w:val="Normal"/>
    <w:link w:val="FooterChar"/>
    <w:uiPriority w:val="99"/>
    <w:unhideWhenUsed/>
    <w:rsid w:val="00507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823"/>
    <w:rPr>
      <w:kern w:val="0"/>
      <w:lang w:val="en-US"/>
      <w14:ligatures w14:val="none"/>
    </w:rPr>
  </w:style>
  <w:style w:type="character" w:styleId="UnresolvedMention">
    <w:name w:val="Unresolved Mention"/>
    <w:basedOn w:val="DefaultParagraphFont"/>
    <w:uiPriority w:val="99"/>
    <w:semiHidden/>
    <w:unhideWhenUsed/>
    <w:rsid w:val="00A01703"/>
    <w:rPr>
      <w:color w:val="605E5C"/>
      <w:shd w:val="clear" w:color="auto" w:fill="E1DFDD"/>
    </w:rPr>
  </w:style>
  <w:style w:type="paragraph" w:styleId="Bibliography">
    <w:name w:val="Bibliography"/>
    <w:basedOn w:val="Normal"/>
    <w:next w:val="Normal"/>
    <w:uiPriority w:val="37"/>
    <w:unhideWhenUsed/>
    <w:rsid w:val="00DD43C5"/>
    <w:pPr>
      <w:spacing w:after="0" w:line="480" w:lineRule="auto"/>
      <w:ind w:left="720" w:hanging="720"/>
    </w:pPr>
  </w:style>
  <w:style w:type="table" w:styleId="PlainTable2">
    <w:name w:val="Plain Table 2"/>
    <w:basedOn w:val="TableNormal"/>
    <w:uiPriority w:val="42"/>
    <w:rsid w:val="004D1E9E"/>
    <w:pPr>
      <w:spacing w:after="0" w:line="240" w:lineRule="auto"/>
    </w:pPr>
    <w:rPr>
      <w:kern w:val="0"/>
      <w:lang w:val="es-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33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4C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3622">
      <w:bodyDiv w:val="1"/>
      <w:marLeft w:val="0"/>
      <w:marRight w:val="0"/>
      <w:marTop w:val="0"/>
      <w:marBottom w:val="0"/>
      <w:divBdr>
        <w:top w:val="none" w:sz="0" w:space="0" w:color="auto"/>
        <w:left w:val="none" w:sz="0" w:space="0" w:color="auto"/>
        <w:bottom w:val="none" w:sz="0" w:space="0" w:color="auto"/>
        <w:right w:val="none" w:sz="0" w:space="0" w:color="auto"/>
      </w:divBdr>
    </w:div>
    <w:div w:id="1053846185">
      <w:bodyDiv w:val="1"/>
      <w:marLeft w:val="0"/>
      <w:marRight w:val="0"/>
      <w:marTop w:val="0"/>
      <w:marBottom w:val="0"/>
      <w:divBdr>
        <w:top w:val="none" w:sz="0" w:space="0" w:color="auto"/>
        <w:left w:val="none" w:sz="0" w:space="0" w:color="auto"/>
        <w:bottom w:val="none" w:sz="0" w:space="0" w:color="auto"/>
        <w:right w:val="none" w:sz="0" w:space="0" w:color="auto"/>
      </w:divBdr>
    </w:div>
    <w:div w:id="18959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5281/zenodo.37309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j.klimt@cml.leidenuniv.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e132b-b7bd-4fcf-8c2e-afd2b0702172" xsi:nil="true"/>
    <lcf76f155ced4ddcb4097134ff3c332f xmlns="6c7a0b06-0162-4ac4-8511-809f030a8b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74411A86274489C6A825FA5D7F2C2" ma:contentTypeVersion="11" ma:contentTypeDescription="Create a new document." ma:contentTypeScope="" ma:versionID="936cc54af2084f7c200bfa2cc9cd0fb8">
  <xsd:schema xmlns:xsd="http://www.w3.org/2001/XMLSchema" xmlns:xs="http://www.w3.org/2001/XMLSchema" xmlns:p="http://schemas.microsoft.com/office/2006/metadata/properties" xmlns:ns2="6c7a0b06-0162-4ac4-8511-809f030a8b75" xmlns:ns3="e39e132b-b7bd-4fcf-8c2e-afd2b0702172" targetNamespace="http://schemas.microsoft.com/office/2006/metadata/properties" ma:root="true" ma:fieldsID="0e40e9f1fd43d036a2b7c70b9678dc37" ns2:_="" ns3:_="">
    <xsd:import namespace="6c7a0b06-0162-4ac4-8511-809f030a8b75"/>
    <xsd:import namespace="e39e132b-b7bd-4fcf-8c2e-afd2b0702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0b06-0162-4ac4-8511-809f030a8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31252e-6fa5-4b2b-9987-d0b6e83c6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e132b-b7bd-4fcf-8c2e-afd2b07021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5c709d-7722-4b47-942b-66fb0d7978f1}" ma:internalName="TaxCatchAll" ma:showField="CatchAllData" ma:web="e39e132b-b7bd-4fcf-8c2e-afd2b0702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E44BB-F301-4685-904E-3F1F8E776D58}">
  <ds:schemaRefs>
    <ds:schemaRef ds:uri="http://schemas.microsoft.com/office/2006/metadata/properties"/>
    <ds:schemaRef ds:uri="http://schemas.microsoft.com/office/infopath/2007/PartnerControls"/>
    <ds:schemaRef ds:uri="e39e132b-b7bd-4fcf-8c2e-afd2b0702172"/>
    <ds:schemaRef ds:uri="6c7a0b06-0162-4ac4-8511-809f030a8b75"/>
  </ds:schemaRefs>
</ds:datastoreItem>
</file>

<file path=customXml/itemProps2.xml><?xml version="1.0" encoding="utf-8"?>
<ds:datastoreItem xmlns:ds="http://schemas.openxmlformats.org/officeDocument/2006/customXml" ds:itemID="{EA3EE2B1-D5C7-4103-BF28-BD8530E8B35B}">
  <ds:schemaRefs>
    <ds:schemaRef ds:uri="http://schemas.microsoft.com/sharepoint/v3/contenttype/forms"/>
  </ds:schemaRefs>
</ds:datastoreItem>
</file>

<file path=customXml/itemProps3.xml><?xml version="1.0" encoding="utf-8"?>
<ds:datastoreItem xmlns:ds="http://schemas.openxmlformats.org/officeDocument/2006/customXml" ds:itemID="{7B9D4B83-AAAB-4D69-8428-5DF8F3E5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0b06-0162-4ac4-8511-809f030a8b75"/>
    <ds:schemaRef ds:uri="e39e132b-b7bd-4fcf-8c2e-afd2b0702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1C70A-E68E-426D-8CF7-4A9E94607606}">
  <ds:schemaRefs>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2360</Words>
  <Characters>13457</Characters>
  <Application>Microsoft Office Word</Application>
  <DocSecurity>0</DocSecurity>
  <Lines>112</Lines>
  <Paragraphs>31</Paragraphs>
  <ScaleCrop>false</ScaleCrop>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Klimt, J.B.J. (Jonas)</dc:creator>
  <cp:keywords/>
  <dc:description/>
  <cp:lastModifiedBy>Klimt, J.B.J. (Jonas)</cp:lastModifiedBy>
  <cp:revision>186</cp:revision>
  <dcterms:created xsi:type="dcterms:W3CDTF">2025-09-29T13:15:00Z</dcterms:created>
  <dcterms:modified xsi:type="dcterms:W3CDTF">2025-11-27T10:34:00Z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0x01010026274411A86274489C6A825FA5D7F2C2</vt:lpwstr>
  </property>
  <property fmtid="{D5CDD505-2E9C-101B-9397-08002B2CF9AE}" pid="3" name="MediaServiceImageTags">
    <vt:lpwstr/>
  </property>
  <property fmtid="{D5CDD505-2E9C-101B-9397-08002B2CF9AE}" pid="4" name="ClassificationContentMarkingFooterShapeIds">
    <vt:lpwstr>3e9079b5,3ca75186,60e2c62f</vt:lpwstr>
  </property>
  <property fmtid="{D5CDD505-2E9C-101B-9397-08002B2CF9AE}" pid="5" name="ClassificationContentMarkingFooterFontProps">
    <vt:lpwstr>#000000,10,Calibri</vt:lpwstr>
  </property>
  <property fmtid="{D5CDD505-2E9C-101B-9397-08002B2CF9AE}" pid="6" name="ClassificationContentMarkingFooterText">
    <vt:lpwstr>Classified as Internal | Intern</vt:lpwstr>
  </property>
  <property fmtid="{D5CDD505-2E9C-101B-9397-08002B2CF9AE}" pid="7" name="MSIP_Label_d465f887-04a9-4c17-8b62-103eddccf68b_Enabled">
    <vt:lpwstr>true</vt:lpwstr>
  </property>
  <property fmtid="{D5CDD505-2E9C-101B-9397-08002B2CF9AE}" pid="8" name="MSIP_Label_d465f887-04a9-4c17-8b62-103eddccf68b_SetDate">
    <vt:lpwstr>2025-10-16T18:52:00Z</vt:lpwstr>
  </property>
  <property fmtid="{D5CDD505-2E9C-101B-9397-08002B2CF9AE}" pid="9" name="MSIP_Label_d465f887-04a9-4c17-8b62-103eddccf68b_Method">
    <vt:lpwstr>Standard</vt:lpwstr>
  </property>
  <property fmtid="{D5CDD505-2E9C-101B-9397-08002B2CF9AE}" pid="10" name="MSIP_Label_d465f887-04a9-4c17-8b62-103eddccf68b_Name">
    <vt:lpwstr>Internal - Intern</vt:lpwstr>
  </property>
  <property fmtid="{D5CDD505-2E9C-101B-9397-08002B2CF9AE}" pid="11" name="MSIP_Label_d465f887-04a9-4c17-8b62-103eddccf68b_SiteId">
    <vt:lpwstr>ca2a7f76-dbd7-4ec0-9108-6b3d524fb7c8</vt:lpwstr>
  </property>
  <property fmtid="{D5CDD505-2E9C-101B-9397-08002B2CF9AE}" pid="12" name="MSIP_Label_d465f887-04a9-4c17-8b62-103eddccf68b_ActionId">
    <vt:lpwstr>c0707bd7-bc7f-433c-a525-a499cca9782e</vt:lpwstr>
  </property>
  <property fmtid="{D5CDD505-2E9C-101B-9397-08002B2CF9AE}" pid="13" name="MSIP_Label_d465f887-04a9-4c17-8b62-103eddccf68b_ContentBits">
    <vt:lpwstr>2</vt:lpwstr>
  </property>
  <property fmtid="{D5CDD505-2E9C-101B-9397-08002B2CF9AE}" pid="14" name="MSIP_Label_d465f887-04a9-4c17-8b62-103eddccf68b_Tag">
    <vt:lpwstr>10, 3, 0, 1</vt:lpwstr>
  </property>
  <property fmtid="{D5CDD505-2E9C-101B-9397-08002B2CF9AE}" pid="15" name="ZOTERO_PREF_1">
    <vt:lpwstr>&lt;data data-version="3" zotero-version="7.0.30"&gt;&lt;session id="rdA8b1Ob"/&gt;&lt;style id="http://www.zotero.org/styles/apa" locale="en-US" hasBibliography="1" bibliographyStyleHasBeenSet="1"/&gt;&lt;prefs&gt;&lt;pref name="fieldType" value="Field"/&gt;&lt;/prefs&gt;&lt;/data&gt;</vt:lpwstr>
  </property>
</Properties>
</file>