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40B9" w14:textId="77777777" w:rsidR="00EF0373" w:rsidRPr="00020579" w:rsidRDefault="00EF0373" w:rsidP="00EF0373">
      <w:pPr>
        <w:spacing w:line="240" w:lineRule="auto"/>
        <w:rPr>
          <w:rFonts w:ascii="Open Sans" w:hAnsi="Open Sans" w:cs="Open Sans"/>
          <w:bCs/>
          <w:noProof/>
          <w:sz w:val="18"/>
          <w:szCs w:val="18"/>
          <w:lang w:val="en-GB"/>
        </w:rPr>
      </w:pPr>
      <w:r w:rsidRPr="00020579">
        <w:rPr>
          <w:rFonts w:ascii="Open Sans" w:eastAsia="Times New Roman" w:hAnsi="Open Sans" w:cs="Open Sans"/>
          <w:b/>
          <w:bCs/>
          <w:sz w:val="22"/>
          <w:szCs w:val="22"/>
          <w:lang w:val="en-GB"/>
        </w:rPr>
        <w:t>Supplementary Information.</w:t>
      </w:r>
    </w:p>
    <w:p w14:paraId="0C27C9D5" w14:textId="77777777" w:rsidR="00EF0373" w:rsidRPr="00020579" w:rsidRDefault="00EF0373" w:rsidP="00EF037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kern w:val="0"/>
          <w:sz w:val="22"/>
          <w:szCs w:val="22"/>
          <w:lang w:val="en-GB"/>
          <w14:ligatures w14:val="none"/>
        </w:rPr>
      </w:pPr>
      <w:r w:rsidRPr="00020579">
        <w:rPr>
          <w:rFonts w:ascii="Open Sans" w:eastAsia="Times New Roman" w:hAnsi="Open Sans" w:cs="Open Sans"/>
          <w:b/>
          <w:bCs/>
          <w:kern w:val="0"/>
          <w:sz w:val="22"/>
          <w:szCs w:val="22"/>
          <w:lang w:val="en-GB"/>
          <w14:ligatures w14:val="none"/>
        </w:rPr>
        <w:t>Supplementary Table 1: Flowcytometry descriptive statistics and between group analysis.</w:t>
      </w:r>
    </w:p>
    <w:p w14:paraId="6D76B4F0" w14:textId="77777777" w:rsidR="00EF0373" w:rsidRPr="00020579" w:rsidRDefault="00EF0373" w:rsidP="00EF0373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</w:pPr>
      <w:r w:rsidRPr="00020579">
        <w:rPr>
          <w:rFonts w:ascii="Open Sans" w:eastAsia="Times New Roman" w:hAnsi="Open Sans" w:cs="Open Sans"/>
          <w:kern w:val="0"/>
          <w:sz w:val="22"/>
          <w:szCs w:val="22"/>
          <w:lang w:val="en-GB"/>
          <w14:ligatures w14:val="none"/>
        </w:rPr>
        <w:t> </w:t>
      </w:r>
    </w:p>
    <w:tbl>
      <w:tblPr>
        <w:tblW w:w="15159" w:type="dxa"/>
        <w:tblInd w:w="-1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7"/>
        <w:gridCol w:w="2665"/>
        <w:gridCol w:w="2423"/>
        <w:gridCol w:w="1392"/>
        <w:gridCol w:w="1434"/>
        <w:gridCol w:w="1231"/>
        <w:gridCol w:w="1207"/>
      </w:tblGrid>
      <w:tr w:rsidR="00EF0373" w:rsidRPr="00020579" w14:paraId="3E531BDE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E083CBE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Arial" w:eastAsia="Times New Roman" w:hAnsi="Arial" w:cs="Arial"/>
                <w:b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 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5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0F320C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median [IQR] %</w:t>
            </w:r>
            <w:r w:rsidRPr="00020579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FFB4EC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b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Min - Max %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ECCB545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b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Rejection vs. No rejection group comparison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</w:tr>
      <w:tr w:rsidR="00EF0373" w:rsidRPr="00020579" w14:paraId="643F0309" w14:textId="77777777" w:rsidTr="000F0C60">
        <w:trPr>
          <w:trHeight w:val="300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60DA9C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b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Group </w:t>
            </w:r>
            <w:r w:rsidRPr="00020579">
              <w:rPr>
                <w:rFonts w:ascii="Arial" w:eastAsia="Times New Roman" w:hAnsi="Arial" w:cs="Arial"/>
                <w:b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→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br/>
            </w:r>
            <w:r w:rsidRPr="00020579">
              <w:rPr>
                <w:rFonts w:ascii="Open Sans" w:eastAsia="Times New Roman" w:hAnsi="Open Sans" w:cs="Open Sans"/>
                <w:b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Variable </w:t>
            </w:r>
            <w:r w:rsidRPr="00020579">
              <w:rPr>
                <w:rFonts w:ascii="Cambria Math" w:eastAsia="Times New Roman" w:hAnsi="Cambria Math" w:cs="Cambria Math"/>
                <w:b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⤵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F46AC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b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Rejection</w:t>
            </w: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71092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b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No rejection</w:t>
            </w: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393F2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b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Rejection</w:t>
            </w: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F7BC3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b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No rejection</w:t>
            </w: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BC14E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Wilcoxon U statistic</w:t>
            </w: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3A287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b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Significance (p)</w:t>
            </w: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</w:tr>
      <w:tr w:rsidR="00EF0373" w:rsidRPr="00020579" w14:paraId="175D282D" w14:textId="77777777" w:rsidTr="000F0C60">
        <w:trPr>
          <w:trHeight w:val="300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06462FC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CD3</w:t>
            </w: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 xml:space="preserve"> Lymphocytes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6363AE9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55.60 [54.24 – 61.13]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97EBC8E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65.31 [55.93 – 71.43]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E149177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50.32 - 77.56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61D6211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51.07 - 77.85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047E5DE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14A3844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0.53</w:t>
            </w:r>
          </w:p>
        </w:tc>
      </w:tr>
      <w:tr w:rsidR="00EF0373" w:rsidRPr="00020579" w14:paraId="50B8DA50" w14:textId="77777777" w:rsidTr="000F0C60">
        <w:trPr>
          <w:trHeight w:val="300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BDB04E9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val="en-GB"/>
                <w14:ligatures w14:val="none"/>
              </w:rPr>
              <w:t>CD4</w:t>
            </w: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C585DAF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67.21 [61.53 – 71.04]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50EEE8B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50.94 [32.40 – 64.26]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8E240E2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53.15 - 73.87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7ADFF7A3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30.48 - 71.02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7D2C2ABD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22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22707EB0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0.16</w:t>
            </w:r>
          </w:p>
        </w:tc>
      </w:tr>
      <w:tr w:rsidR="00EF0373" w:rsidRPr="00020579" w14:paraId="39F4959C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E9C07A0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val="en-GB"/>
                <w14:ligatures w14:val="none"/>
              </w:rPr>
              <w:t>CD8</w:t>
            </w: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DD79CA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24.35 [22.89 – 29.47]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960D1B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39.46 [30.84 – 59.73]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08818CAB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21.75 - 41.60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6CFE3703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19.56 - 64.87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6F916573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7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37EDD441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0.23</w:t>
            </w:r>
          </w:p>
        </w:tc>
      </w:tr>
      <w:tr w:rsidR="00EF0373" w:rsidRPr="00020579" w14:paraId="3776A70E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1C4CE6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CD4</w:t>
            </w: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-</w:t>
            </w: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 xml:space="preserve"> CD8</w:t>
            </w: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-</w:t>
            </w: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3BEFB7C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5.49 [4.53 – 6.88]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C27521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7.13 [4.28 – 9.25]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F14257D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  <w:t>2.99 - 9.71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22EF1696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  <w:t>1.62 - 10.80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9423ABB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13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0CD3E14B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0.93</w:t>
            </w:r>
          </w:p>
        </w:tc>
      </w:tr>
      <w:tr w:rsidR="00EF0373" w:rsidRPr="00020579" w14:paraId="464739C4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38F63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CD4</w:t>
            </w: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 xml:space="preserve"> CD8</w:t>
            </w: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0B7DB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0.63 [0.46 – 0.88]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A462A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0.25 [0.17 – 0.50]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5D2B1E4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  <w:t>0.21 - 1.40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EFF629A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  <w:t>0.05 - 1.01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6768190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20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55666C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0.32</w:t>
            </w:r>
          </w:p>
        </w:tc>
      </w:tr>
      <w:tr w:rsidR="00EF0373" w:rsidRPr="00020579" w14:paraId="14F6459E" w14:textId="77777777" w:rsidTr="000F0C60">
        <w:trPr>
          <w:trHeight w:val="300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357FE9D9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Treg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73AF4EA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5.87 [5.13 – 6.53]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BD268A1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5.11 [4.18 – 6.36]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204EE76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  <w:t>4.30 - 7.12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23CF604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  <w:t>2.92 - 6.93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7B6C66E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17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9E72EAB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0.65</w:t>
            </w:r>
          </w:p>
        </w:tc>
      </w:tr>
      <w:tr w:rsidR="00EF0373" w:rsidRPr="00020579" w14:paraId="4CBBE9B5" w14:textId="77777777" w:rsidTr="000F0C60">
        <w:trPr>
          <w:trHeight w:val="300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6D97CAA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Naive Treg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905D6D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23.04 [9.73 – 35.60]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D5CE601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5.37 [3.40 – 31.43]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FF0922C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  <w:t>5.96 - 37.17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B248BB5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  <w:t>0.00 - 36.41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241083E9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28A13D5D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0.23</w:t>
            </w:r>
          </w:p>
        </w:tc>
      </w:tr>
      <w:tr w:rsidR="00EF0373" w:rsidRPr="00020579" w14:paraId="19ACF300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1A52F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Memory Treg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AF383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76.97 [64.40 – 90.24]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CB099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94.63 [68.57 – 96.60]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39FA669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  <w:t>62.83 - 93.92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EBFF943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  <w:t>63.59 - 100.00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CA6791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7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F3F28E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0.23</w:t>
            </w:r>
          </w:p>
        </w:tc>
      </w:tr>
      <w:tr w:rsidR="00EF0373" w:rsidRPr="00020579" w14:paraId="485FD87E" w14:textId="77777777" w:rsidTr="000F0C60">
        <w:trPr>
          <w:trHeight w:val="300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1AF3106F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Naive CD8</w:t>
            </w: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 xml:space="preserve"> T</w:t>
            </w:r>
            <w:r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9CA2619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22.19 [17.30 – 26.87]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5B247AA0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10.87 [2.91 – 18.88]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1813B8C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  <w:t>7.97 - 35.58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5D62127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kern w:val="0"/>
                <w:sz w:val="20"/>
                <w:szCs w:val="20"/>
                <w:lang w:val="en-GB"/>
                <w14:ligatures w14:val="none"/>
              </w:rPr>
              <w:t>2.24 - 24.22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2C2D752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7CB2BE5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0.23</w:t>
            </w:r>
          </w:p>
        </w:tc>
      </w:tr>
      <w:tr w:rsidR="00EF0373" w:rsidRPr="00020579" w14:paraId="5790D26F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20012D9F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val="en-GB"/>
                <w14:ligatures w14:val="none"/>
              </w:rPr>
              <w:t>Central Memory CD8</w:t>
            </w: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val="en-GB"/>
                <w14:ligatures w14:val="none"/>
              </w:rPr>
              <w:t xml:space="preserve"> T</w:t>
            </w:r>
            <w:r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83FEA0D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3.72 [2.09 – 5.51]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702E4E3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4.00 [1.63 – 4.47]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513D572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1.35 - 6.72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4F04F5B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1.43 - 9.17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22120D7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15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BF59639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0.93</w:t>
            </w:r>
          </w:p>
        </w:tc>
      </w:tr>
      <w:tr w:rsidR="00EF0373" w:rsidRPr="00020579" w14:paraId="7FF65FEF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9E5E256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val="en-GB"/>
                <w14:ligatures w14:val="none"/>
              </w:rPr>
              <w:t>Effector Memory CD8</w:t>
            </w: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val="en-GB"/>
                <w14:ligatures w14:val="none"/>
              </w:rPr>
              <w:t xml:space="preserve"> T</w:t>
            </w:r>
            <w:r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3328DA4E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38.24 [29.58 – 46.42]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414BACBD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23.58 [14.35 – 63.60]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F2EB6AA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20.83 - 53.75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E224FBC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8.92 - 73.13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55986B5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15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691BC6C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0.93</w:t>
            </w:r>
          </w:p>
        </w:tc>
      </w:tr>
      <w:tr w:rsidR="00EF0373" w:rsidRPr="00020579" w14:paraId="754DE4F3" w14:textId="77777777" w:rsidTr="000F0C60">
        <w:trPr>
          <w:trHeight w:val="375"/>
        </w:trPr>
        <w:tc>
          <w:tcPr>
            <w:tcW w:w="4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29CB58D3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val="en-GB"/>
                <w14:ligatures w14:val="none"/>
              </w:rPr>
              <w:t>CD8</w:t>
            </w: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kern w:val="0"/>
                <w:sz w:val="20"/>
                <w:szCs w:val="20"/>
                <w:lang w:val="en-GB"/>
                <w14:ligatures w14:val="none"/>
              </w:rPr>
              <w:t xml:space="preserve"> TEMRA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91B5A02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42.10 [34.83 – 43.65]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29590A3F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56.38 [16.35 – 72.18]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7EACEC1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15.56 - 45.75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60AA0F8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12.08 - 85.28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0CE48A6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11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4C5DA20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0.65</w:t>
            </w:r>
          </w:p>
        </w:tc>
      </w:tr>
      <w:tr w:rsidR="00EF0373" w:rsidRPr="00020579" w14:paraId="4DF21262" w14:textId="77777777" w:rsidTr="000F0C60">
        <w:trPr>
          <w:trHeight w:val="300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552AA0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Naive CD4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conventional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65108C8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28.32 [23.40 – 36.53]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CA8D29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3.05 [1.80 – 26.81]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0E965A0E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20.32 - 49.53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39097DD0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0.11 - 36.10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3C2C6D47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0F691908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0.23</w:t>
            </w:r>
          </w:p>
        </w:tc>
      </w:tr>
      <w:tr w:rsidR="00EF0373" w:rsidRPr="00020579" w14:paraId="19CE20FE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AB82892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Central memory CD4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conventional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5F94340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32.07 [20.59 – 41.90]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695E2C4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23.00 [14.38 – 32.45]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F293DFC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13.58 - 43.95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C3BE302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12.32 - 40.79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3080A43C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18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22969D6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0.53</w:t>
            </w:r>
          </w:p>
        </w:tc>
      </w:tr>
      <w:tr w:rsidR="00EF0373" w:rsidRPr="00020579" w14:paraId="2CE67FDB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3D4797B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Effector Memory CD4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conventional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4528EB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33.72 [30.78 – 36.79]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D3F92EA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47.96 [33.99 – 69.40]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1AF40928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25.43 - 42.54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1F0FF775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29.95 - 83.65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295189F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7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6CDE72C9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0.23</w:t>
            </w:r>
          </w:p>
        </w:tc>
      </w:tr>
      <w:tr w:rsidR="00EF0373" w:rsidRPr="00020579" w14:paraId="020425EA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3D1B2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Terminally differentiated CD4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conventional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06B09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1.96 [1.56 – 4.51]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71C26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2.11 [1.81 – 11.24]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F6FBC96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0.86 - 11.68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CA2BE14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0.60 - 36.66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62DB35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12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806735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0.79</w:t>
            </w:r>
          </w:p>
        </w:tc>
      </w:tr>
      <w:tr w:rsidR="00EF0373" w:rsidRPr="00020579" w14:paraId="2933CB5B" w14:textId="77777777" w:rsidTr="000F0C60">
        <w:trPr>
          <w:trHeight w:val="300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42F2452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CD25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-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Naive CD8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4F916556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87.82 [76.81 – 96.54]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17E97547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95.58 [93.12 – 97.14]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244E0E2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69.59 - 96.92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77431DD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88.72 - 98.88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FA9DD8E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2A54423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0.53</w:t>
            </w:r>
          </w:p>
        </w:tc>
      </w:tr>
      <w:tr w:rsidR="00EF0373" w:rsidRPr="00020579" w14:paraId="55C5DCF6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430D3754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CD25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Naive CD8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D10601D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12.33 [3.49 – 23.38]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28442722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4.42 [2.87 – 6.88]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99DFAB9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3.08 - 30.41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CA86DF7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1.12 - 11.28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48F5FA5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18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B54F84A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0.53</w:t>
            </w:r>
          </w:p>
        </w:tc>
      </w:tr>
      <w:tr w:rsidR="00EF0373" w:rsidRPr="00020579" w14:paraId="5414AACB" w14:textId="77777777" w:rsidTr="000F0C60">
        <w:trPr>
          <w:trHeight w:val="300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2BABE68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CD25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-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Central Memory CD8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1276AFA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44.93 [32.36 – 60.63]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03FF8CD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66.23 [43.42 – 76.90]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01388D3E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26.34 - 76.03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718F42E9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37.23 - 87.72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2006D81D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8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19D8C1A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0.32</w:t>
            </w:r>
          </w:p>
        </w:tc>
      </w:tr>
      <w:tr w:rsidR="00EF0373" w:rsidRPr="00020579" w14:paraId="3884D590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9166C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CD25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Central Memory CD8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DFD90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55.07 [39.44 – 67.65]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52600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34.44 [23.11 – 56.59]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14F99AD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24.24 - 73.66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C76D38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12.28 - 62.77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B5E258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20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2B9447B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0.32</w:t>
            </w:r>
          </w:p>
        </w:tc>
      </w:tr>
      <w:tr w:rsidR="00EF0373" w:rsidRPr="00020579" w14:paraId="36A4BDB3" w14:textId="77777777" w:rsidTr="000F0C60">
        <w:trPr>
          <w:trHeight w:val="300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5B01B59A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CD25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-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Effector Memory CD8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BA0A8F0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77.29 [70.59 – 86.33]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D7DF0C8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89.36 [85.16 – 92.03]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38AEA38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70.41 - 93.55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3483DB5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69.74 - 98.06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5744104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8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7EEFE76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0.32</w:t>
            </w:r>
          </w:p>
        </w:tc>
      </w:tr>
      <w:tr w:rsidR="00EF0373" w:rsidRPr="00020579" w14:paraId="07A6B827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90E44C8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lastRenderedPageBreak/>
              <w:t>CD25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Effector Memory CD8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37194CE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22.72 [13.68 – 29.42]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17668F1C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10.73 [8.05 – 14.85]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548CEAB4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6.48 - 29.63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D14EACF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1.94 - 30.33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680E4DC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20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9D8A7B5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0.32</w:t>
            </w:r>
          </w:p>
        </w:tc>
      </w:tr>
      <w:tr w:rsidR="00EF0373" w:rsidRPr="00020579" w14:paraId="5046D153" w14:textId="77777777" w:rsidTr="000F0C60">
        <w:trPr>
          <w:trHeight w:val="300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1F36B24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CD25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-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CD8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TEMRA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261F5AF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96.12 [87.33 – 96.90]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31AF77D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98.99 [95.27 – 99.23]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C956A19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62.50 - 97.68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1B142C4F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92.54 - 99.52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6FF48366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8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1261E2CF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0.32</w:t>
            </w:r>
          </w:p>
        </w:tc>
      </w:tr>
      <w:tr w:rsidR="00EF0373" w:rsidRPr="00020579" w14:paraId="3435C19A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94AD9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CD25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CD8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TEMRA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93DAC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3.90 [3.15 – 12.68]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FDD54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1.04 [0.78 – 4.73]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BAC472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2.39 - 37.50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90F1697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0.48 - 7.55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E27C25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20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5C15064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0.32</w:t>
            </w:r>
          </w:p>
        </w:tc>
      </w:tr>
      <w:tr w:rsidR="00EF0373" w:rsidRPr="00020579" w14:paraId="0701C021" w14:textId="77777777" w:rsidTr="000F0C60">
        <w:trPr>
          <w:trHeight w:val="300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D511068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CD25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-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Naive CD4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conventional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9EF28FD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45.12 [20.28 – 70.78]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7046F7D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46.15 [19.39 – 54.68]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035F8BC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3.80 - 89.71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1941479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0.00 - 80.98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8E22712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17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701B176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0.65</w:t>
            </w:r>
          </w:p>
        </w:tc>
      </w:tr>
      <w:tr w:rsidR="00EF0373" w:rsidRPr="00020579" w14:paraId="30F03D5B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93477AB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CD25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Naive CD4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Conventional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1CDFD87B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54.96 [29.29 – 79.78]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528095BD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53.85 [45.33 – 80.64]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9FD5033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10.31 - 96.20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5FA7483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19.01 - 100.00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454CA71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11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63E70679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0.65</w:t>
            </w:r>
          </w:p>
        </w:tc>
      </w:tr>
      <w:tr w:rsidR="00EF0373" w:rsidRPr="00020579" w14:paraId="6AFB76F4" w14:textId="77777777" w:rsidTr="000F0C60">
        <w:trPr>
          <w:trHeight w:val="300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B6E8708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CD25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-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Central memory CD4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conventional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A3EEF83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18.57 [9.82 – 27.68]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B773182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16.86 [16.10 – 30.90]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36B3158E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5.06 - 33.50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0F4EAD73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11.24 - 42.78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860C57B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1384DC13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0.65</w:t>
            </w:r>
          </w:p>
        </w:tc>
      </w:tr>
      <w:tr w:rsidR="00EF0373" w:rsidRPr="00020579" w14:paraId="1D3031AD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F555E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CD25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Central memory CD4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conventional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AD231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81.45 [72.36 – 90.19]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E4983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83.12 [69.19 – 84.09]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A070AC5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66.54 - 94.94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3512CA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57.22 - 88.80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E1EA673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17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E46629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0.65</w:t>
            </w:r>
          </w:p>
        </w:tc>
      </w:tr>
      <w:tr w:rsidR="00EF0373" w:rsidRPr="00020579" w14:paraId="7049B0BA" w14:textId="77777777" w:rsidTr="000F0C60">
        <w:trPr>
          <w:trHeight w:val="300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5CEE7A36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CD25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-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Effector memory CD4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conventional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43D34495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24.79 [20.42 – 27.63]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1AFACF3D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35.70 [24.45 – 67.30]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22ED1919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13.65 - 29.80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CE8A7EC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18.82 - 89.45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47F12C2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7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9FF4012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0.23</w:t>
            </w:r>
          </w:p>
        </w:tc>
      </w:tr>
      <w:tr w:rsidR="00EF0373" w:rsidRPr="00020579" w14:paraId="7E18FA62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560DC6A1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CD25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Effector memory CD4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conventional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98A0074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75.24 [72.43 – 79.59]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E40468B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64.30 [32.78– 75.61]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2DF2B9F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70.30 - 86.35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699469B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10.55 - 81.18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1368BF7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21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14A44C8A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0.23</w:t>
            </w:r>
          </w:p>
        </w:tc>
      </w:tr>
      <w:tr w:rsidR="00EF0373" w:rsidRPr="00020579" w14:paraId="44740A62" w14:textId="77777777" w:rsidTr="000F0C60">
        <w:trPr>
          <w:trHeight w:val="300"/>
        </w:trPr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F4A80E8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CD25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-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Terminally differentiated CD4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T</w:t>
            </w:r>
            <w:r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8400F23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66.30 [49.91 – 72.57]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9176CD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77.87 [68.01 – 96.98]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13875C16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17.97 - 74.17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4AE461A7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41.43 - 99.51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36831D35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7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  <w:hideMark/>
          </w:tcPr>
          <w:p w14:paraId="5F04566A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0.23</w:t>
            </w:r>
          </w:p>
        </w:tc>
      </w:tr>
      <w:tr w:rsidR="00EF0373" w:rsidRPr="00020579" w14:paraId="03CF6749" w14:textId="77777777" w:rsidTr="000F0C60">
        <w:trPr>
          <w:trHeight w:val="300"/>
        </w:trPr>
        <w:tc>
          <w:tcPr>
            <w:tcW w:w="4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F1E54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CD25</w:t>
            </w:r>
            <w:r w:rsidRPr="00020579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Terminally Differentiated CD4</w:t>
            </w:r>
            <w:r w:rsidRPr="00020579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vertAlign w:val="superscript"/>
                <w:lang w:val="en-GB"/>
                <w14:ligatures w14:val="none"/>
              </w:rPr>
              <w:t>+</w:t>
            </w:r>
            <w:r w:rsidRPr="00020579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T</w:t>
            </w:r>
            <w:r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020579">
              <w:rPr>
                <w:rFonts w:ascii="Open Sans" w:eastAsia="Times New Roman" w:hAnsi="Open Sans" w:cs="Open Sans"/>
                <w:i/>
                <w:i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cells </w:t>
            </w:r>
          </w:p>
        </w:tc>
        <w:tc>
          <w:tcPr>
            <w:tcW w:w="2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B565A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33.96 [27.80 – 50.10]</w:t>
            </w:r>
          </w:p>
        </w:tc>
        <w:tc>
          <w:tcPr>
            <w:tcW w:w="24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CB2BC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22.13 [3.02 – 31.94]</w:t>
            </w: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D18954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25.83 - 82.03 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8E0361" w14:textId="77777777" w:rsidR="00EF0373" w:rsidRPr="00020579" w:rsidRDefault="00EF0373" w:rsidP="000F0C60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020579"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>0.49 - 58.57 </w:t>
            </w:r>
          </w:p>
        </w:tc>
        <w:tc>
          <w:tcPr>
            <w:tcW w:w="1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246BFD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21</w:t>
            </w: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E4FBB40" w14:textId="77777777" w:rsidR="00EF0373" w:rsidRPr="00020579" w:rsidRDefault="00EF0373" w:rsidP="000F0C6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020579">
              <w:rPr>
                <w:rFonts w:ascii="Open Sans" w:eastAsia="Calibri" w:hAnsi="Open Sans" w:cs="Open Sans"/>
                <w:sz w:val="20"/>
                <w:szCs w:val="20"/>
                <w:lang w:val="en-GB"/>
              </w:rPr>
              <w:t>0.23</w:t>
            </w:r>
          </w:p>
        </w:tc>
      </w:tr>
    </w:tbl>
    <w:p w14:paraId="46BA17B0" w14:textId="77777777" w:rsidR="00EF0373" w:rsidRPr="00020579" w:rsidRDefault="00EF0373" w:rsidP="00EF0373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</w:pPr>
      <w:r w:rsidRPr="00020579">
        <w:rPr>
          <w:rFonts w:ascii="Open Sans" w:eastAsia="Times New Roman" w:hAnsi="Open Sans" w:cs="Open Sans"/>
          <w:b/>
          <w:bCs/>
          <w:kern w:val="0"/>
          <w:sz w:val="18"/>
          <w:szCs w:val="18"/>
          <w:lang w:val="en-GB"/>
          <w14:ligatures w14:val="none"/>
        </w:rPr>
        <w:t>SD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t xml:space="preserve">; Standard deviation, </w:t>
      </w:r>
      <w:r w:rsidRPr="00020579">
        <w:rPr>
          <w:rFonts w:ascii="Open Sans" w:eastAsia="Times New Roman" w:hAnsi="Open Sans" w:cs="Open Sans"/>
          <w:b/>
          <w:bCs/>
          <w:kern w:val="0"/>
          <w:sz w:val="18"/>
          <w:szCs w:val="18"/>
          <w:lang w:val="en-GB"/>
          <w14:ligatures w14:val="none"/>
        </w:rPr>
        <w:t>IQR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t xml:space="preserve">; Inter quartile range, </w:t>
      </w:r>
      <w:r w:rsidRPr="00020579">
        <w:rPr>
          <w:rFonts w:ascii="Open Sans" w:eastAsia="Times New Roman" w:hAnsi="Open Sans" w:cs="Open Sans"/>
          <w:b/>
          <w:bCs/>
          <w:kern w:val="0"/>
          <w:sz w:val="18"/>
          <w:szCs w:val="18"/>
          <w:lang w:val="en-GB"/>
          <w14:ligatures w14:val="none"/>
        </w:rPr>
        <w:t>min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t xml:space="preserve">; minimum, </w:t>
      </w:r>
      <w:r w:rsidRPr="00020579">
        <w:rPr>
          <w:rFonts w:ascii="Open Sans" w:eastAsia="Times New Roman" w:hAnsi="Open Sans" w:cs="Open Sans"/>
          <w:b/>
          <w:bCs/>
          <w:kern w:val="0"/>
          <w:sz w:val="18"/>
          <w:szCs w:val="18"/>
          <w:lang w:val="en-GB"/>
          <w14:ligatures w14:val="none"/>
        </w:rPr>
        <w:t>max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t xml:space="preserve">; maximum, </w:t>
      </w:r>
      <w:r w:rsidRPr="00020579">
        <w:rPr>
          <w:rFonts w:ascii="Open Sans" w:eastAsia="Times New Roman" w:hAnsi="Open Sans" w:cs="Open Sans"/>
          <w:b/>
          <w:bCs/>
          <w:kern w:val="0"/>
          <w:sz w:val="18"/>
          <w:szCs w:val="18"/>
          <w:lang w:val="en-GB"/>
          <w14:ligatures w14:val="none"/>
        </w:rPr>
        <w:t>U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t xml:space="preserve">; U-value (Wilcoxon Rank Sum Test), </w:t>
      </w:r>
      <w:r w:rsidRPr="00020579">
        <w:rPr>
          <w:rFonts w:ascii="Open Sans" w:eastAsia="Times New Roman" w:hAnsi="Open Sans" w:cs="Open Sans"/>
          <w:b/>
          <w:bCs/>
          <w:kern w:val="0"/>
          <w:sz w:val="18"/>
          <w:szCs w:val="18"/>
          <w:lang w:val="en-GB"/>
          <w14:ligatures w14:val="none"/>
        </w:rPr>
        <w:t>p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t xml:space="preserve">; p-value, </w:t>
      </w:r>
      <w:r w:rsidRPr="00020579">
        <w:rPr>
          <w:rFonts w:ascii="Open Sans" w:eastAsia="Times New Roman" w:hAnsi="Open Sans" w:cs="Open Sans"/>
          <w:b/>
          <w:bCs/>
          <w:kern w:val="0"/>
          <w:sz w:val="18"/>
          <w:szCs w:val="18"/>
          <w:lang w:val="en-GB"/>
          <w14:ligatures w14:val="none"/>
        </w:rPr>
        <w:t>Treg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t>; regulatory T</w:t>
      </w:r>
      <w:r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t xml:space="preserve"> 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t xml:space="preserve">cells, </w:t>
      </w:r>
      <w:r w:rsidRPr="00020579">
        <w:rPr>
          <w:rFonts w:ascii="Open Sans" w:eastAsia="Times New Roman" w:hAnsi="Open Sans" w:cs="Open Sans"/>
          <w:b/>
          <w:bCs/>
          <w:kern w:val="0"/>
          <w:sz w:val="18"/>
          <w:szCs w:val="18"/>
          <w:lang w:val="en-GB"/>
          <w14:ligatures w14:val="none"/>
        </w:rPr>
        <w:t>TEMRA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t>; Terminally Differentiated Effector Memory T</w:t>
      </w:r>
      <w:r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t xml:space="preserve"> 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t>cells re-expressing CD45RA. 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br/>
        <w:t> </w:t>
      </w:r>
    </w:p>
    <w:p w14:paraId="6C2B8F4E" w14:textId="77777777" w:rsidR="00EF0373" w:rsidRPr="00020579" w:rsidRDefault="00EF0373" w:rsidP="00EF037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GB"/>
          <w14:ligatures w14:val="none"/>
        </w:rPr>
      </w:pPr>
      <w:r w:rsidRPr="00020579"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t> </w:t>
      </w:r>
    </w:p>
    <w:p w14:paraId="5E259167" w14:textId="77777777" w:rsidR="00EF0373" w:rsidRPr="00020579" w:rsidRDefault="00EF0373" w:rsidP="00EF037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GB"/>
          <w14:ligatures w14:val="none"/>
        </w:rPr>
      </w:pPr>
      <w:r w:rsidRPr="0002057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 </w:t>
      </w:r>
    </w:p>
    <w:p w14:paraId="6248162D" w14:textId="77777777" w:rsidR="00EF0373" w:rsidRPr="00020579" w:rsidRDefault="00EF0373" w:rsidP="00EF0373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2"/>
          <w:szCs w:val="22"/>
          <w:lang w:val="en-GB"/>
          <w14:ligatures w14:val="none"/>
        </w:rPr>
      </w:pPr>
      <w:r w:rsidRPr="0002057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 </w:t>
      </w:r>
    </w:p>
    <w:p w14:paraId="02879C8F" w14:textId="77777777" w:rsidR="00EF0373" w:rsidRPr="00020579" w:rsidRDefault="00EF0373" w:rsidP="00EF0373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2"/>
          <w:szCs w:val="22"/>
          <w:lang w:val="en-GB"/>
          <w14:ligatures w14:val="none"/>
        </w:rPr>
      </w:pPr>
      <w:r w:rsidRPr="00020579">
        <w:rPr>
          <w:rFonts w:ascii="Open Sans" w:eastAsia="Times New Roman" w:hAnsi="Open Sans" w:cs="Open Sans"/>
          <w:kern w:val="0"/>
          <w:sz w:val="22"/>
          <w:szCs w:val="22"/>
          <w:lang w:val="en-GB"/>
          <w14:ligatures w14:val="none"/>
        </w:rPr>
        <w:t> </w:t>
      </w:r>
    </w:p>
    <w:p w14:paraId="278DD61E" w14:textId="77777777" w:rsidR="00EF0373" w:rsidRPr="00020579" w:rsidRDefault="00EF0373" w:rsidP="00EF0373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2"/>
          <w:szCs w:val="22"/>
          <w:lang w:val="en-GB"/>
          <w14:ligatures w14:val="none"/>
        </w:rPr>
      </w:pPr>
    </w:p>
    <w:p w14:paraId="075C1146" w14:textId="77777777" w:rsidR="00EF0373" w:rsidRPr="00020579" w:rsidRDefault="00EF0373" w:rsidP="00EF0373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2"/>
          <w:szCs w:val="22"/>
          <w:lang w:val="en-GB"/>
          <w14:ligatures w14:val="none"/>
        </w:rPr>
      </w:pPr>
      <w:r w:rsidRPr="00020579">
        <w:rPr>
          <w:rFonts w:ascii="Open Sans" w:eastAsia="Times New Roman" w:hAnsi="Open Sans" w:cs="Open Sans"/>
          <w:kern w:val="0"/>
          <w:sz w:val="22"/>
          <w:szCs w:val="22"/>
          <w:lang w:val="en-GB"/>
          <w14:ligatures w14:val="none"/>
        </w:rPr>
        <w:t> </w:t>
      </w:r>
    </w:p>
    <w:p w14:paraId="720F62C6" w14:textId="77777777" w:rsidR="00EF0373" w:rsidRPr="00020579" w:rsidRDefault="00EF0373" w:rsidP="00EF0373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2"/>
          <w:szCs w:val="22"/>
          <w:lang w:val="en-GB"/>
          <w14:ligatures w14:val="none"/>
        </w:rPr>
      </w:pPr>
      <w:r w:rsidRPr="00020579">
        <w:rPr>
          <w:rFonts w:ascii="Open Sans" w:eastAsia="Times New Roman" w:hAnsi="Open Sans" w:cs="Open Sans"/>
          <w:kern w:val="0"/>
          <w:sz w:val="22"/>
          <w:szCs w:val="22"/>
          <w:lang w:val="en-GB"/>
          <w14:ligatures w14:val="none"/>
        </w:rPr>
        <w:t> </w:t>
      </w:r>
    </w:p>
    <w:p w14:paraId="534D368C" w14:textId="77777777" w:rsidR="00EF0373" w:rsidRPr="00020579" w:rsidRDefault="00EF0373" w:rsidP="00EF0373">
      <w:pPr>
        <w:spacing w:after="0" w:line="240" w:lineRule="auto"/>
        <w:rPr>
          <w:rFonts w:ascii="Open Sans" w:eastAsia="Times New Roman" w:hAnsi="Open Sans" w:cs="Open Sans"/>
          <w:sz w:val="22"/>
          <w:szCs w:val="22"/>
          <w:lang w:val="en-GB"/>
        </w:rPr>
      </w:pPr>
    </w:p>
    <w:p w14:paraId="543272FF" w14:textId="77777777" w:rsidR="00EF0373" w:rsidRPr="00020579" w:rsidRDefault="00EF0373" w:rsidP="00EF0373">
      <w:pPr>
        <w:spacing w:after="0" w:line="240" w:lineRule="auto"/>
        <w:rPr>
          <w:rFonts w:ascii="Open Sans" w:eastAsia="Times New Roman" w:hAnsi="Open Sans" w:cs="Open Sans"/>
          <w:sz w:val="22"/>
          <w:szCs w:val="22"/>
          <w:lang w:val="en-GB"/>
        </w:rPr>
      </w:pPr>
    </w:p>
    <w:p w14:paraId="2E728E2F" w14:textId="77777777" w:rsidR="00EF0373" w:rsidRPr="00020579" w:rsidRDefault="00EF0373" w:rsidP="00EF0373">
      <w:pPr>
        <w:spacing w:after="0" w:line="240" w:lineRule="auto"/>
        <w:rPr>
          <w:rFonts w:ascii="Open Sans" w:eastAsia="Times New Roman" w:hAnsi="Open Sans" w:cs="Open Sans"/>
          <w:sz w:val="22"/>
          <w:szCs w:val="22"/>
          <w:lang w:val="en-GB"/>
        </w:rPr>
      </w:pPr>
    </w:p>
    <w:p w14:paraId="7BC569FA" w14:textId="77777777" w:rsidR="00EF0373" w:rsidRPr="00020579" w:rsidRDefault="00EF0373" w:rsidP="00EF0373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2"/>
          <w:szCs w:val="22"/>
          <w:lang w:val="en-GB"/>
          <w14:ligatures w14:val="none"/>
        </w:rPr>
      </w:pPr>
      <w:r w:rsidRPr="00020579">
        <w:rPr>
          <w:rFonts w:ascii="Open Sans" w:eastAsia="Times New Roman" w:hAnsi="Open Sans" w:cs="Open Sans"/>
          <w:kern w:val="0"/>
          <w:sz w:val="22"/>
          <w:szCs w:val="22"/>
          <w:lang w:val="en-GB"/>
          <w14:ligatures w14:val="none"/>
        </w:rPr>
        <w:t> </w:t>
      </w:r>
    </w:p>
    <w:p w14:paraId="5F7F91E8" w14:textId="77777777" w:rsidR="00EF0373" w:rsidRPr="00020579" w:rsidRDefault="00EF0373" w:rsidP="00EF0373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2"/>
          <w:szCs w:val="22"/>
          <w:lang w:val="en-GB"/>
          <w14:ligatures w14:val="none"/>
        </w:rPr>
      </w:pPr>
      <w:r w:rsidRPr="00020579">
        <w:rPr>
          <w:rFonts w:ascii="Open Sans" w:eastAsia="Times New Roman" w:hAnsi="Open Sans" w:cs="Open Sans"/>
          <w:kern w:val="0"/>
          <w:sz w:val="22"/>
          <w:szCs w:val="22"/>
          <w:lang w:val="en-GB"/>
          <w14:ligatures w14:val="none"/>
        </w:rPr>
        <w:t> </w:t>
      </w:r>
    </w:p>
    <w:p w14:paraId="3C0D5550" w14:textId="77777777" w:rsidR="00EF0373" w:rsidRPr="00020579" w:rsidRDefault="00EF0373" w:rsidP="00EF0373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2"/>
          <w:szCs w:val="22"/>
          <w:lang w:val="en-GB"/>
          <w14:ligatures w14:val="none"/>
        </w:rPr>
      </w:pPr>
    </w:p>
    <w:p w14:paraId="668EA458" w14:textId="77777777" w:rsidR="00EF0373" w:rsidRPr="00020579" w:rsidRDefault="00EF0373" w:rsidP="00EF0373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2"/>
          <w:szCs w:val="22"/>
          <w:lang w:val="en-GB"/>
          <w14:ligatures w14:val="none"/>
        </w:rPr>
      </w:pPr>
    </w:p>
    <w:p w14:paraId="0943AC59" w14:textId="77777777" w:rsidR="00EF0373" w:rsidRPr="00020579" w:rsidRDefault="00EF0373" w:rsidP="00EF0373">
      <w:pPr>
        <w:spacing w:after="0" w:line="240" w:lineRule="auto"/>
        <w:textAlignment w:val="baseline"/>
        <w:rPr>
          <w:rStyle w:val="normaltextrun"/>
          <w:rFonts w:ascii="Open Sans" w:eastAsiaTheme="majorEastAsia" w:hAnsi="Open Sans" w:cs="Open Sans"/>
          <w:b/>
          <w:bCs/>
          <w:lang w:val="en-GB"/>
        </w:rPr>
      </w:pPr>
    </w:p>
    <w:p w14:paraId="043786C9" w14:textId="77777777" w:rsidR="00EF0373" w:rsidRPr="00020579" w:rsidRDefault="00EF0373" w:rsidP="00EF0373">
      <w:pPr>
        <w:spacing w:line="360" w:lineRule="auto"/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613A8630" w14:textId="77777777" w:rsidR="00EF0373" w:rsidRPr="00020579" w:rsidRDefault="00EF0373" w:rsidP="00EF0373">
      <w:pPr>
        <w:spacing w:line="360" w:lineRule="auto"/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020579">
        <w:rPr>
          <w:rFonts w:ascii="Open Sans" w:hAnsi="Open Sans" w:cs="Open Sans"/>
          <w:b/>
          <w:bCs/>
          <w:sz w:val="22"/>
          <w:szCs w:val="22"/>
          <w:lang w:val="en-GB"/>
        </w:rPr>
        <w:lastRenderedPageBreak/>
        <w:t>Supplementary Figure 1: Flowchart of patient enrolment, exclusion, and final study population.</w:t>
      </w:r>
    </w:p>
    <w:p w14:paraId="1D3ACFFB" w14:textId="77777777" w:rsidR="00EF0373" w:rsidRPr="00020579" w:rsidRDefault="00EF0373" w:rsidP="00EF0373">
      <w:pPr>
        <w:spacing w:line="360" w:lineRule="auto"/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020579">
        <w:rPr>
          <w:rFonts w:ascii="Open Sans" w:hAnsi="Open Sans" w:cs="Open Sans"/>
          <w:b/>
          <w:bCs/>
          <w:noProof/>
          <w:sz w:val="22"/>
          <w:szCs w:val="22"/>
          <w:lang w:val="en-GB"/>
        </w:rPr>
        <w:drawing>
          <wp:inline distT="0" distB="0" distL="0" distR="0" wp14:anchorId="408B3EFB" wp14:editId="7F04CDAA">
            <wp:extent cx="8892540" cy="4174490"/>
            <wp:effectExtent l="0" t="0" r="3810" b="0"/>
            <wp:docPr id="8" name="Afbeelding 8" descr="A black and white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 black and white box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9A347" w14:textId="77777777" w:rsidR="00EF0373" w:rsidRPr="00020579" w:rsidRDefault="00EF0373" w:rsidP="00EF0373">
      <w:pPr>
        <w:spacing w:line="360" w:lineRule="auto"/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4809C57E" w14:textId="77777777" w:rsidR="00EF0373" w:rsidRPr="00020579" w:rsidRDefault="00EF0373" w:rsidP="00EF0373">
      <w:pPr>
        <w:spacing w:line="240" w:lineRule="auto"/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020579">
        <w:rPr>
          <w:rFonts w:ascii="Open Sans" w:eastAsia="Times New Roman" w:hAnsi="Open Sans" w:cs="Open Sans"/>
          <w:b/>
          <w:bCs/>
          <w:kern w:val="0"/>
          <w:sz w:val="18"/>
          <w:szCs w:val="18"/>
          <w:lang w:val="en-GB"/>
          <w14:ligatures w14:val="none"/>
        </w:rPr>
        <w:t>n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t xml:space="preserve">; number, 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PET-CT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>; positron emission tomography–computed tomography.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br/>
      </w:r>
      <w:r w:rsidRPr="00020579">
        <w:rPr>
          <w:rFonts w:ascii="Open Sans" w:eastAsia="Times New Roman" w:hAnsi="Open Sans" w:cs="Open Sans"/>
          <w:b/>
          <w:bCs/>
          <w:color w:val="FF0000"/>
          <w:kern w:val="0"/>
          <w:sz w:val="18"/>
          <w:szCs w:val="18"/>
          <w:lang w:val="en-GB"/>
          <w14:ligatures w14:val="none"/>
        </w:rPr>
        <w:t>A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t>: Based on repeated renography.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br/>
      </w:r>
      <w:r w:rsidRPr="00020579">
        <w:rPr>
          <w:rFonts w:ascii="Open Sans" w:eastAsia="Times New Roman" w:hAnsi="Open Sans" w:cs="Open Sans"/>
          <w:b/>
          <w:bCs/>
          <w:color w:val="FF0000"/>
          <w:kern w:val="0"/>
          <w:sz w:val="18"/>
          <w:szCs w:val="18"/>
          <w:lang w:val="en-GB"/>
          <w14:ligatures w14:val="none"/>
        </w:rPr>
        <w:t>B</w:t>
      </w:r>
      <w:r w:rsidRPr="00020579">
        <w:rPr>
          <w:rFonts w:ascii="Open Sans" w:eastAsia="Times New Roman" w:hAnsi="Open Sans" w:cs="Open Sans"/>
          <w:kern w:val="0"/>
          <w:sz w:val="18"/>
          <w:szCs w:val="18"/>
          <w:lang w:val="en-GB"/>
          <w14:ligatures w14:val="none"/>
        </w:rPr>
        <w:t>: Protocol exclusion criteria.</w:t>
      </w:r>
    </w:p>
    <w:p w14:paraId="39EA3F6D" w14:textId="77777777" w:rsidR="00EF0373" w:rsidRPr="00020579" w:rsidRDefault="00EF0373" w:rsidP="00EF0373">
      <w:pPr>
        <w:spacing w:line="240" w:lineRule="auto"/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020579">
        <w:rPr>
          <w:rFonts w:ascii="Open Sans" w:hAnsi="Open Sans" w:cs="Open Sans"/>
          <w:b/>
          <w:bCs/>
          <w:sz w:val="22"/>
          <w:szCs w:val="22"/>
          <w:lang w:val="en-GB"/>
        </w:rPr>
        <w:lastRenderedPageBreak/>
        <w:t>Supplementary Figures 2A-B: Significance heatmaps with statistical significance of correlations between [¹⁸F]FB-IL2 PET-CT imaging parameters and clinical, immunological, and histopathological features of kidney allograft rejection.</w:t>
      </w:r>
    </w:p>
    <w:p w14:paraId="6A900B77" w14:textId="77777777" w:rsidR="00EF0373" w:rsidRPr="00020579" w:rsidRDefault="00EF0373" w:rsidP="00EF0373">
      <w:pPr>
        <w:spacing w:line="360" w:lineRule="auto"/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020579">
        <w:rPr>
          <w:rFonts w:ascii="Open Sans" w:hAnsi="Open Sans" w:cs="Open Sans"/>
          <w:b/>
          <w:bCs/>
          <w:sz w:val="22"/>
          <w:szCs w:val="22"/>
          <w:lang w:val="en-GB"/>
        </w:rPr>
        <w:t>A</w:t>
      </w:r>
      <w:r w:rsidRPr="00020579">
        <w:rPr>
          <w:rFonts w:ascii="Open Sans" w:hAnsi="Open Sans" w:cs="Open Sans"/>
          <w:b/>
          <w:bCs/>
          <w:noProof/>
          <w:sz w:val="22"/>
          <w:szCs w:val="22"/>
          <w:lang w:val="en-GB"/>
        </w:rPr>
        <w:drawing>
          <wp:inline distT="0" distB="0" distL="0" distR="0" wp14:anchorId="34F02ED2" wp14:editId="7652E65F">
            <wp:extent cx="4429125" cy="3543299"/>
            <wp:effectExtent l="0" t="0" r="0" b="0"/>
            <wp:docPr id="40" name="Afbeelding 40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Afbeelding 40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051" cy="35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0579">
        <w:rPr>
          <w:rFonts w:ascii="Open Sans" w:hAnsi="Open Sans" w:cs="Open Sans"/>
          <w:b/>
          <w:bCs/>
          <w:sz w:val="22"/>
          <w:szCs w:val="22"/>
          <w:lang w:val="en-GB"/>
        </w:rPr>
        <w:t>B</w:t>
      </w:r>
      <w:r w:rsidRPr="00020579">
        <w:rPr>
          <w:rFonts w:ascii="Open Sans" w:hAnsi="Open Sans" w:cs="Open Sans"/>
          <w:b/>
          <w:bCs/>
          <w:noProof/>
          <w:sz w:val="22"/>
          <w:szCs w:val="22"/>
          <w:lang w:val="en-GB"/>
        </w:rPr>
        <w:drawing>
          <wp:inline distT="0" distB="0" distL="0" distR="0" wp14:anchorId="408606D2" wp14:editId="655CAED7">
            <wp:extent cx="4267200" cy="3318931"/>
            <wp:effectExtent l="0" t="0" r="0" b="0"/>
            <wp:docPr id="42" name="Afbeelding 4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Afbeelding 4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011" cy="331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EA3CA" w14:textId="2FAC5056" w:rsidR="00C94004" w:rsidRPr="00EF0373" w:rsidRDefault="00EF0373" w:rsidP="00EF0373">
      <w:pPr>
        <w:spacing w:line="240" w:lineRule="auto"/>
        <w:rPr>
          <w:rFonts w:ascii="Open Sans" w:hAnsi="Open Sans" w:cs="Open Sans"/>
          <w:bCs/>
          <w:noProof/>
          <w:sz w:val="18"/>
          <w:szCs w:val="18"/>
          <w:lang w:val="en-GB"/>
        </w:rPr>
      </w:pP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[¹⁸F]FB-IL2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 xml:space="preserve">; fluorine-18–labeled fluoro-benzoyl interleukin-2, 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PET-CT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 xml:space="preserve">; positron emission tomography–computed tomography, 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SUV</w:t>
      </w:r>
      <w:r w:rsidRPr="00020579">
        <w:rPr>
          <w:rFonts w:ascii="Open Sans" w:hAnsi="Open Sans" w:cs="Open Sans"/>
          <w:b/>
          <w:noProof/>
          <w:sz w:val="18"/>
          <w:szCs w:val="18"/>
          <w:vertAlign w:val="subscript"/>
          <w:lang w:val="en-GB"/>
        </w:rPr>
        <w:t xml:space="preserve"> 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- C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>; mean cortical standardi</w:t>
      </w:r>
      <w:r>
        <w:rPr>
          <w:rFonts w:ascii="Open Sans" w:hAnsi="Open Sans" w:cs="Open Sans"/>
          <w:bCs/>
          <w:noProof/>
          <w:sz w:val="18"/>
          <w:szCs w:val="18"/>
          <w:lang w:val="en-GB"/>
        </w:rPr>
        <w:t>s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 xml:space="preserve">ed uptake value, 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SUV</w:t>
      </w:r>
      <w:r w:rsidRPr="00020579">
        <w:rPr>
          <w:rFonts w:ascii="Open Sans" w:hAnsi="Open Sans" w:cs="Open Sans"/>
          <w:b/>
          <w:noProof/>
          <w:sz w:val="18"/>
          <w:szCs w:val="18"/>
          <w:vertAlign w:val="subscript"/>
          <w:lang w:val="en-GB"/>
        </w:rPr>
        <w:t xml:space="preserve"> 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– C/M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>; mean standerdi</w:t>
      </w:r>
      <w:r>
        <w:rPr>
          <w:rFonts w:ascii="Open Sans" w:hAnsi="Open Sans" w:cs="Open Sans"/>
          <w:bCs/>
          <w:noProof/>
          <w:sz w:val="18"/>
          <w:szCs w:val="18"/>
          <w:lang w:val="en-GB"/>
        </w:rPr>
        <w:t>s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 xml:space="preserve">ed uptake value cortex-to-medulla ratio </w:t>
      </w:r>
      <w:r w:rsidRPr="00020579">
        <w:rPr>
          <w:rFonts w:ascii="Open Sans" w:hAnsi="Open Sans" w:cs="Open Sans"/>
          <w:b/>
          <w:bCs/>
          <w:sz w:val="22"/>
          <w:szCs w:val="22"/>
          <w:lang w:val="en-GB"/>
        </w:rPr>
        <w:t>V</w:t>
      </w:r>
      <w:r w:rsidRPr="00020579">
        <w:rPr>
          <w:rFonts w:ascii="Open Sans" w:hAnsi="Open Sans" w:cs="Open Sans"/>
          <w:b/>
          <w:bCs/>
          <w:sz w:val="22"/>
          <w:szCs w:val="22"/>
          <w:vertAlign w:val="subscript"/>
          <w:lang w:val="en-GB"/>
        </w:rPr>
        <w:t>T</w:t>
      </w:r>
      <w:r w:rsidRPr="00020579">
        <w:rPr>
          <w:rFonts w:ascii="Open Sans" w:hAnsi="Open Sans" w:cs="Open Sans"/>
          <w:b/>
          <w:bCs/>
          <w:sz w:val="22"/>
          <w:szCs w:val="22"/>
          <w:vertAlign w:val="superscript"/>
          <w:lang w:val="en-GB"/>
        </w:rPr>
        <w:t>*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 xml:space="preserve"> - C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 xml:space="preserve">; apparent cortical volume of distribution, </w:t>
      </w:r>
      <w:r w:rsidRPr="00020579">
        <w:rPr>
          <w:rFonts w:ascii="Open Sans" w:hAnsi="Open Sans" w:cs="Open Sans"/>
          <w:b/>
          <w:bCs/>
          <w:sz w:val="22"/>
          <w:szCs w:val="22"/>
          <w:lang w:val="en-GB"/>
        </w:rPr>
        <w:t>V</w:t>
      </w:r>
      <w:r w:rsidRPr="00020579">
        <w:rPr>
          <w:rFonts w:ascii="Open Sans" w:hAnsi="Open Sans" w:cs="Open Sans"/>
          <w:b/>
          <w:bCs/>
          <w:sz w:val="22"/>
          <w:szCs w:val="22"/>
          <w:vertAlign w:val="subscript"/>
          <w:lang w:val="en-GB"/>
        </w:rPr>
        <w:t>T</w:t>
      </w:r>
      <w:r w:rsidRPr="00020579">
        <w:rPr>
          <w:rFonts w:ascii="Open Sans" w:hAnsi="Open Sans" w:cs="Open Sans"/>
          <w:b/>
          <w:bCs/>
          <w:sz w:val="22"/>
          <w:szCs w:val="22"/>
          <w:vertAlign w:val="superscript"/>
          <w:lang w:val="en-GB"/>
        </w:rPr>
        <w:t>*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 xml:space="preserve"> – C/M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 xml:space="preserve">; apparent volume of distribution cortex-to-medulla ratio, 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eGFR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 xml:space="preserve">; estimated glomerular filtration rate, 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CD3</w:t>
      </w:r>
      <w:r w:rsidRPr="00020579">
        <w:rPr>
          <w:rFonts w:ascii="Cambria Math" w:hAnsi="Cambria Math" w:cs="Cambria Math"/>
          <w:b/>
          <w:noProof/>
          <w:sz w:val="18"/>
          <w:szCs w:val="18"/>
          <w:lang w:val="en-GB"/>
        </w:rPr>
        <w:t>⁺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 xml:space="preserve">; 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CD4</w:t>
      </w:r>
      <w:r w:rsidRPr="00020579">
        <w:rPr>
          <w:rFonts w:ascii="Cambria Math" w:hAnsi="Cambria Math" w:cs="Cambria Math"/>
          <w:b/>
          <w:noProof/>
          <w:sz w:val="18"/>
          <w:szCs w:val="18"/>
          <w:lang w:val="en-GB"/>
        </w:rPr>
        <w:t>⁺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 xml:space="preserve">; 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CD8</w:t>
      </w:r>
      <w:r w:rsidRPr="00020579">
        <w:rPr>
          <w:rFonts w:ascii="Cambria Math" w:hAnsi="Cambria Math" w:cs="Cambria Math"/>
          <w:b/>
          <w:noProof/>
          <w:sz w:val="18"/>
          <w:szCs w:val="18"/>
          <w:lang w:val="en-GB"/>
        </w:rPr>
        <w:t>⁺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>; peripheral T</w:t>
      </w:r>
      <w:r>
        <w:rPr>
          <w:rFonts w:ascii="Open Sans" w:hAnsi="Open Sans" w:cs="Open Sans"/>
          <w:bCs/>
          <w:noProof/>
          <w:sz w:val="18"/>
          <w:szCs w:val="18"/>
          <w:lang w:val="en-GB"/>
        </w:rPr>
        <w:t xml:space="preserve"> 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 xml:space="preserve">cell subsets, 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Treg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>; regulatory T</w:t>
      </w:r>
      <w:r>
        <w:rPr>
          <w:rFonts w:ascii="Open Sans" w:hAnsi="Open Sans" w:cs="Open Sans"/>
          <w:bCs/>
          <w:noProof/>
          <w:sz w:val="18"/>
          <w:szCs w:val="18"/>
          <w:lang w:val="en-GB"/>
        </w:rPr>
        <w:t xml:space="preserve"> 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 xml:space="preserve">cells, 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IFTA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>; interstitial fibrosis and tubular atrophy.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br/>
        <w:t>(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A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>) Heatmap showing two-sided Spearman p-values for correlations between PET-CT parameters and clinical variables, including treated rejection, kidney function markers, and peripheral immune cell subsets (n = 11). (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B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 xml:space="preserve">) Heatmap showing p-values for correlations between PET-CT parameters and Banff histological scores (n = 9; 2 biopsies excluded due to non-interpretable sampling). 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br/>
        <w:t xml:space="preserve">Color intensity reflects the strength of statistical significance (darker = lower p-value). p &lt; 0.05 was considered statistically significant; p &lt; 0.1 was interpreted as a trend. These data correspond to the correlation coefficients shown in </w:t>
      </w:r>
      <w:r w:rsidRPr="00020579">
        <w:rPr>
          <w:rFonts w:ascii="Open Sans" w:hAnsi="Open Sans" w:cs="Open Sans"/>
          <w:b/>
          <w:noProof/>
          <w:sz w:val="18"/>
          <w:szCs w:val="18"/>
          <w:lang w:val="en-GB"/>
        </w:rPr>
        <w:t>Figure 2A–2B</w:t>
      </w:r>
      <w:r w:rsidRPr="00020579">
        <w:rPr>
          <w:rFonts w:ascii="Open Sans" w:hAnsi="Open Sans" w:cs="Open Sans"/>
          <w:bCs/>
          <w:noProof/>
          <w:sz w:val="18"/>
          <w:szCs w:val="18"/>
          <w:lang w:val="en-GB"/>
        </w:rPr>
        <w:t xml:space="preserve">. </w:t>
      </w:r>
    </w:p>
    <w:sectPr w:rsidR="00C94004" w:rsidRPr="00EF0373" w:rsidSect="00EF03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73"/>
    <w:rsid w:val="00211CAD"/>
    <w:rsid w:val="003864DF"/>
    <w:rsid w:val="00602EF7"/>
    <w:rsid w:val="006C22F6"/>
    <w:rsid w:val="00C94004"/>
    <w:rsid w:val="00EF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C3AC"/>
  <w15:chartTrackingRefBased/>
  <w15:docId w15:val="{80992680-BE88-4E0B-9B00-14612C71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73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3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3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37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37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37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37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37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37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37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3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3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3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37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373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F0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373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EF03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3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373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DefaultParagraphFont"/>
    <w:rsid w:val="00EF0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877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Bloemendal, NT (dvoz)</dc:creator>
  <cp:keywords/>
  <dc:description/>
  <cp:lastModifiedBy>Bloemendal, NT (dvoz)</cp:lastModifiedBy>
  <cp:revision>1</cp:revision>
  <dcterms:created xsi:type="dcterms:W3CDTF">2025-11-24T11:09:00Z</dcterms:created>
  <dcterms:modified xsi:type="dcterms:W3CDTF">2025-11-24T11:10:00Z</dcterms:modified>
</cp:coreProperties>
</file>